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370DB" w14:textId="3F9CD2FF" w:rsidR="000863BD" w:rsidRPr="00613373" w:rsidRDefault="00613373" w:rsidP="000863BD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8"/>
          <w:szCs w:val="28"/>
        </w:rPr>
      </w:pPr>
      <w:r w:rsidRPr="00613373">
        <w:rPr>
          <w:rFonts w:ascii="Arial" w:hAnsi="Arial" w:cs="Arial"/>
          <w:b/>
          <w:bCs/>
          <w:kern w:val="0"/>
          <w:sz w:val="28"/>
          <w:szCs w:val="28"/>
        </w:rPr>
        <w:t>Multi-species analysis of non-canonical striatal projection neurons reveals distinct profiles for human pain and addiction genetic risk</w:t>
      </w:r>
    </w:p>
    <w:p w14:paraId="75E0E6E4" w14:textId="77777777" w:rsidR="00613373" w:rsidRPr="000863BD" w:rsidRDefault="00613373" w:rsidP="000863BD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0B33BB9C" w14:textId="63F37BA0" w:rsidR="00B6631D" w:rsidRDefault="00B6631D" w:rsidP="000863BD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B6631D">
        <w:rPr>
          <w:rFonts w:ascii="Arial" w:hAnsi="Arial" w:cs="Arial"/>
          <w:kern w:val="0"/>
        </w:rPr>
        <w:t>BaDoi N. Phan</w:t>
      </w:r>
      <w:r w:rsidRPr="00613373">
        <w:rPr>
          <w:rFonts w:ascii="Arial" w:hAnsi="Arial" w:cs="Arial"/>
          <w:kern w:val="0"/>
          <w:vertAlign w:val="superscript"/>
        </w:rPr>
        <w:t>1,2</w:t>
      </w:r>
      <w:r w:rsidRPr="00B6631D">
        <w:rPr>
          <w:rFonts w:ascii="Arial" w:hAnsi="Arial" w:cs="Arial"/>
          <w:kern w:val="0"/>
        </w:rPr>
        <w:t>, Chaitanya Srinivasan</w:t>
      </w:r>
      <w:r w:rsidRPr="00613373">
        <w:rPr>
          <w:rFonts w:ascii="Arial" w:hAnsi="Arial" w:cs="Arial"/>
          <w:kern w:val="0"/>
          <w:vertAlign w:val="superscript"/>
        </w:rPr>
        <w:t>1</w:t>
      </w:r>
      <w:r w:rsidRPr="00B6631D">
        <w:rPr>
          <w:rFonts w:ascii="Arial" w:hAnsi="Arial" w:cs="Arial"/>
          <w:kern w:val="0"/>
        </w:rPr>
        <w:t xml:space="preserve">, </w:t>
      </w:r>
      <w:proofErr w:type="spellStart"/>
      <w:r w:rsidRPr="00B6631D">
        <w:rPr>
          <w:rFonts w:ascii="Arial" w:hAnsi="Arial" w:cs="Arial"/>
          <w:kern w:val="0"/>
        </w:rPr>
        <w:t>Ghada</w:t>
      </w:r>
      <w:proofErr w:type="spellEnd"/>
      <w:r w:rsidRPr="00B6631D">
        <w:rPr>
          <w:rFonts w:ascii="Arial" w:hAnsi="Arial" w:cs="Arial"/>
          <w:kern w:val="0"/>
        </w:rPr>
        <w:t xml:space="preserve"> Abdelhady</w:t>
      </w:r>
      <w:r w:rsidR="00613373" w:rsidRPr="00613373">
        <w:rPr>
          <w:rFonts w:ascii="Arial" w:hAnsi="Arial" w:cs="Arial"/>
          <w:kern w:val="0"/>
          <w:vertAlign w:val="superscript"/>
        </w:rPr>
        <w:t>1</w:t>
      </w:r>
      <w:r w:rsidRPr="00B6631D">
        <w:rPr>
          <w:rFonts w:ascii="Arial" w:hAnsi="Arial" w:cs="Arial"/>
          <w:kern w:val="0"/>
        </w:rPr>
        <w:t xml:space="preserve">, </w:t>
      </w:r>
      <w:proofErr w:type="spellStart"/>
      <w:r w:rsidRPr="00B6631D">
        <w:rPr>
          <w:rFonts w:ascii="Arial" w:hAnsi="Arial" w:cs="Arial"/>
          <w:kern w:val="0"/>
        </w:rPr>
        <w:t>Jenesis</w:t>
      </w:r>
      <w:proofErr w:type="spellEnd"/>
      <w:r w:rsidRPr="00B6631D">
        <w:rPr>
          <w:rFonts w:ascii="Arial" w:hAnsi="Arial" w:cs="Arial"/>
          <w:kern w:val="0"/>
        </w:rPr>
        <w:t xml:space="preserve"> Gayden-Kozel</w:t>
      </w:r>
      <w:r w:rsidR="00613373">
        <w:rPr>
          <w:rFonts w:ascii="Arial" w:hAnsi="Arial" w:cs="Arial"/>
          <w:kern w:val="0"/>
          <w:vertAlign w:val="superscript"/>
        </w:rPr>
        <w:t>3</w:t>
      </w:r>
      <w:r w:rsidRPr="00B6631D">
        <w:rPr>
          <w:rFonts w:ascii="Arial" w:hAnsi="Arial" w:cs="Arial"/>
          <w:kern w:val="0"/>
        </w:rPr>
        <w:t>, Madeline</w:t>
      </w:r>
      <w:r w:rsidR="00613373">
        <w:rPr>
          <w:rFonts w:ascii="Arial" w:hAnsi="Arial" w:cs="Arial"/>
          <w:kern w:val="0"/>
        </w:rPr>
        <w:t xml:space="preserve"> K.</w:t>
      </w:r>
      <w:r w:rsidRPr="00B6631D">
        <w:rPr>
          <w:rFonts w:ascii="Arial" w:hAnsi="Arial" w:cs="Arial"/>
          <w:kern w:val="0"/>
        </w:rPr>
        <w:t xml:space="preserve"> Fish</w:t>
      </w:r>
      <w:r w:rsidR="00613373">
        <w:rPr>
          <w:rFonts w:ascii="Arial" w:hAnsi="Arial" w:cs="Arial"/>
          <w:kern w:val="0"/>
          <w:vertAlign w:val="superscript"/>
        </w:rPr>
        <w:t>4</w:t>
      </w:r>
      <w:r w:rsidRPr="00B6631D">
        <w:rPr>
          <w:rFonts w:ascii="Arial" w:hAnsi="Arial" w:cs="Arial"/>
          <w:kern w:val="0"/>
        </w:rPr>
        <w:t>, Chen Fu5</w:t>
      </w:r>
      <w:r>
        <w:rPr>
          <w:rFonts w:ascii="Arial" w:hAnsi="Arial" w:cs="Arial"/>
          <w:kern w:val="0"/>
        </w:rPr>
        <w:t>,6</w:t>
      </w:r>
      <w:r w:rsidRPr="00B6631D">
        <w:rPr>
          <w:rFonts w:ascii="Arial" w:hAnsi="Arial" w:cs="Arial"/>
          <w:kern w:val="0"/>
        </w:rPr>
        <w:t>, Jill R. Glausier</w:t>
      </w:r>
      <w:r>
        <w:rPr>
          <w:rFonts w:ascii="Arial" w:hAnsi="Arial" w:cs="Arial"/>
          <w:kern w:val="0"/>
        </w:rPr>
        <w:t>7</w:t>
      </w:r>
      <w:r w:rsidRPr="00B6631D">
        <w:rPr>
          <w:rFonts w:ascii="Arial" w:hAnsi="Arial" w:cs="Arial"/>
          <w:kern w:val="0"/>
        </w:rPr>
        <w:t>, David A. Lewis</w:t>
      </w:r>
      <w:r>
        <w:rPr>
          <w:rFonts w:ascii="Arial" w:hAnsi="Arial" w:cs="Arial"/>
          <w:kern w:val="0"/>
        </w:rPr>
        <w:t>7</w:t>
      </w:r>
      <w:r w:rsidRPr="00B6631D">
        <w:rPr>
          <w:rFonts w:ascii="Arial" w:hAnsi="Arial" w:cs="Arial"/>
          <w:kern w:val="0"/>
        </w:rPr>
        <w:t>, Ryan W. Logan5,</w:t>
      </w:r>
      <w:r>
        <w:rPr>
          <w:rFonts w:ascii="Arial" w:hAnsi="Arial" w:cs="Arial"/>
          <w:kern w:val="0"/>
        </w:rPr>
        <w:t>6,</w:t>
      </w:r>
      <w:r w:rsidRPr="00B6631D">
        <w:rPr>
          <w:rFonts w:ascii="Arial" w:hAnsi="Arial" w:cs="Arial"/>
          <w:kern w:val="0"/>
        </w:rPr>
        <w:t xml:space="preserve"> Zachary Freyberg7,8 Andreas R. Pfenning1</w:t>
      </w:r>
      <w:r>
        <w:rPr>
          <w:rFonts w:ascii="Arial" w:hAnsi="Arial" w:cs="Arial"/>
          <w:kern w:val="0"/>
        </w:rPr>
        <w:t>,9</w:t>
      </w:r>
    </w:p>
    <w:p w14:paraId="3EA23866" w14:textId="78525FD7" w:rsidR="000863BD" w:rsidRDefault="000863BD" w:rsidP="000863BD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  <w:r w:rsidRPr="000863BD">
        <w:rPr>
          <w:rFonts w:ascii="Arial" w:hAnsi="Arial" w:cs="Arial"/>
          <w:kern w:val="0"/>
        </w:rPr>
        <w:t> </w:t>
      </w:r>
    </w:p>
    <w:p w14:paraId="27504666" w14:textId="2D1CB0E0" w:rsidR="000863BD" w:rsidRDefault="00B6631D" w:rsidP="000863BD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vertAlign w:val="superscript"/>
        </w:rPr>
        <w:t>1</w:t>
      </w:r>
      <w:r w:rsidR="000863BD" w:rsidRPr="00155567">
        <w:rPr>
          <w:rFonts w:ascii="Arial" w:hAnsi="Arial" w:cs="Arial"/>
          <w:bCs/>
          <w:sz w:val="22"/>
          <w:szCs w:val="22"/>
        </w:rPr>
        <w:t>Department of Computational Biology, Carnegie Mellon University, Pittsburgh, PA</w:t>
      </w:r>
      <w:r w:rsidR="000863BD">
        <w:rPr>
          <w:rFonts w:ascii="Arial" w:hAnsi="Arial" w:cs="Arial"/>
          <w:bCs/>
          <w:sz w:val="22"/>
          <w:szCs w:val="22"/>
        </w:rPr>
        <w:t xml:space="preserve"> 15213</w:t>
      </w:r>
      <w:r w:rsidR="000863BD" w:rsidRPr="00155567">
        <w:rPr>
          <w:rFonts w:ascii="Arial" w:hAnsi="Arial" w:cs="Arial"/>
          <w:bCs/>
          <w:sz w:val="22"/>
          <w:szCs w:val="22"/>
        </w:rPr>
        <w:t>, USA</w:t>
      </w:r>
    </w:p>
    <w:p w14:paraId="7B904539" w14:textId="44D4C67C" w:rsidR="000863BD" w:rsidRDefault="00B6631D" w:rsidP="000863BD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vertAlign w:val="superscript"/>
        </w:rPr>
        <w:t>2</w:t>
      </w:r>
      <w:r w:rsidR="000863BD">
        <w:rPr>
          <w:rFonts w:ascii="Arial" w:hAnsi="Arial" w:cs="Arial"/>
          <w:bCs/>
          <w:sz w:val="22"/>
          <w:szCs w:val="22"/>
        </w:rPr>
        <w:t>Medical Scientist Training Program, University of Pittsburgh, Pittsburgh, PA 15213, USA</w:t>
      </w:r>
    </w:p>
    <w:p w14:paraId="0FFEA77C" w14:textId="7B987D38" w:rsidR="000863BD" w:rsidRDefault="00B6631D" w:rsidP="000863BD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vertAlign w:val="superscript"/>
        </w:rPr>
        <w:t>3</w:t>
      </w:r>
      <w:r w:rsidR="000863BD" w:rsidRPr="00155567">
        <w:rPr>
          <w:rFonts w:ascii="Arial" w:hAnsi="Arial" w:cs="Arial"/>
          <w:bCs/>
          <w:sz w:val="22"/>
          <w:szCs w:val="22"/>
        </w:rPr>
        <w:t>Department of Neuroscience, University of Pittsburgh, Pittsburgh, PA</w:t>
      </w:r>
      <w:r w:rsidR="000863BD">
        <w:rPr>
          <w:rFonts w:ascii="Arial" w:hAnsi="Arial" w:cs="Arial"/>
          <w:bCs/>
          <w:sz w:val="22"/>
          <w:szCs w:val="22"/>
        </w:rPr>
        <w:t xml:space="preserve"> 15260</w:t>
      </w:r>
      <w:r w:rsidR="000863BD" w:rsidRPr="00155567">
        <w:rPr>
          <w:rFonts w:ascii="Arial" w:hAnsi="Arial" w:cs="Arial"/>
          <w:bCs/>
          <w:sz w:val="22"/>
          <w:szCs w:val="22"/>
        </w:rPr>
        <w:t>, USA</w:t>
      </w:r>
    </w:p>
    <w:p w14:paraId="41B26123" w14:textId="3549FF7F" w:rsidR="000863BD" w:rsidRDefault="00B6631D" w:rsidP="000863BD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vertAlign w:val="superscript"/>
        </w:rPr>
        <w:t>4</w:t>
      </w:r>
      <w:r w:rsidR="000863BD">
        <w:rPr>
          <w:rFonts w:ascii="Arial" w:hAnsi="Arial" w:cs="Arial"/>
          <w:bCs/>
          <w:sz w:val="22"/>
          <w:szCs w:val="22"/>
        </w:rPr>
        <w:t>Department of Pharmacology, Physiology, and Biophysics, Boston University School of Medicine, Boston, MA 02118, USA</w:t>
      </w:r>
    </w:p>
    <w:p w14:paraId="395C9102" w14:textId="47ACEAFF" w:rsidR="00967749" w:rsidRPr="00155567" w:rsidRDefault="00B6631D" w:rsidP="00967749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vertAlign w:val="superscript"/>
        </w:rPr>
        <w:t>5</w:t>
      </w:r>
      <w:r w:rsidR="00967749" w:rsidRPr="00155567">
        <w:rPr>
          <w:rFonts w:ascii="Arial" w:hAnsi="Arial" w:cs="Arial"/>
          <w:sz w:val="22"/>
          <w:szCs w:val="22"/>
        </w:rPr>
        <w:t>De</w:t>
      </w:r>
      <w:r w:rsidR="00967749" w:rsidRPr="00155567">
        <w:rPr>
          <w:rFonts w:ascii="Arial" w:hAnsi="Arial" w:cs="Arial"/>
          <w:bCs/>
          <w:sz w:val="22"/>
          <w:szCs w:val="22"/>
        </w:rPr>
        <w:t xml:space="preserve">partment of </w:t>
      </w:r>
      <w:r w:rsidR="00967749">
        <w:rPr>
          <w:rFonts w:ascii="Arial" w:hAnsi="Arial" w:cs="Arial"/>
          <w:bCs/>
          <w:sz w:val="22"/>
          <w:szCs w:val="22"/>
        </w:rPr>
        <w:t>Neurobiology</w:t>
      </w:r>
      <w:r w:rsidR="00967749" w:rsidRPr="00155567">
        <w:rPr>
          <w:rFonts w:ascii="Arial" w:hAnsi="Arial" w:cs="Arial"/>
          <w:bCs/>
          <w:sz w:val="22"/>
          <w:szCs w:val="22"/>
        </w:rPr>
        <w:t>, University of Massachusetts Chan Medical School, Worcester, MA</w:t>
      </w:r>
      <w:r w:rsidR="00967749">
        <w:rPr>
          <w:rFonts w:ascii="Arial" w:hAnsi="Arial" w:cs="Arial"/>
          <w:bCs/>
          <w:sz w:val="22"/>
          <w:szCs w:val="22"/>
        </w:rPr>
        <w:t xml:space="preserve"> 01605</w:t>
      </w:r>
      <w:r w:rsidR="00967749" w:rsidRPr="00155567">
        <w:rPr>
          <w:rFonts w:ascii="Arial" w:hAnsi="Arial" w:cs="Arial"/>
          <w:bCs/>
          <w:sz w:val="22"/>
          <w:szCs w:val="22"/>
        </w:rPr>
        <w:t>, USA</w:t>
      </w:r>
    </w:p>
    <w:p w14:paraId="703A2B03" w14:textId="1A75A6D4" w:rsidR="00967749" w:rsidRDefault="00B6631D" w:rsidP="00967749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vertAlign w:val="superscript"/>
        </w:rPr>
        <w:t>6</w:t>
      </w:r>
      <w:r w:rsidR="00967749" w:rsidRPr="00155567">
        <w:rPr>
          <w:rFonts w:ascii="Arial" w:hAnsi="Arial" w:cs="Arial"/>
          <w:sz w:val="22"/>
          <w:szCs w:val="22"/>
        </w:rPr>
        <w:t>De</w:t>
      </w:r>
      <w:r w:rsidR="00967749" w:rsidRPr="00155567">
        <w:rPr>
          <w:rFonts w:ascii="Arial" w:hAnsi="Arial" w:cs="Arial"/>
          <w:bCs/>
          <w:sz w:val="22"/>
          <w:szCs w:val="22"/>
        </w:rPr>
        <w:t>partment of Psychiatry, University of Massachusetts Chan Medical School, Worcester, MA</w:t>
      </w:r>
      <w:r w:rsidR="00967749">
        <w:rPr>
          <w:rFonts w:ascii="Arial" w:hAnsi="Arial" w:cs="Arial"/>
          <w:bCs/>
          <w:sz w:val="22"/>
          <w:szCs w:val="22"/>
        </w:rPr>
        <w:t xml:space="preserve"> 01605</w:t>
      </w:r>
      <w:r w:rsidR="00967749" w:rsidRPr="00155567">
        <w:rPr>
          <w:rFonts w:ascii="Arial" w:hAnsi="Arial" w:cs="Arial"/>
          <w:bCs/>
          <w:sz w:val="22"/>
          <w:szCs w:val="22"/>
        </w:rPr>
        <w:t>, USA</w:t>
      </w:r>
    </w:p>
    <w:p w14:paraId="17ECE54A" w14:textId="78AF1744" w:rsidR="00B6631D" w:rsidRPr="00155567" w:rsidRDefault="00B6631D" w:rsidP="00B6631D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vertAlign w:val="superscript"/>
        </w:rPr>
        <w:t>7</w:t>
      </w:r>
      <w:r w:rsidRPr="00155567">
        <w:rPr>
          <w:rFonts w:ascii="Arial" w:hAnsi="Arial" w:cs="Arial"/>
          <w:bCs/>
          <w:sz w:val="22"/>
          <w:szCs w:val="22"/>
        </w:rPr>
        <w:t>Department of Psychiatry, University of Pittsburgh, Pittsburgh, PA</w:t>
      </w:r>
      <w:r>
        <w:rPr>
          <w:rFonts w:ascii="Arial" w:hAnsi="Arial" w:cs="Arial"/>
          <w:bCs/>
          <w:sz w:val="22"/>
          <w:szCs w:val="22"/>
        </w:rPr>
        <w:t xml:space="preserve"> 15213</w:t>
      </w:r>
      <w:r w:rsidRPr="00155567">
        <w:rPr>
          <w:rFonts w:ascii="Arial" w:hAnsi="Arial" w:cs="Arial"/>
          <w:bCs/>
          <w:sz w:val="22"/>
          <w:szCs w:val="22"/>
        </w:rPr>
        <w:t>, USA</w:t>
      </w:r>
    </w:p>
    <w:p w14:paraId="131061DF" w14:textId="3966D199" w:rsidR="00B6631D" w:rsidRDefault="00B6631D" w:rsidP="00B6631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vertAlign w:val="superscript"/>
        </w:rPr>
        <w:t>8</w:t>
      </w:r>
      <w:r>
        <w:rPr>
          <w:rFonts w:ascii="Arial" w:hAnsi="Arial" w:cs="Arial"/>
          <w:sz w:val="22"/>
          <w:szCs w:val="22"/>
        </w:rPr>
        <w:t>Department of Cell Biology, University of Pittsburgh, Pittsburgh, PA 15213, USA</w:t>
      </w:r>
    </w:p>
    <w:p w14:paraId="09BA394A" w14:textId="1B47FA3E" w:rsidR="00B6631D" w:rsidRDefault="00B6631D" w:rsidP="00B6631D">
      <w:pPr>
        <w:contextualSpacing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vertAlign w:val="superscript"/>
        </w:rPr>
        <w:t>9</w:t>
      </w:r>
      <w:r w:rsidRPr="00155567">
        <w:rPr>
          <w:rFonts w:ascii="Arial" w:hAnsi="Arial" w:cs="Arial"/>
          <w:bCs/>
          <w:sz w:val="22"/>
          <w:szCs w:val="22"/>
        </w:rPr>
        <w:t>Neuroscience Institute, Carnegie Mellon University, Pittsburgh, PA</w:t>
      </w:r>
      <w:r>
        <w:rPr>
          <w:rFonts w:ascii="Arial" w:hAnsi="Arial" w:cs="Arial"/>
          <w:bCs/>
          <w:sz w:val="22"/>
          <w:szCs w:val="22"/>
        </w:rPr>
        <w:t xml:space="preserve"> 15213</w:t>
      </w:r>
      <w:r w:rsidRPr="00155567">
        <w:rPr>
          <w:rFonts w:ascii="Arial" w:hAnsi="Arial" w:cs="Arial"/>
          <w:bCs/>
          <w:sz w:val="22"/>
          <w:szCs w:val="22"/>
        </w:rPr>
        <w:t>, USA</w:t>
      </w:r>
    </w:p>
    <w:p w14:paraId="3014378B" w14:textId="77777777" w:rsidR="000863BD" w:rsidRPr="000863BD" w:rsidRDefault="000863BD" w:rsidP="000863BD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2FAA99B5" w14:textId="66D22244" w:rsidR="000863BD" w:rsidRDefault="000863BD" w:rsidP="000863BD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63BD">
        <w:rPr>
          <w:rFonts w:ascii="Arial" w:hAnsi="Arial" w:cs="Arial"/>
          <w:kern w:val="0"/>
        </w:rPr>
        <w:t xml:space="preserve">Striatal projection neurons (SPNs) are key players in addiction neurobiology, yet their heterogeneity across mammalian species and contributions to </w:t>
      </w:r>
      <w:r>
        <w:rPr>
          <w:rFonts w:ascii="Arial" w:hAnsi="Arial" w:cs="Arial"/>
          <w:kern w:val="0"/>
        </w:rPr>
        <w:t xml:space="preserve">human </w:t>
      </w:r>
      <w:r w:rsidRPr="000863BD">
        <w:rPr>
          <w:rFonts w:ascii="Arial" w:hAnsi="Arial" w:cs="Arial"/>
          <w:kern w:val="0"/>
        </w:rPr>
        <w:t xml:space="preserve">genetic predisposition for pain and addiction remain incompletely understood. We employed a multi-mammalian, integrative approach to characterize SPN subtypes and link them to human genetic predisposition. </w:t>
      </w:r>
      <w:r>
        <w:rPr>
          <w:rFonts w:ascii="Arial" w:hAnsi="Arial" w:cs="Arial"/>
          <w:kern w:val="0"/>
        </w:rPr>
        <w:t xml:space="preserve">Our study began with generating snRNA-seq of the ventral striatum from postmortem huam donors (N=2 females, N=2 males). We annotated and integrated these data with single cell RNA-seq and single cell ATAC-seq of human, monkey, rat, and mouse across 14 </w:t>
      </w:r>
      <w:r w:rsidR="00967749">
        <w:rPr>
          <w:rFonts w:ascii="Arial" w:hAnsi="Arial" w:cs="Arial"/>
          <w:kern w:val="0"/>
        </w:rPr>
        <w:t>datasets</w:t>
      </w:r>
      <w:r>
        <w:rPr>
          <w:rFonts w:ascii="Arial" w:hAnsi="Arial" w:cs="Arial"/>
          <w:kern w:val="0"/>
        </w:rPr>
        <w:t>.</w:t>
      </w:r>
      <w:r w:rsidR="00967749"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 xml:space="preserve">The multi-mammalian single cell </w:t>
      </w:r>
      <w:r w:rsidR="00967749" w:rsidRPr="000863BD">
        <w:rPr>
          <w:rFonts w:ascii="Arial" w:hAnsi="Arial" w:cs="Arial"/>
          <w:kern w:val="0"/>
        </w:rPr>
        <w:t>consensus</w:t>
      </w:r>
      <w:r w:rsidR="00967749"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 xml:space="preserve">confirmed presence of </w:t>
      </w:r>
      <w:r w:rsidR="00967749">
        <w:rPr>
          <w:rFonts w:ascii="Arial" w:hAnsi="Arial" w:cs="Arial"/>
          <w:kern w:val="0"/>
        </w:rPr>
        <w:t>eccentric SPNs (</w:t>
      </w:r>
      <w:proofErr w:type="spellStart"/>
      <w:r w:rsidR="00967749">
        <w:rPr>
          <w:rFonts w:ascii="Arial" w:hAnsi="Arial" w:cs="Arial"/>
          <w:kern w:val="0"/>
        </w:rPr>
        <w:t>eSPN</w:t>
      </w:r>
      <w:proofErr w:type="spellEnd"/>
      <w:r w:rsidR="00967749">
        <w:rPr>
          <w:rFonts w:ascii="Arial" w:hAnsi="Arial" w:cs="Arial"/>
          <w:kern w:val="0"/>
        </w:rPr>
        <w:t xml:space="preserve">) across mammals in addition to </w:t>
      </w:r>
      <w:r>
        <w:rPr>
          <w:rFonts w:ascii="Arial" w:hAnsi="Arial" w:cs="Arial"/>
          <w:kern w:val="0"/>
        </w:rPr>
        <w:t>canonical D1 and D2 SPN</w:t>
      </w:r>
      <w:r w:rsidR="00967749">
        <w:rPr>
          <w:rFonts w:ascii="Arial" w:hAnsi="Arial" w:cs="Arial"/>
          <w:kern w:val="0"/>
        </w:rPr>
        <w:t xml:space="preserve"> populations. One </w:t>
      </w:r>
      <w:r w:rsidR="001F5E5F">
        <w:rPr>
          <w:rFonts w:ascii="Arial" w:hAnsi="Arial" w:cs="Arial"/>
          <w:kern w:val="0"/>
        </w:rPr>
        <w:t xml:space="preserve">subpopulation </w:t>
      </w:r>
      <w:proofErr w:type="gramStart"/>
      <w:r w:rsidR="00F574F5">
        <w:rPr>
          <w:rFonts w:ascii="Arial" w:hAnsi="Arial" w:cs="Arial"/>
          <w:kern w:val="0"/>
        </w:rPr>
        <w:t>are</w:t>
      </w:r>
      <w:proofErr w:type="gramEnd"/>
      <w:r w:rsidR="00F574F5">
        <w:rPr>
          <w:rFonts w:ascii="Arial" w:hAnsi="Arial" w:cs="Arial"/>
          <w:kern w:val="0"/>
        </w:rPr>
        <w:t xml:space="preserve"> the D1/D2 hybrid SPNs which</w:t>
      </w:r>
      <w:r w:rsidR="00967749">
        <w:rPr>
          <w:rFonts w:ascii="Arial" w:hAnsi="Arial" w:cs="Arial"/>
          <w:kern w:val="0"/>
        </w:rPr>
        <w:t xml:space="preserve"> co-express </w:t>
      </w:r>
      <w:r w:rsidR="00967749" w:rsidRPr="00967749">
        <w:rPr>
          <w:rFonts w:ascii="Arial" w:hAnsi="Arial" w:cs="Arial"/>
          <w:i/>
          <w:iCs/>
          <w:kern w:val="0"/>
        </w:rPr>
        <w:t>DRD1</w:t>
      </w:r>
      <w:r w:rsidR="00967749">
        <w:rPr>
          <w:rFonts w:ascii="Arial" w:hAnsi="Arial" w:cs="Arial"/>
          <w:kern w:val="0"/>
        </w:rPr>
        <w:t xml:space="preserve"> and </w:t>
      </w:r>
      <w:r w:rsidR="00967749" w:rsidRPr="00967749">
        <w:rPr>
          <w:rFonts w:ascii="Arial" w:hAnsi="Arial" w:cs="Arial"/>
          <w:i/>
          <w:iCs/>
          <w:kern w:val="0"/>
        </w:rPr>
        <w:t>DRD2</w:t>
      </w:r>
      <w:r w:rsidR="00967749">
        <w:rPr>
          <w:rFonts w:ascii="Arial" w:hAnsi="Arial" w:cs="Arial"/>
          <w:kern w:val="0"/>
        </w:rPr>
        <w:t xml:space="preserve"> transcripts</w:t>
      </w:r>
      <w:r w:rsidR="00F574F5">
        <w:rPr>
          <w:rFonts w:ascii="Arial" w:hAnsi="Arial" w:cs="Arial"/>
          <w:kern w:val="0"/>
        </w:rPr>
        <w:t xml:space="preserve"> along with other transcripts</w:t>
      </w:r>
      <w:r w:rsidR="00AD19F6">
        <w:rPr>
          <w:rFonts w:ascii="Arial" w:hAnsi="Arial" w:cs="Arial"/>
          <w:kern w:val="0"/>
        </w:rPr>
        <w:t xml:space="preserve"> distinct to </w:t>
      </w:r>
      <w:proofErr w:type="spellStart"/>
      <w:r w:rsidR="00AD19F6">
        <w:rPr>
          <w:rFonts w:ascii="Arial" w:hAnsi="Arial" w:cs="Arial"/>
          <w:kern w:val="0"/>
        </w:rPr>
        <w:t>eSPNs</w:t>
      </w:r>
      <w:proofErr w:type="spellEnd"/>
      <w:r>
        <w:rPr>
          <w:rFonts w:ascii="Arial" w:hAnsi="Arial" w:cs="Arial"/>
          <w:kern w:val="0"/>
        </w:rPr>
        <w:t xml:space="preserve">. Within each </w:t>
      </w:r>
      <w:r w:rsidR="00967749">
        <w:rPr>
          <w:rFonts w:ascii="Arial" w:hAnsi="Arial" w:cs="Arial"/>
          <w:kern w:val="0"/>
        </w:rPr>
        <w:t xml:space="preserve">molecularly defined </w:t>
      </w:r>
      <w:r>
        <w:rPr>
          <w:rFonts w:ascii="Arial" w:hAnsi="Arial" w:cs="Arial"/>
          <w:kern w:val="0"/>
        </w:rPr>
        <w:t xml:space="preserve">population </w:t>
      </w:r>
      <w:r w:rsidR="00967749">
        <w:rPr>
          <w:rFonts w:ascii="Arial" w:hAnsi="Arial" w:cs="Arial"/>
          <w:kern w:val="0"/>
        </w:rPr>
        <w:t>exist</w:t>
      </w:r>
      <w:r w:rsidRPr="000863BD">
        <w:rPr>
          <w:rFonts w:ascii="Arial" w:hAnsi="Arial" w:cs="Arial"/>
          <w:kern w:val="0"/>
        </w:rPr>
        <w:t xml:space="preserve"> dorsal-ventral</w:t>
      </w:r>
      <w:r w:rsidR="00967749">
        <w:rPr>
          <w:rFonts w:ascii="Arial" w:hAnsi="Arial" w:cs="Arial"/>
          <w:kern w:val="0"/>
        </w:rPr>
        <w:t xml:space="preserve"> and striosome-matrix</w:t>
      </w:r>
      <w:r w:rsidRPr="000863BD"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gradients</w:t>
      </w:r>
      <w:r w:rsidRPr="000863BD">
        <w:rPr>
          <w:rFonts w:ascii="Arial" w:hAnsi="Arial" w:cs="Arial"/>
          <w:kern w:val="0"/>
        </w:rPr>
        <w:t xml:space="preserve">. </w:t>
      </w:r>
      <w:r w:rsidR="00967749">
        <w:rPr>
          <w:rFonts w:ascii="Arial" w:hAnsi="Arial" w:cs="Arial"/>
          <w:kern w:val="0"/>
        </w:rPr>
        <w:t xml:space="preserve">These inferences from single cell data map onto published </w:t>
      </w:r>
      <w:r w:rsidR="00967749" w:rsidRPr="000863BD">
        <w:rPr>
          <w:rFonts w:ascii="Arial" w:hAnsi="Arial" w:cs="Arial"/>
          <w:kern w:val="0"/>
        </w:rPr>
        <w:t xml:space="preserve">MERFISH spatial transcriptomics </w:t>
      </w:r>
      <w:r w:rsidR="00967749">
        <w:rPr>
          <w:rFonts w:ascii="Arial" w:hAnsi="Arial" w:cs="Arial"/>
          <w:kern w:val="0"/>
        </w:rPr>
        <w:t>from the adult</w:t>
      </w:r>
      <w:r w:rsidR="00967749" w:rsidRPr="000863BD">
        <w:rPr>
          <w:rFonts w:ascii="Arial" w:hAnsi="Arial" w:cs="Arial"/>
          <w:kern w:val="0"/>
        </w:rPr>
        <w:t xml:space="preserve"> mouse striatum</w:t>
      </w:r>
      <w:r w:rsidR="00967749">
        <w:rPr>
          <w:rFonts w:ascii="Arial" w:hAnsi="Arial" w:cs="Arial"/>
          <w:kern w:val="0"/>
        </w:rPr>
        <w:t>.</w:t>
      </w:r>
    </w:p>
    <w:p w14:paraId="4D6826F0" w14:textId="77777777" w:rsidR="000863BD" w:rsidRDefault="000863BD" w:rsidP="000863BD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03B35478" w14:textId="77777777" w:rsidR="000863BD" w:rsidRDefault="000863BD" w:rsidP="000863BD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705A8023" w14:textId="27395D3B" w:rsidR="000863BD" w:rsidRPr="000863BD" w:rsidRDefault="000863BD" w:rsidP="000863BD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0863BD">
        <w:rPr>
          <w:rFonts w:ascii="Arial" w:hAnsi="Arial" w:cs="Arial"/>
          <w:kern w:val="0"/>
        </w:rPr>
        <w:t xml:space="preserve">We then integrated this data with single-nuclei multi-omics analyses to develop a. To extend these findings, we performed cross-species integration of SPN datasets from multiple mammalian species, including human, non-human primate, and rodent data. This multi-mammalian analysis uncovered conserved SPN subtypes across species and allowed us to map these subtypes onto complementary spatial transcriptomics data, bridging anatomical and transcriptomic perspectives. Notably, we found that D1/D2 receptor co-expressing SPNs further differentiate into distinct subtypes based on spatial organization and conserved marker genes across species. By leveraging this cross-species integration, we were able to link each conserved SPN subtype to human genetic predisposition for neuropsychiatric conditions, with a particular focus on pain and addiction. Our results provide novel insights into striatal neuron heterogeneity </w:t>
      </w:r>
      <w:r w:rsidRPr="000863BD">
        <w:rPr>
          <w:rFonts w:ascii="Arial" w:hAnsi="Arial" w:cs="Arial"/>
          <w:kern w:val="0"/>
        </w:rPr>
        <w:lastRenderedPageBreak/>
        <w:t>across mammals and its implications for understanding the genetic basis of pain and addiction susceptibility in humans, offering a foundation for future targeted investigations in addiction neurobiology and pain research.</w:t>
      </w:r>
    </w:p>
    <w:p w14:paraId="5AF2ABCF" w14:textId="77777777" w:rsidR="000863BD" w:rsidRPr="000863BD" w:rsidRDefault="000863BD" w:rsidP="000863BD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08EFCF15" w14:textId="77777777" w:rsidR="000D5A3B" w:rsidRPr="000863BD" w:rsidRDefault="000D5A3B">
      <w:pPr>
        <w:rPr>
          <w:rFonts w:ascii="Arial" w:hAnsi="Arial" w:cs="Arial"/>
        </w:rPr>
      </w:pPr>
    </w:p>
    <w:sectPr w:rsidR="000D5A3B" w:rsidRPr="000863BD" w:rsidSect="000863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BD"/>
    <w:rsid w:val="000863BD"/>
    <w:rsid w:val="000A41E2"/>
    <w:rsid w:val="000D5A3B"/>
    <w:rsid w:val="001F5E5F"/>
    <w:rsid w:val="00613373"/>
    <w:rsid w:val="00665240"/>
    <w:rsid w:val="006B1388"/>
    <w:rsid w:val="00721E46"/>
    <w:rsid w:val="00757C78"/>
    <w:rsid w:val="00796BA7"/>
    <w:rsid w:val="00806549"/>
    <w:rsid w:val="00967749"/>
    <w:rsid w:val="00AD19F6"/>
    <w:rsid w:val="00B0614D"/>
    <w:rsid w:val="00B6631D"/>
    <w:rsid w:val="00BF57C0"/>
    <w:rsid w:val="00F05BCF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3611C"/>
  <w15:chartTrackingRefBased/>
  <w15:docId w15:val="{2EFEDE87-9385-DB40-8587-78536FBF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721E46"/>
    <w:rPr>
      <w:rFonts w:ascii="Courier New" w:eastAsiaTheme="minorEastAsia" w:hAnsi="Courier New" w:cs="Courier New"/>
      <w:kern w:val="0"/>
      <w:lang w:eastAsia="ko-K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6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BaDoi</dc:creator>
  <cp:keywords/>
  <dc:description/>
  <cp:lastModifiedBy>Phan, BaDoi</cp:lastModifiedBy>
  <cp:revision>3</cp:revision>
  <dcterms:created xsi:type="dcterms:W3CDTF">2024-08-14T02:17:00Z</dcterms:created>
  <dcterms:modified xsi:type="dcterms:W3CDTF">2024-08-14T02:17:00Z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2024-08-06T19:33:58Z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a711a1d4-f0fe-4016-bf73-6197ecde1fd1</vt:lpwstr>
  </property>
  <property fmtid="{D5CDD505-2E9C-101B-9397-08002B2CF9AE}" pid="8" name="MSIP_Label_5e4b1be8-281e-475d-98b0-21c3457e5a46_ContentBits">
    <vt:lpwstr>0</vt:lpwstr>
  </property>
</Properties>
</file>