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Financial &amp; Stock Market Analysis Report 2026</w:t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p>
      <w:r>
        <w:br/>
        <w:t>Global equity markets experienced significant volatility this quarter amid macroeconomic uncertainty,</w:t>
        <w:br/>
        <w:t>central bank policy shifts, and geopolitical tensions. Investors reacted strongly to inflation reports,</w:t>
        <w:br/>
        <w:t>corporate earnings announcements, and technology sector valuations. Major indices such as the S&amp;P 500,</w:t>
        <w:br/>
        <w:t>NASDAQ, and Dow Jones Industrial Average fluctuated sharply following Federal Reserve guidance.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