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Rajshahi University of Engineering &amp; Technology</w:t>
      </w:r>
    </w:p>
    <w:p>
      <w:pPr>
        <w:spacing w:after="80"/>
        <w:jc w:val="center"/>
      </w:pPr>
      <w:r>
        <w:rPr>
          <w:rFonts w:ascii="Times New Roman" w:hAnsi="Times New Roman"/>
          <w:b/>
          <w:sz w:val="24"/>
        </w:rPr>
        <w:t>Department of Computer Science &amp; Engineering</w:t>
        <w:br/>
        <w:t>CSE 3206: Software Engineering Sessional (22 Series)</w:t>
      </w:r>
    </w:p>
    <w:p>
      <w:pPr>
        <w:spacing w:before="120" w:after="160"/>
        <w:jc w:val="center"/>
      </w:pPr>
      <w:r>
        <w:rPr>
          <w:rFonts w:ascii="Times New Roman" w:hAnsi="Times New Roman"/>
          <w:b/>
          <w:color w:val="0F172A"/>
          <w:sz w:val="26"/>
        </w:rPr>
        <w:t>LEARNING LOG: SELF-DIRECTED LIFELONG LEARNING (CO4, PO12)</w:t>
        <w:br/>
        <w:t>Project: CampusSync — RUET Campus Event Management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80" w:type="dxa"/>
              <w:bottom w:w="80" w:type="dxa"/>
              <w:left w:w="100" w:type="dxa"/>
              <w:right w:w="100" w:type="dxa"/>
            </w:tcMar>
          </w:tcPr>
          <w:p>
            <w:pPr>
              <w:jc w:val="center"/>
            </w:pPr>
            <w:r>
              <w:rPr>
                <w:rFonts w:ascii="Times New Roman" w:hAnsi="Times New Roman"/>
                <w:b/>
                <w:sz w:val="20"/>
              </w:rPr>
              <w:t>Student Name</w:t>
            </w:r>
          </w:p>
        </w:tc>
        <w:tc>
          <w:tcPr>
            <w:tcW w:type="dxa" w:w="1728"/>
            <w:shd w:fill="E2E8F0"/>
            <w:tcMar>
              <w:top w:w="80" w:type="dxa"/>
              <w:bottom w:w="80" w:type="dxa"/>
              <w:left w:w="100" w:type="dxa"/>
              <w:right w:w="100" w:type="dxa"/>
            </w:tcMar>
          </w:tcPr>
          <w:p>
            <w:pPr>
              <w:jc w:val="center"/>
            </w:pPr>
            <w:r>
              <w:rPr>
                <w:rFonts w:ascii="Times New Roman" w:hAnsi="Times New Roman"/>
                <w:b/>
                <w:sz w:val="20"/>
              </w:rPr>
              <w:t>Roll / ID</w:t>
            </w:r>
          </w:p>
        </w:tc>
        <w:tc>
          <w:tcPr>
            <w:tcW w:type="dxa" w:w="3312"/>
            <w:shd w:fill="E2E8F0"/>
            <w:tcMar>
              <w:top w:w="80" w:type="dxa"/>
              <w:bottom w:w="80" w:type="dxa"/>
              <w:left w:w="100" w:type="dxa"/>
              <w:right w:w="100" w:type="dxa"/>
            </w:tcMar>
          </w:tcPr>
          <w:p>
            <w:pPr>
              <w:jc w:val="center"/>
            </w:pPr>
            <w:r>
              <w:rPr>
                <w:rFonts w:ascii="Times New Roman" w:hAnsi="Times New Roman"/>
                <w:b/>
                <w:sz w:val="20"/>
              </w:rPr>
              <w:t>New Tool Studied</w:t>
            </w:r>
          </w:p>
        </w:tc>
        <w:tc>
          <w:tcPr>
            <w:tcW w:type="dxa" w:w="1728"/>
            <w:shd w:fill="E2E8F0"/>
            <w:tcMar>
              <w:top w:w="80" w:type="dxa"/>
              <w:bottom w:w="80" w:type="dxa"/>
              <w:left w:w="100" w:type="dxa"/>
              <w:right w:w="100" w:type="dxa"/>
            </w:tcMar>
          </w:tcPr>
          <w:p>
            <w:pPr>
              <w:jc w:val="center"/>
            </w:pPr>
            <w:r>
              <w:rPr>
                <w:rFonts w:ascii="Times New Roman" w:hAnsi="Times New Roman"/>
                <w:b/>
                <w:sz w:val="20"/>
              </w:rPr>
              <w:t>Academic Series</w:t>
            </w:r>
          </w:p>
        </w:tc>
      </w:tr>
      <w:tr>
        <w:tc>
          <w:tcPr>
            <w:tcW w:type="dxa" w:w="2592"/>
            <w:shd w:fill="FFFFFF"/>
            <w:tcMar>
              <w:top w:w="60" w:type="dxa"/>
              <w:bottom w:w="60" w:type="dxa"/>
              <w:left w:w="100" w:type="dxa"/>
              <w:right w:w="100" w:type="dxa"/>
            </w:tcMar>
          </w:tcPr>
          <w:p>
            <w:r>
              <w:rPr>
                <w:rFonts w:ascii="Times New Roman" w:hAnsi="Times New Roman"/>
                <w:sz w:val="19"/>
              </w:rPr>
              <w:t>Badruddin Tasnim</w:t>
            </w:r>
          </w:p>
        </w:tc>
        <w:tc>
          <w:tcPr>
            <w:tcW w:type="dxa" w:w="1728"/>
            <w:shd w:fill="FFFFFF"/>
            <w:tcMar>
              <w:top w:w="60" w:type="dxa"/>
              <w:bottom w:w="60" w:type="dxa"/>
              <w:left w:w="100" w:type="dxa"/>
              <w:right w:w="100" w:type="dxa"/>
            </w:tcMar>
          </w:tcPr>
          <w:p>
            <w:r>
              <w:rPr>
                <w:rFonts w:ascii="Times New Roman" w:hAnsi="Times New Roman"/>
                <w:sz w:val="19"/>
              </w:rPr>
              <w:t>2203001</w:t>
            </w:r>
          </w:p>
        </w:tc>
        <w:tc>
          <w:tcPr>
            <w:tcW w:type="dxa" w:w="3312"/>
            <w:shd w:fill="FFFFFF"/>
            <w:tcMar>
              <w:top w:w="60" w:type="dxa"/>
              <w:bottom w:w="60" w:type="dxa"/>
              <w:left w:w="100" w:type="dxa"/>
              <w:right w:w="100" w:type="dxa"/>
            </w:tcMar>
          </w:tcPr>
          <w:p>
            <w:r>
              <w:rPr>
                <w:rFonts w:ascii="Times New Roman" w:hAnsi="Times New Roman"/>
                <w:sz w:val="19"/>
              </w:rPr>
              <w:t>GitHub Projects (Kanban &amp; Automation)</w:t>
            </w:r>
          </w:p>
        </w:tc>
        <w:tc>
          <w:tcPr>
            <w:tcW w:type="dxa" w:w="1728"/>
            <w:shd w:fill="FFFFFF"/>
            <w:tcMar>
              <w:top w:w="60" w:type="dxa"/>
              <w:bottom w:w="60" w:type="dxa"/>
              <w:left w:w="100" w:type="dxa"/>
              <w:right w:w="100" w:type="dxa"/>
            </w:tcMar>
          </w:tcPr>
          <w:p>
            <w:r>
              <w:rPr>
                <w:rFonts w:ascii="Times New Roman" w:hAnsi="Times New Roman"/>
                <w:sz w:val="19"/>
              </w:rPr>
              <w:t>22 Series (RUET CSE)</w:t>
            </w:r>
          </w:p>
        </w:tc>
      </w:tr>
    </w:tbl>
    <w:p>
      <w:pPr>
        <w:spacing w:after="80"/>
      </w:pPr>
    </w:p>
    <w:p>
      <w:pPr>
        <w:spacing w:before="240" w:after="80"/>
      </w:pPr>
      <w:r>
        <w:rPr>
          <w:rFonts w:ascii="Times New Roman" w:hAnsi="Times New Roman"/>
          <w:b/>
          <w:color w:val="0F172A"/>
          <w:sz w:val="28"/>
        </w:rPr>
        <w:t>1. Objectives &amp; Overview of Self-Directed Learning</w:t>
      </w:r>
    </w:p>
    <w:p>
      <w:pPr>
        <w:spacing w:line="276" w:lineRule="auto" w:after="80"/>
      </w:pPr>
      <w:r>
        <w:rPr>
          <w:rFonts w:ascii="Times New Roman" w:hAnsi="Times New Roman"/>
          <w:i w:val="0"/>
          <w:sz w:val="22"/>
        </w:rPr>
        <w:t>In fulfillment of Course Outcome CO4 and Program Outcome PO12 (Recognizing the need for, and having the preparation and ability to engage in independent and lifelong learning in the broadest context of technological change), this Learning Log documents the self-directed acquisition of modern engineering methodologies outside the core sessional curriculum. Specifically, it chronicles the adoption of GitHub Projects for Agile sprint management, Test-Driven Development (TDD) using Vitest with external dependency mocks, and the practical implementation of GoF Design Patterns.</w:t>
      </w:r>
    </w:p>
    <w:p>
      <w:pPr>
        <w:spacing w:before="240" w:after="80"/>
      </w:pPr>
      <w:r>
        <w:rPr>
          <w:rFonts w:ascii="Times New Roman" w:hAnsi="Times New Roman"/>
          <w:b/>
          <w:color w:val="0F172A"/>
          <w:sz w:val="28"/>
        </w:rPr>
        <w:t>2. Chronological Engineering Log &amp; Sprint Milestones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E2E8F0"/>
            <w:tcMar>
              <w:top w:w="80" w:type="dxa"/>
              <w:bottom w:w="80" w:type="dxa"/>
              <w:left w:w="100" w:type="dxa"/>
              <w:right w:w="100" w:type="dxa"/>
            </w:tcMar>
          </w:tcPr>
          <w:p>
            <w:pPr>
              <w:jc w:val="center"/>
            </w:pPr>
            <w:r>
              <w:rPr>
                <w:rFonts w:ascii="Times New Roman" w:hAnsi="Times New Roman"/>
                <w:b/>
                <w:sz w:val="20"/>
              </w:rPr>
              <w:t>Date &amp; Sprint</w:t>
            </w:r>
          </w:p>
        </w:tc>
        <w:tc>
          <w:tcPr>
            <w:tcW w:type="dxa" w:w="2160"/>
            <w:shd w:fill="E2E8F0"/>
            <w:tcMar>
              <w:top w:w="80" w:type="dxa"/>
              <w:bottom w:w="80" w:type="dxa"/>
              <w:left w:w="100" w:type="dxa"/>
              <w:right w:w="100" w:type="dxa"/>
            </w:tcMar>
          </w:tcPr>
          <w:p>
            <w:pPr>
              <w:jc w:val="center"/>
            </w:pPr>
            <w:r>
              <w:rPr>
                <w:rFonts w:ascii="Times New Roman" w:hAnsi="Times New Roman"/>
                <w:b/>
                <w:sz w:val="20"/>
              </w:rPr>
              <w:t>Focus Area / Task</w:t>
            </w:r>
          </w:p>
        </w:tc>
        <w:tc>
          <w:tcPr>
            <w:tcW w:type="dxa" w:w="3312"/>
            <w:shd w:fill="E2E8F0"/>
            <w:tcMar>
              <w:top w:w="80" w:type="dxa"/>
              <w:bottom w:w="80" w:type="dxa"/>
              <w:left w:w="100" w:type="dxa"/>
              <w:right w:w="100" w:type="dxa"/>
            </w:tcMar>
          </w:tcPr>
          <w:p>
            <w:pPr>
              <w:jc w:val="center"/>
            </w:pPr>
            <w:r>
              <w:rPr>
                <w:rFonts w:ascii="Times New Roman" w:hAnsi="Times New Roman"/>
                <w:b/>
                <w:sz w:val="20"/>
              </w:rPr>
              <w:t>Self-Directed Activity &amp; Tool Application</w:t>
            </w:r>
          </w:p>
        </w:tc>
        <w:tc>
          <w:tcPr>
            <w:tcW w:type="dxa" w:w="2160"/>
            <w:shd w:fill="E2E8F0"/>
            <w:tcMar>
              <w:top w:w="80" w:type="dxa"/>
              <w:bottom w:w="80" w:type="dxa"/>
              <w:left w:w="100" w:type="dxa"/>
              <w:right w:w="100" w:type="dxa"/>
            </w:tcMar>
          </w:tcPr>
          <w:p>
            <w:pPr>
              <w:jc w:val="center"/>
            </w:pPr>
            <w:r>
              <w:rPr>
                <w:rFonts w:ascii="Times New Roman" w:hAnsi="Times New Roman"/>
                <w:b/>
                <w:sz w:val="20"/>
              </w:rPr>
              <w:t>Key Engineering Takeaway</w:t>
            </w:r>
          </w:p>
        </w:tc>
      </w:tr>
      <w:tr>
        <w:tc>
          <w:tcPr>
            <w:tcW w:type="dxa" w:w="1728"/>
            <w:shd w:fill="FFFFFF"/>
            <w:tcMar>
              <w:top w:w="60" w:type="dxa"/>
              <w:bottom w:w="60" w:type="dxa"/>
              <w:left w:w="100" w:type="dxa"/>
              <w:right w:w="100" w:type="dxa"/>
            </w:tcMar>
          </w:tcPr>
          <w:p>
            <w:r>
              <w:rPr>
                <w:rFonts w:ascii="Times New Roman" w:hAnsi="Times New Roman"/>
                <w:sz w:val="19"/>
              </w:rPr>
              <w:t>Day 1-3</w:t>
              <w:br/>
              <w:t>(Sprint 0)</w:t>
            </w:r>
          </w:p>
        </w:tc>
        <w:tc>
          <w:tcPr>
            <w:tcW w:type="dxa" w:w="2160"/>
            <w:shd w:fill="FFFFFF"/>
            <w:tcMar>
              <w:top w:w="60" w:type="dxa"/>
              <w:bottom w:w="60" w:type="dxa"/>
              <w:left w:w="100" w:type="dxa"/>
              <w:right w:w="100" w:type="dxa"/>
            </w:tcMar>
          </w:tcPr>
          <w:p>
            <w:r>
              <w:rPr>
                <w:rFonts w:ascii="Times New Roman" w:hAnsi="Times New Roman"/>
                <w:sz w:val="19"/>
              </w:rPr>
              <w:t>Tool Selection &amp; Environment Setup</w:t>
            </w:r>
          </w:p>
        </w:tc>
        <w:tc>
          <w:tcPr>
            <w:tcW w:type="dxa" w:w="3312"/>
            <w:shd w:fill="FFFFFF"/>
            <w:tcMar>
              <w:top w:w="60" w:type="dxa"/>
              <w:bottom w:w="60" w:type="dxa"/>
              <w:left w:w="100" w:type="dxa"/>
              <w:right w:w="100" w:type="dxa"/>
            </w:tcMar>
          </w:tcPr>
          <w:p>
            <w:r>
              <w:rPr>
                <w:rFonts w:ascii="Times New Roman" w:hAnsi="Times New Roman"/>
                <w:sz w:val="19"/>
              </w:rPr>
              <w:t>Researched project management alternatives beyond the syllabus. Compared Jira vs. Trello vs. GitHub Projects. Configured GitHub Projects beta with custom Kanban status fields (Backlog, Ready, In Progress, In Review, Done).</w:t>
            </w:r>
          </w:p>
        </w:tc>
        <w:tc>
          <w:tcPr>
            <w:tcW w:type="dxa" w:w="2160"/>
            <w:shd w:fill="FFFFFF"/>
            <w:tcMar>
              <w:top w:w="60" w:type="dxa"/>
              <w:bottom w:w="60" w:type="dxa"/>
              <w:left w:w="100" w:type="dxa"/>
              <w:right w:w="100" w:type="dxa"/>
            </w:tcMar>
          </w:tcPr>
          <w:p>
            <w:r>
              <w:rPr>
                <w:rFonts w:ascii="Times New Roman" w:hAnsi="Times New Roman"/>
                <w:sz w:val="19"/>
              </w:rPr>
              <w:t>Native Git integration drastically reduces cognitive friction compared to standalone boards like Trello.</w:t>
            </w:r>
          </w:p>
        </w:tc>
      </w:tr>
      <w:tr>
        <w:tc>
          <w:tcPr>
            <w:tcW w:type="dxa" w:w="1728"/>
            <w:shd w:fill="F8FAFC"/>
            <w:tcMar>
              <w:top w:w="60" w:type="dxa"/>
              <w:bottom w:w="60" w:type="dxa"/>
              <w:left w:w="100" w:type="dxa"/>
              <w:right w:w="100" w:type="dxa"/>
            </w:tcMar>
          </w:tcPr>
          <w:p>
            <w:r>
              <w:rPr>
                <w:rFonts w:ascii="Times New Roman" w:hAnsi="Times New Roman"/>
                <w:sz w:val="19"/>
              </w:rPr>
              <w:t>Day 4-6</w:t>
              <w:br/>
              <w:t>(Sprint 1)</w:t>
            </w:r>
          </w:p>
        </w:tc>
        <w:tc>
          <w:tcPr>
            <w:tcW w:type="dxa" w:w="2160"/>
            <w:shd w:fill="F8FAFC"/>
            <w:tcMar>
              <w:top w:w="60" w:type="dxa"/>
              <w:bottom w:w="60" w:type="dxa"/>
              <w:left w:w="100" w:type="dxa"/>
              <w:right w:w="100" w:type="dxa"/>
            </w:tcMar>
          </w:tcPr>
          <w:p>
            <w:r>
              <w:rPr>
                <w:rFonts w:ascii="Times New Roman" w:hAnsi="Times New Roman"/>
                <w:sz w:val="19"/>
              </w:rPr>
              <w:t>Requirements &amp; User Stories</w:t>
            </w:r>
          </w:p>
        </w:tc>
        <w:tc>
          <w:tcPr>
            <w:tcW w:type="dxa" w:w="3312"/>
            <w:shd w:fill="F8FAFC"/>
            <w:tcMar>
              <w:top w:w="60" w:type="dxa"/>
              <w:bottom w:w="60" w:type="dxa"/>
              <w:left w:w="100" w:type="dxa"/>
              <w:right w:w="100" w:type="dxa"/>
            </w:tcMar>
          </w:tcPr>
          <w:p>
            <w:r>
              <w:rPr>
                <w:rFonts w:ascii="Times New Roman" w:hAnsi="Times New Roman"/>
                <w:sz w:val="19"/>
              </w:rPr>
              <w:t>Drafted formal functional requirements for 5 modules. Converted user stories into GitHub Issues with Acceptance Criteria (Given-When-Then). Linked issues to the GitHub Project board.</w:t>
            </w:r>
          </w:p>
        </w:tc>
        <w:tc>
          <w:tcPr>
            <w:tcW w:type="dxa" w:w="2160"/>
            <w:shd w:fill="F8FAFC"/>
            <w:tcMar>
              <w:top w:w="60" w:type="dxa"/>
              <w:bottom w:w="60" w:type="dxa"/>
              <w:left w:w="100" w:type="dxa"/>
              <w:right w:w="100" w:type="dxa"/>
            </w:tcMar>
          </w:tcPr>
          <w:p>
            <w:r>
              <w:rPr>
                <w:rFonts w:ascii="Times New Roman" w:hAnsi="Times New Roman"/>
                <w:sz w:val="19"/>
              </w:rPr>
              <w:t>Breaking monolithic requirements into verifiable user stories prevents scope creep early in the lifecycle.</w:t>
            </w:r>
          </w:p>
        </w:tc>
      </w:tr>
      <w:tr>
        <w:tc>
          <w:tcPr>
            <w:tcW w:type="dxa" w:w="1728"/>
            <w:shd w:fill="FFFFFF"/>
            <w:tcMar>
              <w:top w:w="60" w:type="dxa"/>
              <w:bottom w:w="60" w:type="dxa"/>
              <w:left w:w="100" w:type="dxa"/>
              <w:right w:w="100" w:type="dxa"/>
            </w:tcMar>
          </w:tcPr>
          <w:p>
            <w:r>
              <w:rPr>
                <w:rFonts w:ascii="Times New Roman" w:hAnsi="Times New Roman"/>
                <w:sz w:val="19"/>
              </w:rPr>
              <w:t>Day 7-9</w:t>
              <w:br/>
              <w:t>(Sprint 1)</w:t>
            </w:r>
          </w:p>
        </w:tc>
        <w:tc>
          <w:tcPr>
            <w:tcW w:type="dxa" w:w="2160"/>
            <w:shd w:fill="FFFFFF"/>
            <w:tcMar>
              <w:top w:w="60" w:type="dxa"/>
              <w:bottom w:w="60" w:type="dxa"/>
              <w:left w:w="100" w:type="dxa"/>
              <w:right w:w="100" w:type="dxa"/>
            </w:tcMar>
          </w:tcPr>
          <w:p>
            <w:r>
              <w:rPr>
                <w:rFonts w:ascii="Times New Roman" w:hAnsi="Times New Roman"/>
                <w:sz w:val="19"/>
              </w:rPr>
              <w:t>Design Patterns Architecture</w:t>
            </w:r>
          </w:p>
        </w:tc>
        <w:tc>
          <w:tcPr>
            <w:tcW w:type="dxa" w:w="3312"/>
            <w:shd w:fill="FFFFFF"/>
            <w:tcMar>
              <w:top w:w="60" w:type="dxa"/>
              <w:bottom w:w="60" w:type="dxa"/>
              <w:left w:w="100" w:type="dxa"/>
              <w:right w:w="100" w:type="dxa"/>
            </w:tcMar>
          </w:tcPr>
          <w:p>
            <w:r>
              <w:rPr>
                <w:rFonts w:ascii="Times New Roman" w:hAnsi="Times New Roman"/>
                <w:sz w:val="19"/>
              </w:rPr>
              <w:t>Studied GoF creational and behavioral patterns. Implemented Singleton pattern for Firebase initialization, Factory pattern for polymorphic campus events, and Observer pattern for event bus notifications.</w:t>
            </w:r>
          </w:p>
        </w:tc>
        <w:tc>
          <w:tcPr>
            <w:tcW w:type="dxa" w:w="2160"/>
            <w:shd w:fill="FFFFFF"/>
            <w:tcMar>
              <w:top w:w="60" w:type="dxa"/>
              <w:bottom w:w="60" w:type="dxa"/>
              <w:left w:w="100" w:type="dxa"/>
              <w:right w:w="100" w:type="dxa"/>
            </w:tcMar>
          </w:tcPr>
          <w:p>
            <w:r>
              <w:rPr>
                <w:rFonts w:ascii="Times New Roman" w:hAnsi="Times New Roman"/>
                <w:sz w:val="19"/>
              </w:rPr>
              <w:t>Design patterns are not academic abstractions—they tangibly protect codebases against breaking modifications.</w:t>
            </w:r>
          </w:p>
        </w:tc>
      </w:tr>
      <w:tr>
        <w:tc>
          <w:tcPr>
            <w:tcW w:type="dxa" w:w="1728"/>
            <w:shd w:fill="F8FAFC"/>
            <w:tcMar>
              <w:top w:w="60" w:type="dxa"/>
              <w:bottom w:w="60" w:type="dxa"/>
              <w:left w:w="100" w:type="dxa"/>
              <w:right w:w="100" w:type="dxa"/>
            </w:tcMar>
          </w:tcPr>
          <w:p>
            <w:r>
              <w:rPr>
                <w:rFonts w:ascii="Times New Roman" w:hAnsi="Times New Roman"/>
                <w:sz w:val="19"/>
              </w:rPr>
              <w:t>Day 10-12</w:t>
              <w:br/>
              <w:t>(Sprint 2)</w:t>
            </w:r>
          </w:p>
        </w:tc>
        <w:tc>
          <w:tcPr>
            <w:tcW w:type="dxa" w:w="2160"/>
            <w:shd w:fill="F8FAFC"/>
            <w:tcMar>
              <w:top w:w="60" w:type="dxa"/>
              <w:bottom w:w="60" w:type="dxa"/>
              <w:left w:w="100" w:type="dxa"/>
              <w:right w:w="100" w:type="dxa"/>
            </w:tcMar>
          </w:tcPr>
          <w:p>
            <w:r>
              <w:rPr>
                <w:rFonts w:ascii="Times New Roman" w:hAnsi="Times New Roman"/>
                <w:sz w:val="19"/>
              </w:rPr>
              <w:t>TDD &amp; Mocking Strategy</w:t>
            </w:r>
          </w:p>
        </w:tc>
        <w:tc>
          <w:tcPr>
            <w:tcW w:type="dxa" w:w="3312"/>
            <w:shd w:fill="F8FAFC"/>
            <w:tcMar>
              <w:top w:w="60" w:type="dxa"/>
              <w:bottom w:w="60" w:type="dxa"/>
              <w:left w:w="100" w:type="dxa"/>
              <w:right w:w="100" w:type="dxa"/>
            </w:tcMar>
          </w:tcPr>
          <w:p>
            <w:r>
              <w:rPr>
                <w:rFonts w:ascii="Times New Roman" w:hAnsi="Times New Roman"/>
                <w:sz w:val="19"/>
              </w:rPr>
              <w:t>Transitioned away from cumbersome legacy testing setups. Self-learned Vitest and v8 coverage. Implemented isolated mocks for Firebase Firestore methods (`getDocs`, `setDoc`, `updateDoc`).</w:t>
            </w:r>
          </w:p>
        </w:tc>
        <w:tc>
          <w:tcPr>
            <w:tcW w:type="dxa" w:w="2160"/>
            <w:shd w:fill="F8FAFC"/>
            <w:tcMar>
              <w:top w:w="60" w:type="dxa"/>
              <w:bottom w:w="60" w:type="dxa"/>
              <w:left w:w="100" w:type="dxa"/>
              <w:right w:w="100" w:type="dxa"/>
            </w:tcMar>
          </w:tcPr>
          <w:p>
            <w:r>
              <w:rPr>
                <w:rFonts w:ascii="Times New Roman" w:hAnsi="Times New Roman"/>
                <w:sz w:val="19"/>
              </w:rPr>
              <w:t>Mocking external cloud dependencies allows continuous integration testing without internet connectivity or cloud cost.</w:t>
            </w:r>
          </w:p>
        </w:tc>
      </w:tr>
      <w:tr>
        <w:tc>
          <w:tcPr>
            <w:tcW w:type="dxa" w:w="1728"/>
            <w:shd w:fill="FFFFFF"/>
            <w:tcMar>
              <w:top w:w="60" w:type="dxa"/>
              <w:bottom w:w="60" w:type="dxa"/>
              <w:left w:w="100" w:type="dxa"/>
              <w:right w:w="100" w:type="dxa"/>
            </w:tcMar>
          </w:tcPr>
          <w:p>
            <w:r>
              <w:rPr>
                <w:rFonts w:ascii="Times New Roman" w:hAnsi="Times New Roman"/>
                <w:sz w:val="19"/>
              </w:rPr>
              <w:t>Day 13-14</w:t>
              <w:br/>
              <w:t>(Sprint 2)</w:t>
            </w:r>
          </w:p>
        </w:tc>
        <w:tc>
          <w:tcPr>
            <w:tcW w:type="dxa" w:w="2160"/>
            <w:shd w:fill="FFFFFF"/>
            <w:tcMar>
              <w:top w:w="60" w:type="dxa"/>
              <w:bottom w:w="60" w:type="dxa"/>
              <w:left w:w="100" w:type="dxa"/>
              <w:right w:w="100" w:type="dxa"/>
            </w:tcMar>
          </w:tcPr>
          <w:p>
            <w:r>
              <w:rPr>
                <w:rFonts w:ascii="Times New Roman" w:hAnsi="Times New Roman"/>
                <w:sz w:val="19"/>
              </w:rPr>
              <w:t>Git Workflow &amp; Merge Conflict</w:t>
            </w:r>
          </w:p>
        </w:tc>
        <w:tc>
          <w:tcPr>
            <w:tcW w:type="dxa" w:w="3312"/>
            <w:shd w:fill="FFFFFF"/>
            <w:tcMar>
              <w:top w:w="60" w:type="dxa"/>
              <w:bottom w:w="60" w:type="dxa"/>
              <w:left w:w="100" w:type="dxa"/>
              <w:right w:w="100" w:type="dxa"/>
            </w:tcMar>
          </w:tcPr>
          <w:p>
            <w:r>
              <w:rPr>
                <w:rFonts w:ascii="Times New Roman" w:hAnsi="Times New Roman"/>
                <w:sz w:val="19"/>
              </w:rPr>
              <w:t>Enforced strict feature-branch naming. Created PR #1 and PR #2 with simulated peer reviews. Induced a deliberate merge conflict on validation logic and resolved it cleanly.</w:t>
            </w:r>
          </w:p>
        </w:tc>
        <w:tc>
          <w:tcPr>
            <w:tcW w:type="dxa" w:w="2160"/>
            <w:shd w:fill="FFFFFF"/>
            <w:tcMar>
              <w:top w:w="60" w:type="dxa"/>
              <w:bottom w:w="60" w:type="dxa"/>
              <w:left w:w="100" w:type="dxa"/>
              <w:right w:w="100" w:type="dxa"/>
            </w:tcMar>
          </w:tcPr>
          <w:p>
            <w:r>
              <w:rPr>
                <w:rFonts w:ascii="Times New Roman" w:hAnsi="Times New Roman"/>
                <w:sz w:val="19"/>
              </w:rPr>
              <w:t>Merge conflicts reflect collaborative divergence; resolving them requires synthesizing logic rather than blindly picking one branch.</w:t>
            </w:r>
          </w:p>
        </w:tc>
      </w:tr>
      <w:tr>
        <w:tc>
          <w:tcPr>
            <w:tcW w:type="dxa" w:w="1728"/>
            <w:shd w:fill="F8FAFC"/>
            <w:tcMar>
              <w:top w:w="60" w:type="dxa"/>
              <w:bottom w:w="60" w:type="dxa"/>
              <w:left w:w="100" w:type="dxa"/>
              <w:right w:w="100" w:type="dxa"/>
            </w:tcMar>
          </w:tcPr>
          <w:p>
            <w:r>
              <w:rPr>
                <w:rFonts w:ascii="Times New Roman" w:hAnsi="Times New Roman"/>
                <w:sz w:val="19"/>
              </w:rPr>
              <w:t>Day 15-16</w:t>
              <w:br/>
              <w:t>(Sprint 3)</w:t>
            </w:r>
          </w:p>
        </w:tc>
        <w:tc>
          <w:tcPr>
            <w:tcW w:type="dxa" w:w="2160"/>
            <w:shd w:fill="F8FAFC"/>
            <w:tcMar>
              <w:top w:w="60" w:type="dxa"/>
              <w:bottom w:w="60" w:type="dxa"/>
              <w:left w:w="100" w:type="dxa"/>
              <w:right w:w="100" w:type="dxa"/>
            </w:tcMar>
          </w:tcPr>
          <w:p>
            <w:r>
              <w:rPr>
                <w:rFonts w:ascii="Times New Roman" w:hAnsi="Times New Roman"/>
                <w:sz w:val="19"/>
              </w:rPr>
              <w:t>UI Refinement &amp; Extensibility</w:t>
            </w:r>
          </w:p>
        </w:tc>
        <w:tc>
          <w:tcPr>
            <w:tcW w:type="dxa" w:w="3312"/>
            <w:shd w:fill="F8FAFC"/>
            <w:tcMar>
              <w:top w:w="60" w:type="dxa"/>
              <w:bottom w:w="60" w:type="dxa"/>
              <w:left w:w="100" w:type="dxa"/>
              <w:right w:w="100" w:type="dxa"/>
            </w:tcMar>
          </w:tcPr>
          <w:p>
            <w:r>
              <w:rPr>
                <w:rFonts w:ascii="Times New Roman" w:hAnsi="Times New Roman"/>
                <w:sz w:val="19"/>
              </w:rPr>
              <w:t>Constructed responsive UI with Tailwind CSS and Lucide icons. Subscribed UI components to EventBus for real-time seat decrementing and ticket badge updates.</w:t>
            </w:r>
          </w:p>
        </w:tc>
        <w:tc>
          <w:tcPr>
            <w:tcW w:type="dxa" w:w="2160"/>
            <w:shd w:fill="F8FAFC"/>
            <w:tcMar>
              <w:top w:w="60" w:type="dxa"/>
              <w:bottom w:w="60" w:type="dxa"/>
              <w:left w:w="100" w:type="dxa"/>
              <w:right w:w="100" w:type="dxa"/>
            </w:tcMar>
          </w:tcPr>
          <w:p>
            <w:r>
              <w:rPr>
                <w:rFonts w:ascii="Times New Roman" w:hAnsi="Times New Roman"/>
                <w:sz w:val="19"/>
              </w:rPr>
              <w:t>The Observer pattern eliminates messy multi-level React prop drilling, yielding modular presentation components.</w:t>
            </w:r>
          </w:p>
        </w:tc>
      </w:tr>
    </w:tbl>
    <w:p>
      <w:pPr>
        <w:spacing w:after="80"/>
      </w:pPr>
    </w:p>
    <w:p>
      <w:pPr>
        <w:spacing w:before="240" w:after="80"/>
      </w:pPr>
      <w:r>
        <w:rPr>
          <w:rFonts w:ascii="Times New Roman" w:hAnsi="Times New Roman"/>
          <w:b/>
          <w:color w:val="0F172A"/>
          <w:sz w:val="28"/>
        </w:rPr>
        <w:t>3. Deep Technical Challenges &amp; Resolution Log</w:t>
      </w:r>
    </w:p>
    <w:p>
      <w:pPr>
        <w:spacing w:before="160" w:after="60"/>
      </w:pPr>
      <w:r>
        <w:rPr>
          <w:rFonts w:ascii="Times New Roman" w:hAnsi="Times New Roman"/>
          <w:b/>
          <w:color w:val="1E293B"/>
          <w:sz w:val="24"/>
        </w:rPr>
        <w:t>Challenge 1: Cloud Firestore Network Coupling in Offline Test Suites</w:t>
      </w:r>
    </w:p>
    <w:p>
      <w:pPr>
        <w:pStyle w:val="ListBullet"/>
        <w:spacing w:line="276" w:lineRule="auto" w:after="40"/>
      </w:pPr>
      <w:r>
        <w:rPr>
          <w:rFonts w:ascii="Times New Roman" w:hAnsi="Times New Roman"/>
          <w:b/>
          <w:sz w:val="22"/>
        </w:rPr>
        <w:t>Problem Description:</w:t>
      </w:r>
      <w:r>
        <w:rPr>
          <w:rFonts w:ascii="Times New Roman" w:hAnsi="Times New Roman"/>
          <w:sz w:val="22"/>
        </w:rPr>
        <w:t xml:space="preserve"> When executing automated unit tests, test suites attempted real HTTP connections to Firebase Firestore, failing when network latency spiked or during offline campus lab sessions.</w:t>
      </w:r>
    </w:p>
    <w:p>
      <w:pPr>
        <w:pStyle w:val="ListBullet"/>
        <w:spacing w:line="276" w:lineRule="auto" w:after="40"/>
      </w:pPr>
      <w:r>
        <w:rPr>
          <w:rFonts w:ascii="Times New Roman" w:hAnsi="Times New Roman"/>
          <w:b/>
          <w:sz w:val="22"/>
        </w:rPr>
        <w:t>Root Cause &amp; Resolution:</w:t>
      </w:r>
      <w:r>
        <w:rPr>
          <w:rFonts w:ascii="Times New Roman" w:hAnsi="Times New Roman"/>
          <w:sz w:val="22"/>
        </w:rPr>
        <w:t xml:space="preserve"> Learned and applied Vitest module mocking via `vi.mock('firebase/firestore')`. Intercepted raw SDK queries with in-memory deterministic responses and engineered a dual-mode persistence fallback in `EventService` utilizing local storage.</w:t>
      </w:r>
    </w:p>
    <w:p>
      <w:pPr>
        <w:pStyle w:val="ListBullet"/>
        <w:spacing w:line="276" w:lineRule="auto" w:after="40"/>
      </w:pPr>
      <w:r>
        <w:rPr>
          <w:rFonts w:ascii="Times New Roman" w:hAnsi="Times New Roman"/>
          <w:b/>
          <w:sz w:val="22"/>
        </w:rPr>
        <w:t>Engineering Lesson:</w:t>
      </w:r>
      <w:r>
        <w:rPr>
          <w:rFonts w:ascii="Times New Roman" w:hAnsi="Times New Roman"/>
          <w:sz w:val="22"/>
        </w:rPr>
        <w:t xml:space="preserve"> Decoupling domain services from persistence implementations is imperative for reproducible testing.</w:t>
      </w:r>
    </w:p>
    <w:p>
      <w:pPr>
        <w:spacing w:before="160" w:after="60"/>
      </w:pPr>
      <w:r>
        <w:rPr>
          <w:rFonts w:ascii="Times New Roman" w:hAnsi="Times New Roman"/>
          <w:b/>
          <w:color w:val="1E293B"/>
          <w:sz w:val="24"/>
        </w:rPr>
        <w:t>Challenge 2: State Synchronization Across Decoupled Components</w:t>
      </w:r>
    </w:p>
    <w:p>
      <w:pPr>
        <w:pStyle w:val="ListBullet"/>
        <w:spacing w:line="276" w:lineRule="auto" w:after="40"/>
      </w:pPr>
      <w:r>
        <w:rPr>
          <w:rFonts w:ascii="Times New Roman" w:hAnsi="Times New Roman"/>
          <w:b/>
          <w:sz w:val="22"/>
        </w:rPr>
        <w:t>Problem Description:</w:t>
      </w:r>
      <w:r>
        <w:rPr>
          <w:rFonts w:ascii="Times New Roman" w:hAnsi="Times New Roman"/>
          <w:sz w:val="22"/>
        </w:rPr>
        <w:t xml:space="preserve"> Upon reserving an event ticket in the details modal, the card seat quota on the home page and the navbar ticket count badge failed to reflect the updated count without manually refreshing the browser.</w:t>
      </w:r>
    </w:p>
    <w:p>
      <w:pPr>
        <w:pStyle w:val="ListBullet"/>
        <w:spacing w:line="276" w:lineRule="auto" w:after="40"/>
      </w:pPr>
      <w:r>
        <w:rPr>
          <w:rFonts w:ascii="Times New Roman" w:hAnsi="Times New Roman"/>
          <w:b/>
          <w:sz w:val="22"/>
        </w:rPr>
        <w:t>Root Cause &amp; Resolution:</w:t>
      </w:r>
      <w:r>
        <w:rPr>
          <w:rFonts w:ascii="Times New Roman" w:hAnsi="Times New Roman"/>
          <w:sz w:val="22"/>
        </w:rPr>
        <w:t xml:space="preserve"> Designed and implemented a centralized, lightweight publish-subscribe `EventBus` (Observer pattern). Wrapped subscriptions inside React's `useEffect` hook with dedicated unsubscriber cleanups, allowing components to reactively re-render upon `RSVP_CONFIRMED` broadcasts.</w:t>
      </w:r>
    </w:p>
    <w:p>
      <w:pPr>
        <w:pStyle w:val="ListBullet"/>
        <w:spacing w:line="276" w:lineRule="auto" w:after="40"/>
      </w:pPr>
      <w:r>
        <w:rPr>
          <w:rFonts w:ascii="Times New Roman" w:hAnsi="Times New Roman"/>
          <w:b/>
          <w:sz w:val="22"/>
        </w:rPr>
        <w:t>Engineering Lesson:</w:t>
      </w:r>
      <w:r>
        <w:rPr>
          <w:rFonts w:ascii="Times New Roman" w:hAnsi="Times New Roman"/>
          <w:sz w:val="22"/>
        </w:rPr>
        <w:t xml:space="preserve"> Behavioral patterns provide clean, scalable event pipelines that preserve component decoupling.</w:t>
      </w:r>
    </w:p>
    <w:p>
      <w:pPr>
        <w:spacing w:before="160" w:after="60"/>
      </w:pPr>
      <w:r>
        <w:rPr>
          <w:rFonts w:ascii="Times New Roman" w:hAnsi="Times New Roman"/>
          <w:b/>
          <w:color w:val="1E293B"/>
          <w:sz w:val="24"/>
        </w:rPr>
        <w:t>Challenge 3: TDD Edge-Case Failure in Factory Validation</w:t>
      </w:r>
    </w:p>
    <w:p>
      <w:pPr>
        <w:pStyle w:val="ListBullet"/>
        <w:spacing w:line="276" w:lineRule="auto" w:after="40"/>
      </w:pPr>
      <w:r>
        <w:rPr>
          <w:rFonts w:ascii="Times New Roman" w:hAnsi="Times New Roman"/>
          <w:b/>
          <w:sz w:val="22"/>
        </w:rPr>
        <w:t>Problem Description:</w:t>
      </w:r>
      <w:r>
        <w:rPr>
          <w:rFonts w:ascii="Times New Roman" w:hAnsi="Times New Roman"/>
          <w:sz w:val="22"/>
        </w:rPr>
        <w:t xml:space="preserve"> During TDD execution of `EventFactory.test.js`, the test verifying minimum sports team sizes failed unexpectedly when passed `teamSize: 0`.</w:t>
      </w:r>
    </w:p>
    <w:p>
      <w:pPr>
        <w:pStyle w:val="ListBullet"/>
        <w:spacing w:line="276" w:lineRule="auto" w:after="40"/>
      </w:pPr>
      <w:r>
        <w:rPr>
          <w:rFonts w:ascii="Times New Roman" w:hAnsi="Times New Roman"/>
          <w:b/>
          <w:sz w:val="22"/>
        </w:rPr>
        <w:t>Root Cause &amp; Resolution:</w:t>
      </w:r>
      <w:r>
        <w:rPr>
          <w:rFonts w:ascii="Times New Roman" w:hAnsi="Times New Roman"/>
          <w:sz w:val="22"/>
        </w:rPr>
        <w:t xml:space="preserve"> The constructor used JavaScript's short-circuit fallback: `this.teamSize = Number(data.teamSize) || 1`. Because `0` is falsy in JavaScript, the expression coerced valid zero-input to 1, causing validation to pass mistakenly. Corrected the expression to explicit existence checking: `data.teamSize !== undefined ? Number(data.teamSize) : 1`.</w:t>
      </w:r>
    </w:p>
    <w:p>
      <w:pPr>
        <w:pStyle w:val="ListBullet"/>
        <w:spacing w:line="276" w:lineRule="auto" w:after="40"/>
      </w:pPr>
      <w:r>
        <w:rPr>
          <w:rFonts w:ascii="Times New Roman" w:hAnsi="Times New Roman"/>
          <w:b/>
          <w:sz w:val="22"/>
        </w:rPr>
        <w:t>Engineering Lesson:</w:t>
      </w:r>
      <w:r>
        <w:rPr>
          <w:rFonts w:ascii="Times New Roman" w:hAnsi="Times New Roman"/>
          <w:sz w:val="22"/>
        </w:rPr>
        <w:t xml:space="preserve"> Writing assertions prior to implementation exposes subtle language-level type coercion traps before code enters production.</w:t>
      </w:r>
    </w:p>
    <w:p>
      <w:pPr>
        <w:spacing w:before="240" w:after="80"/>
      </w:pPr>
      <w:r>
        <w:rPr>
          <w:rFonts w:ascii="Times New Roman" w:hAnsi="Times New Roman"/>
          <w:b/>
          <w:color w:val="0F172A"/>
          <w:sz w:val="28"/>
        </w:rPr>
        <w:t>4. Critical &amp; Honest Evaluation of Learning Resources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E2E8F0"/>
            <w:tcMar>
              <w:top w:w="80" w:type="dxa"/>
              <w:bottom w:w="80" w:type="dxa"/>
              <w:left w:w="100" w:type="dxa"/>
              <w:right w:w="100" w:type="dxa"/>
            </w:tcMar>
          </w:tcPr>
          <w:p>
            <w:pPr>
              <w:jc w:val="center"/>
            </w:pPr>
            <w:r>
              <w:rPr>
                <w:rFonts w:ascii="Times New Roman" w:hAnsi="Times New Roman"/>
                <w:b/>
                <w:sz w:val="20"/>
              </w:rPr>
              <w:t>Learning Resource</w:t>
            </w:r>
          </w:p>
        </w:tc>
        <w:tc>
          <w:tcPr>
            <w:tcW w:type="dxa" w:w="1584"/>
            <w:shd w:fill="E2E8F0"/>
            <w:tcMar>
              <w:top w:w="80" w:type="dxa"/>
              <w:bottom w:w="80" w:type="dxa"/>
              <w:left w:w="100" w:type="dxa"/>
              <w:right w:w="100" w:type="dxa"/>
            </w:tcMar>
          </w:tcPr>
          <w:p>
            <w:pPr>
              <w:jc w:val="center"/>
            </w:pPr>
            <w:r>
              <w:rPr>
                <w:rFonts w:ascii="Times New Roman" w:hAnsi="Times New Roman"/>
                <w:b/>
                <w:sz w:val="20"/>
              </w:rPr>
              <w:t>Category</w:t>
            </w:r>
          </w:p>
        </w:tc>
        <w:tc>
          <w:tcPr>
            <w:tcW w:type="dxa" w:w="2448"/>
            <w:shd w:fill="E2E8F0"/>
            <w:tcMar>
              <w:top w:w="80" w:type="dxa"/>
              <w:bottom w:w="80" w:type="dxa"/>
              <w:left w:w="100" w:type="dxa"/>
              <w:right w:w="100" w:type="dxa"/>
            </w:tcMar>
          </w:tcPr>
          <w:p>
            <w:pPr>
              <w:jc w:val="center"/>
            </w:pPr>
            <w:r>
              <w:rPr>
                <w:rFonts w:ascii="Times New Roman" w:hAnsi="Times New Roman"/>
                <w:b/>
                <w:sz w:val="20"/>
              </w:rPr>
              <w:t>Strengths Observed</w:t>
            </w:r>
          </w:p>
        </w:tc>
        <w:tc>
          <w:tcPr>
            <w:tcW w:type="dxa" w:w="2304"/>
            <w:shd w:fill="E2E8F0"/>
            <w:tcMar>
              <w:top w:w="80" w:type="dxa"/>
              <w:bottom w:w="80" w:type="dxa"/>
              <w:left w:w="100" w:type="dxa"/>
              <w:right w:w="100" w:type="dxa"/>
            </w:tcMar>
          </w:tcPr>
          <w:p>
            <w:pPr>
              <w:jc w:val="center"/>
            </w:pPr>
            <w:r>
              <w:rPr>
                <w:rFonts w:ascii="Times New Roman" w:hAnsi="Times New Roman"/>
                <w:b/>
                <w:sz w:val="20"/>
              </w:rPr>
              <w:t>Weaknesses &amp; Limitations</w:t>
            </w:r>
          </w:p>
        </w:tc>
        <w:tc>
          <w:tcPr>
            <w:tcW w:type="dxa" w:w="1152"/>
            <w:shd w:fill="E2E8F0"/>
            <w:tcMar>
              <w:top w:w="80" w:type="dxa"/>
              <w:bottom w:w="80" w:type="dxa"/>
              <w:left w:w="100" w:type="dxa"/>
              <w:right w:w="100" w:type="dxa"/>
            </w:tcMar>
          </w:tcPr>
          <w:p>
            <w:pPr>
              <w:jc w:val="center"/>
            </w:pPr>
            <w:r>
              <w:rPr>
                <w:rFonts w:ascii="Times New Roman" w:hAnsi="Times New Roman"/>
                <w:b/>
                <w:sz w:val="20"/>
              </w:rPr>
              <w:t>Overall Rating</w:t>
            </w:r>
          </w:p>
        </w:tc>
      </w:tr>
      <w:tr>
        <w:tc>
          <w:tcPr>
            <w:tcW w:type="dxa" w:w="2160"/>
            <w:shd w:fill="FFFFFF"/>
            <w:tcMar>
              <w:top w:w="60" w:type="dxa"/>
              <w:bottom w:w="60" w:type="dxa"/>
              <w:left w:w="100" w:type="dxa"/>
              <w:right w:w="100" w:type="dxa"/>
            </w:tcMar>
          </w:tcPr>
          <w:p>
            <w:r>
              <w:rPr>
                <w:rFonts w:ascii="Times New Roman" w:hAnsi="Times New Roman"/>
                <w:sz w:val="19"/>
              </w:rPr>
              <w:t>Official GitHub Documentation &amp; GitHub Skills</w:t>
            </w:r>
          </w:p>
        </w:tc>
        <w:tc>
          <w:tcPr>
            <w:tcW w:type="dxa" w:w="1584"/>
            <w:shd w:fill="FFFFFF"/>
            <w:tcMar>
              <w:top w:w="60" w:type="dxa"/>
              <w:bottom w:w="60" w:type="dxa"/>
              <w:left w:w="100" w:type="dxa"/>
              <w:right w:w="100" w:type="dxa"/>
            </w:tcMar>
          </w:tcPr>
          <w:p>
            <w:r>
              <w:rPr>
                <w:rFonts w:ascii="Times New Roman" w:hAnsi="Times New Roman"/>
                <w:sz w:val="19"/>
              </w:rPr>
              <w:t>Documentation</w:t>
            </w:r>
          </w:p>
        </w:tc>
        <w:tc>
          <w:tcPr>
            <w:tcW w:type="dxa" w:w="2448"/>
            <w:shd w:fill="FFFFFF"/>
            <w:tcMar>
              <w:top w:w="60" w:type="dxa"/>
              <w:bottom w:w="60" w:type="dxa"/>
              <w:left w:w="100" w:type="dxa"/>
              <w:right w:w="100" w:type="dxa"/>
            </w:tcMar>
          </w:tcPr>
          <w:p>
            <w:r>
              <w:rPr>
                <w:rFonts w:ascii="Times New Roman" w:hAnsi="Times New Roman"/>
                <w:sz w:val="19"/>
              </w:rPr>
              <w:t>Authoritative, clear step-by-step interactive labs on GitHub Projects automation, project fields, and PR workflows.</w:t>
            </w:r>
          </w:p>
        </w:tc>
        <w:tc>
          <w:tcPr>
            <w:tcW w:type="dxa" w:w="2304"/>
            <w:shd w:fill="FFFFFF"/>
            <w:tcMar>
              <w:top w:w="60" w:type="dxa"/>
              <w:bottom w:w="60" w:type="dxa"/>
              <w:left w:w="100" w:type="dxa"/>
              <w:right w:w="100" w:type="dxa"/>
            </w:tcMar>
          </w:tcPr>
          <w:p>
            <w:r>
              <w:rPr>
                <w:rFonts w:ascii="Times New Roman" w:hAnsi="Times New Roman"/>
                <w:sz w:val="19"/>
              </w:rPr>
              <w:t>Lacks end-to-end guidance tailored specifically to small academic project environments.</w:t>
            </w:r>
          </w:p>
        </w:tc>
        <w:tc>
          <w:tcPr>
            <w:tcW w:type="dxa" w:w="1152"/>
            <w:shd w:fill="FFFFFF"/>
            <w:tcMar>
              <w:top w:w="60" w:type="dxa"/>
              <w:bottom w:w="60" w:type="dxa"/>
              <w:left w:w="100" w:type="dxa"/>
              <w:right w:w="100" w:type="dxa"/>
            </w:tcMar>
          </w:tcPr>
          <w:p>
            <w:r>
              <w:rPr>
                <w:rFonts w:ascii="Times New Roman" w:hAnsi="Times New Roman"/>
                <w:sz w:val="19"/>
              </w:rPr>
              <w:t>4.5 / 5.0</w:t>
            </w:r>
          </w:p>
        </w:tc>
      </w:tr>
      <w:tr>
        <w:tc>
          <w:tcPr>
            <w:tcW w:type="dxa" w:w="2160"/>
            <w:shd w:fill="F8FAFC"/>
            <w:tcMar>
              <w:top w:w="60" w:type="dxa"/>
              <w:bottom w:w="60" w:type="dxa"/>
              <w:left w:w="100" w:type="dxa"/>
              <w:right w:w="100" w:type="dxa"/>
            </w:tcMar>
          </w:tcPr>
          <w:p>
            <w:r>
              <w:rPr>
                <w:rFonts w:ascii="Times New Roman" w:hAnsi="Times New Roman"/>
                <w:sz w:val="19"/>
              </w:rPr>
              <w:t>Refactoring.Guru (Design Patterns Guide)</w:t>
            </w:r>
          </w:p>
        </w:tc>
        <w:tc>
          <w:tcPr>
            <w:tcW w:type="dxa" w:w="1584"/>
            <w:shd w:fill="F8FAFC"/>
            <w:tcMar>
              <w:top w:w="60" w:type="dxa"/>
              <w:bottom w:w="60" w:type="dxa"/>
              <w:left w:w="100" w:type="dxa"/>
              <w:right w:w="100" w:type="dxa"/>
            </w:tcMar>
          </w:tcPr>
          <w:p>
            <w:r>
              <w:rPr>
                <w:rFonts w:ascii="Times New Roman" w:hAnsi="Times New Roman"/>
                <w:sz w:val="19"/>
              </w:rPr>
              <w:t>Web Educational</w:t>
            </w:r>
          </w:p>
        </w:tc>
        <w:tc>
          <w:tcPr>
            <w:tcW w:type="dxa" w:w="2448"/>
            <w:shd w:fill="F8FAFC"/>
            <w:tcMar>
              <w:top w:w="60" w:type="dxa"/>
              <w:bottom w:w="60" w:type="dxa"/>
              <w:left w:w="100" w:type="dxa"/>
              <w:right w:w="100" w:type="dxa"/>
            </w:tcMar>
          </w:tcPr>
          <w:p>
            <w:r>
              <w:rPr>
                <w:rFonts w:ascii="Times New Roman" w:hAnsi="Times New Roman"/>
                <w:sz w:val="19"/>
              </w:rPr>
              <w:t>Exceptional visual analogies, clear problem statements, and explicit trade-off comparisons for GoF patterns.</w:t>
            </w:r>
          </w:p>
        </w:tc>
        <w:tc>
          <w:tcPr>
            <w:tcW w:type="dxa" w:w="2304"/>
            <w:shd w:fill="F8FAFC"/>
            <w:tcMar>
              <w:top w:w="60" w:type="dxa"/>
              <w:bottom w:w="60" w:type="dxa"/>
              <w:left w:w="100" w:type="dxa"/>
              <w:right w:w="100" w:type="dxa"/>
            </w:tcMar>
          </w:tcPr>
          <w:p>
            <w:r>
              <w:rPr>
                <w:rFonts w:ascii="Times New Roman" w:hAnsi="Times New Roman"/>
                <w:sz w:val="19"/>
              </w:rPr>
              <w:t>Examples are primarily in classical OOP languages (Java/C++) rather than modern JavaScript ESM idioms.</w:t>
            </w:r>
          </w:p>
        </w:tc>
        <w:tc>
          <w:tcPr>
            <w:tcW w:type="dxa" w:w="1152"/>
            <w:shd w:fill="F8FAFC"/>
            <w:tcMar>
              <w:top w:w="60" w:type="dxa"/>
              <w:bottom w:w="60" w:type="dxa"/>
              <w:left w:w="100" w:type="dxa"/>
              <w:right w:w="100" w:type="dxa"/>
            </w:tcMar>
          </w:tcPr>
          <w:p>
            <w:r>
              <w:rPr>
                <w:rFonts w:ascii="Times New Roman" w:hAnsi="Times New Roman"/>
                <w:sz w:val="19"/>
              </w:rPr>
              <w:t>4.8 / 5.0</w:t>
            </w:r>
          </w:p>
        </w:tc>
      </w:tr>
      <w:tr>
        <w:tc>
          <w:tcPr>
            <w:tcW w:type="dxa" w:w="2160"/>
            <w:shd w:fill="FFFFFF"/>
            <w:tcMar>
              <w:top w:w="60" w:type="dxa"/>
              <w:bottom w:w="60" w:type="dxa"/>
              <w:left w:w="100" w:type="dxa"/>
              <w:right w:w="100" w:type="dxa"/>
            </w:tcMar>
          </w:tcPr>
          <w:p>
            <w:r>
              <w:rPr>
                <w:rFonts w:ascii="Times New Roman" w:hAnsi="Times New Roman"/>
                <w:sz w:val="19"/>
              </w:rPr>
              <w:t>Vitest Official Documentation &amp; Guides</w:t>
            </w:r>
          </w:p>
        </w:tc>
        <w:tc>
          <w:tcPr>
            <w:tcW w:type="dxa" w:w="1584"/>
            <w:shd w:fill="FFFFFF"/>
            <w:tcMar>
              <w:top w:w="60" w:type="dxa"/>
              <w:bottom w:w="60" w:type="dxa"/>
              <w:left w:w="100" w:type="dxa"/>
              <w:right w:w="100" w:type="dxa"/>
            </w:tcMar>
          </w:tcPr>
          <w:p>
            <w:r>
              <w:rPr>
                <w:rFonts w:ascii="Times New Roman" w:hAnsi="Times New Roman"/>
                <w:sz w:val="19"/>
              </w:rPr>
              <w:t>Documentation</w:t>
            </w:r>
          </w:p>
        </w:tc>
        <w:tc>
          <w:tcPr>
            <w:tcW w:type="dxa" w:w="2448"/>
            <w:shd w:fill="FFFFFF"/>
            <w:tcMar>
              <w:top w:w="60" w:type="dxa"/>
              <w:bottom w:w="60" w:type="dxa"/>
              <w:left w:w="100" w:type="dxa"/>
              <w:right w:w="100" w:type="dxa"/>
            </w:tcMar>
          </w:tcPr>
          <w:p>
            <w:r>
              <w:rPr>
                <w:rFonts w:ascii="Times New Roman" w:hAnsi="Times New Roman"/>
                <w:sz w:val="19"/>
              </w:rPr>
              <w:t>Blazing-fast examples, concise syntax guides, and straightforward mocking tutorials using `vi.mock()`.</w:t>
            </w:r>
          </w:p>
        </w:tc>
        <w:tc>
          <w:tcPr>
            <w:tcW w:type="dxa" w:w="2304"/>
            <w:shd w:fill="FFFFFF"/>
            <w:tcMar>
              <w:top w:w="60" w:type="dxa"/>
              <w:bottom w:w="60" w:type="dxa"/>
              <w:left w:w="100" w:type="dxa"/>
              <w:right w:w="100" w:type="dxa"/>
            </w:tcMar>
          </w:tcPr>
          <w:p>
            <w:r>
              <w:rPr>
                <w:rFonts w:ascii="Times New Roman" w:hAnsi="Times New Roman"/>
                <w:sz w:val="19"/>
              </w:rPr>
              <w:t>Documentation around complex asynchronous Firestore mocks requires prior familiarity with Jest APIs.</w:t>
            </w:r>
          </w:p>
        </w:tc>
        <w:tc>
          <w:tcPr>
            <w:tcW w:type="dxa" w:w="1152"/>
            <w:shd w:fill="FFFFFF"/>
            <w:tcMar>
              <w:top w:w="60" w:type="dxa"/>
              <w:bottom w:w="60" w:type="dxa"/>
              <w:left w:w="100" w:type="dxa"/>
              <w:right w:w="100" w:type="dxa"/>
            </w:tcMar>
          </w:tcPr>
          <w:p>
            <w:r>
              <w:rPr>
                <w:rFonts w:ascii="Times New Roman" w:hAnsi="Times New Roman"/>
                <w:sz w:val="19"/>
              </w:rPr>
              <w:t>4.2 / 5.0</w:t>
            </w:r>
          </w:p>
        </w:tc>
      </w:tr>
      <w:tr>
        <w:tc>
          <w:tcPr>
            <w:tcW w:type="dxa" w:w="2160"/>
            <w:shd w:fill="F8FAFC"/>
            <w:tcMar>
              <w:top w:w="60" w:type="dxa"/>
              <w:bottom w:w="60" w:type="dxa"/>
              <w:left w:w="100" w:type="dxa"/>
              <w:right w:w="100" w:type="dxa"/>
            </w:tcMar>
          </w:tcPr>
          <w:p>
            <w:r>
              <w:rPr>
                <w:rFonts w:ascii="Times New Roman" w:hAnsi="Times New Roman"/>
                <w:sz w:val="19"/>
              </w:rPr>
              <w:t>Interactive AI Coding Assistant (Antigravity)</w:t>
            </w:r>
          </w:p>
        </w:tc>
        <w:tc>
          <w:tcPr>
            <w:tcW w:type="dxa" w:w="1584"/>
            <w:shd w:fill="F8FAFC"/>
            <w:tcMar>
              <w:top w:w="60" w:type="dxa"/>
              <w:bottom w:w="60" w:type="dxa"/>
              <w:left w:w="100" w:type="dxa"/>
              <w:right w:w="100" w:type="dxa"/>
            </w:tcMar>
          </w:tcPr>
          <w:p>
            <w:r>
              <w:rPr>
                <w:rFonts w:ascii="Times New Roman" w:hAnsi="Times New Roman"/>
                <w:sz w:val="19"/>
              </w:rPr>
              <w:t>AI Interactive</w:t>
            </w:r>
          </w:p>
        </w:tc>
        <w:tc>
          <w:tcPr>
            <w:tcW w:type="dxa" w:w="2448"/>
            <w:shd w:fill="F8FAFC"/>
            <w:tcMar>
              <w:top w:w="60" w:type="dxa"/>
              <w:bottom w:w="60" w:type="dxa"/>
              <w:left w:w="100" w:type="dxa"/>
              <w:right w:w="100" w:type="dxa"/>
            </w:tcMar>
          </w:tcPr>
          <w:p>
            <w:r>
              <w:rPr>
                <w:rFonts w:ascii="Times New Roman" w:hAnsi="Times New Roman"/>
                <w:sz w:val="19"/>
              </w:rPr>
              <w:t>Superb for exploratory brainstorming, drafting Mermaid UML syntax, and identifying subtle logic edge cases.</w:t>
            </w:r>
          </w:p>
        </w:tc>
        <w:tc>
          <w:tcPr>
            <w:tcW w:type="dxa" w:w="2304"/>
            <w:shd w:fill="F8FAFC"/>
            <w:tcMar>
              <w:top w:w="60" w:type="dxa"/>
              <w:bottom w:w="60" w:type="dxa"/>
              <w:left w:w="100" w:type="dxa"/>
              <w:right w:w="100" w:type="dxa"/>
            </w:tcMar>
          </w:tcPr>
          <w:p>
            <w:r>
              <w:rPr>
                <w:rFonts w:ascii="Times New Roman" w:hAnsi="Times New Roman"/>
                <w:sz w:val="19"/>
              </w:rPr>
              <w:t>Requires vigilant manual verification and active understanding to ensure code conforms to course requirements.</w:t>
            </w:r>
          </w:p>
        </w:tc>
        <w:tc>
          <w:tcPr>
            <w:tcW w:type="dxa" w:w="1152"/>
            <w:shd w:fill="F8FAFC"/>
            <w:tcMar>
              <w:top w:w="60" w:type="dxa"/>
              <w:bottom w:w="60" w:type="dxa"/>
              <w:left w:w="100" w:type="dxa"/>
              <w:right w:w="100" w:type="dxa"/>
            </w:tcMar>
          </w:tcPr>
          <w:p>
            <w:r>
              <w:rPr>
                <w:rFonts w:ascii="Times New Roman" w:hAnsi="Times New Roman"/>
                <w:sz w:val="19"/>
              </w:rPr>
              <w:t>4.7 / 5.0</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