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Rajshahi University of Engineering &amp; Technology</w:t>
      </w:r>
    </w:p>
    <w:p>
      <w:pPr>
        <w:spacing w:after="80"/>
        <w:jc w:val="center"/>
      </w:pPr>
      <w:r>
        <w:rPr>
          <w:rFonts w:ascii="Times New Roman" w:hAnsi="Times New Roman"/>
          <w:b/>
          <w:sz w:val="24"/>
        </w:rPr>
        <w:t>Department of Computer Science &amp; Engineering</w:t>
        <w:br/>
        <w:t>CSE 3206: Software Engineering Sessional (22 Series)</w:t>
      </w:r>
    </w:p>
    <w:p>
      <w:pPr>
        <w:spacing w:before="160" w:after="120"/>
        <w:jc w:val="center"/>
      </w:pPr>
      <w:r>
        <w:rPr>
          <w:rFonts w:ascii="Times New Roman" w:hAnsi="Times New Roman"/>
          <w:b/>
          <w:color w:val="0F172A"/>
          <w:sz w:val="28"/>
        </w:rPr>
        <w:t>PROJECT REPORT: CAMPUSSYNC</w:t>
        <w:br/>
        <w:t>A Modular Campus Event Management System Following the Full SDLC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80" w:type="dxa"/>
              <w:bottom w:w="80" w:type="dxa"/>
              <w:left w:w="100" w:type="dxa"/>
              <w:right w:w="100" w:type="dxa"/>
            </w:tcMar>
          </w:tcPr>
          <w:p>
            <w:pPr>
              <w:jc w:val="center"/>
            </w:pPr>
            <w:r>
              <w:rPr>
                <w:rFonts w:ascii="Times New Roman" w:hAnsi="Times New Roman"/>
                <w:b/>
                <w:sz w:val="20"/>
              </w:rPr>
              <w:t>Student Name</w:t>
            </w:r>
          </w:p>
        </w:tc>
        <w:tc>
          <w:tcPr>
            <w:tcW w:type="dxa" w:w="1872"/>
            <w:shd w:fill="E2E8F0"/>
            <w:tcMar>
              <w:top w:w="80" w:type="dxa"/>
              <w:bottom w:w="80" w:type="dxa"/>
              <w:left w:w="100" w:type="dxa"/>
              <w:right w:w="100" w:type="dxa"/>
            </w:tcMar>
          </w:tcPr>
          <w:p>
            <w:pPr>
              <w:jc w:val="center"/>
            </w:pPr>
            <w:r>
              <w:rPr>
                <w:rFonts w:ascii="Times New Roman" w:hAnsi="Times New Roman"/>
                <w:b/>
                <w:sz w:val="20"/>
              </w:rPr>
              <w:t>Roll / ID</w:t>
            </w:r>
          </w:p>
        </w:tc>
        <w:tc>
          <w:tcPr>
            <w:tcW w:type="dxa" w:w="3168"/>
            <w:shd w:fill="E2E8F0"/>
            <w:tcMar>
              <w:top w:w="80" w:type="dxa"/>
              <w:bottom w:w="80" w:type="dxa"/>
              <w:left w:w="100" w:type="dxa"/>
              <w:right w:w="100" w:type="dxa"/>
            </w:tcMar>
          </w:tcPr>
          <w:p>
            <w:pPr>
              <w:jc w:val="center"/>
            </w:pPr>
            <w:r>
              <w:rPr>
                <w:rFonts w:ascii="Times New Roman" w:hAnsi="Times New Roman"/>
                <w:b/>
                <w:sz w:val="20"/>
              </w:rPr>
              <w:t>Academic Series</w:t>
            </w:r>
          </w:p>
        </w:tc>
        <w:tc>
          <w:tcPr>
            <w:tcW w:type="dxa" w:w="1728"/>
            <w:shd w:fill="E2E8F0"/>
            <w:tcMar>
              <w:top w:w="80" w:type="dxa"/>
              <w:bottom w:w="80" w:type="dxa"/>
              <w:left w:w="100" w:type="dxa"/>
              <w:right w:w="100" w:type="dxa"/>
            </w:tcMar>
          </w:tcPr>
          <w:p>
            <w:pPr>
              <w:jc w:val="center"/>
            </w:pPr>
            <w:r>
              <w:rPr>
                <w:rFonts w:ascii="Times New Roman" w:hAnsi="Times New Roman"/>
                <w:b/>
                <w:sz w:val="20"/>
              </w:rPr>
              <w:t>Submission Date</w:t>
            </w:r>
          </w:p>
        </w:tc>
      </w:tr>
      <w:tr>
        <w:tc>
          <w:tcPr>
            <w:tcW w:type="dxa" w:w="2592"/>
            <w:shd w:fill="FFFFFF"/>
            <w:tcMar>
              <w:top w:w="60" w:type="dxa"/>
              <w:bottom w:w="60" w:type="dxa"/>
              <w:left w:w="100" w:type="dxa"/>
              <w:right w:w="100" w:type="dxa"/>
            </w:tcMar>
          </w:tcPr>
          <w:p>
            <w:r>
              <w:rPr>
                <w:rFonts w:ascii="Times New Roman" w:hAnsi="Times New Roman"/>
                <w:sz w:val="19"/>
              </w:rPr>
              <w:t>Badruddin Tasnim</w:t>
            </w:r>
          </w:p>
        </w:tc>
        <w:tc>
          <w:tcPr>
            <w:tcW w:type="dxa" w:w="1872"/>
            <w:shd w:fill="FFFFFF"/>
            <w:tcMar>
              <w:top w:w="60" w:type="dxa"/>
              <w:bottom w:w="60" w:type="dxa"/>
              <w:left w:w="100" w:type="dxa"/>
              <w:right w:w="100" w:type="dxa"/>
            </w:tcMar>
          </w:tcPr>
          <w:p>
            <w:r>
              <w:rPr>
                <w:rFonts w:ascii="Times New Roman" w:hAnsi="Times New Roman"/>
                <w:sz w:val="19"/>
              </w:rPr>
              <w:t>2203001</w:t>
            </w:r>
          </w:p>
        </w:tc>
        <w:tc>
          <w:tcPr>
            <w:tcW w:type="dxa" w:w="3168"/>
            <w:shd w:fill="FFFFFF"/>
            <w:tcMar>
              <w:top w:w="60" w:type="dxa"/>
              <w:bottom w:w="60" w:type="dxa"/>
              <w:left w:w="100" w:type="dxa"/>
              <w:right w:w="100" w:type="dxa"/>
            </w:tcMar>
          </w:tcPr>
          <w:p>
            <w:r>
              <w:rPr>
                <w:rFonts w:ascii="Times New Roman" w:hAnsi="Times New Roman"/>
                <w:sz w:val="19"/>
              </w:rPr>
              <w:t>22 Series (3rd Year 2nd Semester)</w:t>
            </w:r>
          </w:p>
        </w:tc>
        <w:tc>
          <w:tcPr>
            <w:tcW w:type="dxa" w:w="1728"/>
            <w:shd w:fill="FFFFFF"/>
            <w:tcMar>
              <w:top w:w="60" w:type="dxa"/>
              <w:bottom w:w="60" w:type="dxa"/>
              <w:left w:w="100" w:type="dxa"/>
              <w:right w:w="100" w:type="dxa"/>
            </w:tcMar>
          </w:tcPr>
          <w:p>
            <w:r>
              <w:rPr>
                <w:rFonts w:ascii="Times New Roman" w:hAnsi="Times New Roman"/>
                <w:sz w:val="19"/>
              </w:rPr>
              <w:t>October 2026</w:t>
            </w:r>
          </w:p>
        </w:tc>
      </w:tr>
    </w:tbl>
    <w:p>
      <w:pPr>
        <w:spacing w:after="80"/>
      </w:pPr>
    </w:p>
    <w:p>
      <w:pPr>
        <w:spacing w:before="240" w:after="80"/>
      </w:pPr>
      <w:r>
        <w:rPr>
          <w:rFonts w:ascii="Times New Roman" w:hAnsi="Times New Roman"/>
          <w:b/>
          <w:color w:val="0F172A"/>
          <w:sz w:val="28"/>
        </w:rPr>
        <w:t>1. Executive Summary &amp; Problem Statement</w:t>
      </w:r>
    </w:p>
    <w:p>
      <w:pPr>
        <w:spacing w:line="276" w:lineRule="auto" w:after="80"/>
      </w:pPr>
      <w:r>
        <w:rPr>
          <w:rFonts w:ascii="Times New Roman" w:hAnsi="Times New Roman"/>
          <w:i w:val="0"/>
          <w:sz w:val="22"/>
        </w:rPr>
        <w:t>At tertiary educational institutions such as Rajshahi University of Engineering &amp; Technology (RUET), numerous academic seminars, competitive programming hackathons, cultural festivals, and inter-department sports tournaments occur concurrently throughout the academic calendar. Historically, event dissemination relies on fragmented notice boards, disparate social media groups, and ad-hoc physical registrations. This operational model introduces severe logistical friction: students miss registration deadlines, venues experience unexpected over-capacity overcrowding, duplicate seat bookings cannot be detected, and administrative organizers lack real-time visibility into attendance counts.</w:t>
      </w:r>
    </w:p>
    <w:p>
      <w:pPr>
        <w:spacing w:line="276" w:lineRule="auto" w:after="80"/>
      </w:pPr>
      <w:r>
        <w:rPr>
          <w:rFonts w:ascii="Times New Roman" w:hAnsi="Times New Roman"/>
          <w:i w:val="0"/>
          <w:sz w:val="22"/>
        </w:rPr>
        <w:t>To solve these operational challenges systematically, CampusSync was engineered as a robust, non-trivial campus event management application developed in strict conformance with the complete Software Development Lifecycle (SDLC). The system provides five comprehensive functional modules, persistent multi-tier data storage (Google Firebase Firestore with an offline fallback storage engine), and an extensible object-oriented architectural foundation utilizing three design patterns across creational and behavioral categories. Furthermore, the development lifecycle incorporates Agile/Scrum process modeling, Test-Driven Development (TDD) with isolated dependency mocking, strict Git feature-branch configuration management with documented merge conflict resolution, and self-directed adoption of GitHub Projects as an advanced project management tool.</w:t>
      </w:r>
    </w:p>
    <w:p>
      <w:pPr>
        <w:spacing w:before="240" w:after="80"/>
      </w:pPr>
      <w:r>
        <w:rPr>
          <w:rFonts w:ascii="Times New Roman" w:hAnsi="Times New Roman"/>
          <w:b/>
          <w:color w:val="0F172A"/>
          <w:sz w:val="28"/>
        </w:rPr>
        <w:t>2. Requirements Analysis &amp; Process Model</w:t>
      </w:r>
    </w:p>
    <w:p>
      <w:pPr>
        <w:spacing w:before="160" w:after="60"/>
      </w:pPr>
      <w:r>
        <w:rPr>
          <w:rFonts w:ascii="Times New Roman" w:hAnsi="Times New Roman"/>
          <w:b/>
          <w:color w:val="1E293B"/>
          <w:sz w:val="24"/>
        </w:rPr>
        <w:t>2.1 Functional Requirements (The Five Core Modules)</w:t>
      </w:r>
    </w:p>
    <w:p>
      <w:pPr>
        <w:spacing w:line="276" w:lineRule="auto" w:after="80"/>
      </w:pPr>
      <w:r>
        <w:rPr>
          <w:rFonts w:ascii="Times New Roman" w:hAnsi="Times New Roman"/>
          <w:i w:val="0"/>
          <w:sz w:val="22"/>
        </w:rPr>
        <w:t>The system architecture is compartmentalized into five core functional modules:</w:t>
      </w:r>
    </w:p>
    <w:p>
      <w:pPr>
        <w:pStyle w:val="ListBullet"/>
        <w:spacing w:line="276" w:lineRule="auto" w:after="40"/>
      </w:pPr>
      <w:r>
        <w:rPr>
          <w:rFonts w:ascii="Times New Roman" w:hAnsi="Times New Roman"/>
          <w:b/>
          <w:sz w:val="22"/>
        </w:rPr>
        <w:t>Module 1 (Authentication &amp; Role Management):</w:t>
      </w:r>
      <w:r>
        <w:rPr>
          <w:rFonts w:ascii="Times New Roman" w:hAnsi="Times New Roman"/>
          <w:sz w:val="22"/>
        </w:rPr>
        <w:t xml:space="preserve"> Student authentication restricted exclusively to institutional Google Sign-In via Firebase Auth. Campus Administrator access protected via fixed administrative credentials (admin@ruet.ac.bd / AdminPass123!) with role-based route access guards.</w:t>
      </w:r>
    </w:p>
    <w:p>
      <w:pPr>
        <w:pStyle w:val="ListBullet"/>
        <w:spacing w:line="276" w:lineRule="auto" w:after="40"/>
      </w:pPr>
      <w:r>
        <w:rPr>
          <w:rFonts w:ascii="Times New Roman" w:hAnsi="Times New Roman"/>
          <w:b/>
          <w:sz w:val="22"/>
        </w:rPr>
        <w:t>Module 2 (Event Discovery &amp; Filtering):</w:t>
      </w:r>
      <w:r>
        <w:rPr>
          <w:rFonts w:ascii="Times New Roman" w:hAnsi="Times New Roman"/>
          <w:sz w:val="22"/>
        </w:rPr>
        <w:t xml:space="preserve"> Dynamic catalog enabling real-time keyword search across event titles, venues, and descriptions. Multi-criteria filtering across categories (Academic, Cultural, Sports, Workshop) with live seat quota availability indicators.</w:t>
      </w:r>
    </w:p>
    <w:p>
      <w:pPr>
        <w:pStyle w:val="ListBullet"/>
        <w:spacing w:line="276" w:lineRule="auto" w:after="40"/>
      </w:pPr>
      <w:r>
        <w:rPr>
          <w:rFonts w:ascii="Times New Roman" w:hAnsi="Times New Roman"/>
          <w:b/>
          <w:sz w:val="22"/>
        </w:rPr>
        <w:t>Module 3 (Event Creation &amp; Admin Management):</w:t>
      </w:r>
      <w:r>
        <w:rPr>
          <w:rFonts w:ascii="Times New Roman" w:hAnsi="Times New Roman"/>
          <w:sz w:val="22"/>
        </w:rPr>
        <w:t xml:space="preserve"> Comprehensive administrative dashboard enabling authorized personnel to publish, update, and delete campus events, enforce maximum seating quotas, and configure category-specific polymorphic attributes.</w:t>
      </w:r>
    </w:p>
    <w:p>
      <w:pPr>
        <w:pStyle w:val="ListBullet"/>
        <w:spacing w:line="276" w:lineRule="auto" w:after="40"/>
      </w:pPr>
      <w:r>
        <w:rPr>
          <w:rFonts w:ascii="Times New Roman" w:hAnsi="Times New Roman"/>
          <w:b/>
          <w:sz w:val="22"/>
        </w:rPr>
        <w:t>Module 4 (RSVP &amp; Digital Seat Reservation):</w:t>
      </w:r>
      <w:r>
        <w:rPr>
          <w:rFonts w:ascii="Times New Roman" w:hAnsi="Times New Roman"/>
          <w:sz w:val="22"/>
        </w:rPr>
        <w:t xml:space="preserve"> One-click ticket reservation verifying real-time seat availability, preventing duplicate bookings by the same student, generating authentic booking reference codes (RUET-XXXXXX), and permitting ticket cancellation.</w:t>
      </w:r>
    </w:p>
    <w:p>
      <w:pPr>
        <w:pStyle w:val="ListBullet"/>
        <w:spacing w:line="276" w:lineRule="auto" w:after="40"/>
      </w:pPr>
      <w:r>
        <w:rPr>
          <w:rFonts w:ascii="Times New Roman" w:hAnsi="Times New Roman"/>
          <w:b/>
          <w:sz w:val="22"/>
        </w:rPr>
        <w:t>Module 5 (Campus Announcements &amp; Feedback):</w:t>
      </w:r>
      <w:r>
        <w:rPr>
          <w:rFonts w:ascii="Times New Roman" w:hAnsi="Times New Roman"/>
          <w:sz w:val="22"/>
        </w:rPr>
        <w:t xml:space="preserve"> Real-time administrative broadcast bulletin mechanism powered by the Observer pattern, coupled with an interactive attendee rating (1-5 stars) and feedback review system.</w:t>
      </w:r>
    </w:p>
    <w:p>
      <w:pPr>
        <w:spacing w:before="160" w:after="60"/>
      </w:pPr>
      <w:r>
        <w:rPr>
          <w:rFonts w:ascii="Times New Roman" w:hAnsi="Times New Roman"/>
          <w:b/>
          <w:color w:val="1E293B"/>
          <w:sz w:val="24"/>
        </w:rPr>
        <w:t>2.2 Non-Functional Requirements (NFRs)</w:t>
      </w:r>
    </w:p>
    <w:p>
      <w:pPr>
        <w:pStyle w:val="ListBullet"/>
        <w:spacing w:line="276" w:lineRule="auto" w:after="40"/>
      </w:pPr>
      <w:r>
        <w:rPr>
          <w:rFonts w:ascii="Times New Roman" w:hAnsi="Times New Roman"/>
          <w:b/>
          <w:sz w:val="22"/>
        </w:rPr>
        <w:t>NFR-1 (Performance &amp; Responsiveness):</w:t>
      </w:r>
      <w:r>
        <w:rPr>
          <w:rFonts w:ascii="Times New Roman" w:hAnsi="Times New Roman"/>
          <w:sz w:val="22"/>
        </w:rPr>
        <w:t xml:space="preserve"> Client-side transactions and UI view filtering execute within &lt;100 milliseconds; database queries resolve within 500 milliseconds under nominal campus network latency.</w:t>
      </w:r>
    </w:p>
    <w:p>
      <w:pPr>
        <w:pStyle w:val="ListBullet"/>
        <w:spacing w:line="276" w:lineRule="auto" w:after="40"/>
      </w:pPr>
      <w:r>
        <w:rPr>
          <w:rFonts w:ascii="Times New Roman" w:hAnsi="Times New Roman"/>
          <w:b/>
          <w:sz w:val="22"/>
        </w:rPr>
        <w:t>NFR-2 (Data Integrity &amp; Persistence):</w:t>
      </w:r>
      <w:r>
        <w:rPr>
          <w:rFonts w:ascii="Times New Roman" w:hAnsi="Times New Roman"/>
          <w:sz w:val="22"/>
        </w:rPr>
        <w:t xml:space="preserve"> Secure session persistence with persistent cloud storage in Firebase Firestore, backed by client-side storage persistence ensuring zero data loss during network disruptions.</w:t>
      </w:r>
    </w:p>
    <w:p>
      <w:pPr>
        <w:pStyle w:val="ListBullet"/>
        <w:spacing w:line="276" w:lineRule="auto" w:after="40"/>
      </w:pPr>
      <w:r>
        <w:rPr>
          <w:rFonts w:ascii="Times New Roman" w:hAnsi="Times New Roman"/>
          <w:b/>
          <w:sz w:val="22"/>
        </w:rPr>
        <w:t>NFR-3 (Extensibility &amp; Maintainability):</w:t>
      </w:r>
      <w:r>
        <w:rPr>
          <w:rFonts w:ascii="Times New Roman" w:hAnsi="Times New Roman"/>
          <w:sz w:val="22"/>
        </w:rPr>
        <w:t xml:space="preserve"> Modular object-oriented design enabling developers to introduce novel event categories without refactoring existing UI rendering engines (adhering to the Open/Closed Principle).</w:t>
      </w:r>
    </w:p>
    <w:p>
      <w:pPr>
        <w:pStyle w:val="ListBullet"/>
        <w:spacing w:line="276" w:lineRule="auto" w:after="40"/>
      </w:pPr>
      <w:r>
        <w:rPr>
          <w:rFonts w:ascii="Times New Roman" w:hAnsi="Times New Roman"/>
          <w:b/>
          <w:sz w:val="22"/>
        </w:rPr>
        <w:t>NFR-4 (Security &amp; Role Isolation):</w:t>
      </w:r>
      <w:r>
        <w:rPr>
          <w:rFonts w:ascii="Times New Roman" w:hAnsi="Times New Roman"/>
          <w:sz w:val="22"/>
        </w:rPr>
        <w:t xml:space="preserve"> Administrative operations strictly protected; attendee actions scoped exclusively to their own verified authenticated identity.</w:t>
      </w:r>
    </w:p>
    <w:p>
      <w:pPr>
        <w:spacing w:before="160" w:after="60"/>
      </w:pPr>
      <w:r>
        <w:rPr>
          <w:rFonts w:ascii="Times New Roman" w:hAnsi="Times New Roman"/>
          <w:b/>
          <w:color w:val="1E293B"/>
          <w:sz w:val="24"/>
        </w:rPr>
        <w:t>2.3 User Stories with Formal Acceptance Criteria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E2E8F0"/>
            <w:tcMar>
              <w:top w:w="80" w:type="dxa"/>
              <w:bottom w:w="80" w:type="dxa"/>
              <w:left w:w="100" w:type="dxa"/>
              <w:right w:w="100" w:type="dxa"/>
            </w:tcMar>
          </w:tcPr>
          <w:p>
            <w:pPr>
              <w:jc w:val="center"/>
            </w:pPr>
            <w:r>
              <w:rPr>
                <w:rFonts w:ascii="Times New Roman" w:hAnsi="Times New Roman"/>
                <w:b/>
                <w:sz w:val="20"/>
              </w:rPr>
              <w:t>User Story ID</w:t>
            </w:r>
          </w:p>
        </w:tc>
        <w:tc>
          <w:tcPr>
            <w:tcW w:type="dxa" w:w="1728"/>
            <w:shd w:fill="E2E8F0"/>
            <w:tcMar>
              <w:top w:w="80" w:type="dxa"/>
              <w:bottom w:w="80" w:type="dxa"/>
              <w:left w:w="100" w:type="dxa"/>
              <w:right w:w="100" w:type="dxa"/>
            </w:tcMar>
          </w:tcPr>
          <w:p>
            <w:pPr>
              <w:jc w:val="center"/>
            </w:pPr>
            <w:r>
              <w:rPr>
                <w:rFonts w:ascii="Times New Roman" w:hAnsi="Times New Roman"/>
                <w:b/>
                <w:sz w:val="20"/>
              </w:rPr>
              <w:t>User Persona</w:t>
            </w:r>
          </w:p>
        </w:tc>
        <w:tc>
          <w:tcPr>
            <w:tcW w:type="dxa" w:w="2880"/>
            <w:shd w:fill="E2E8F0"/>
            <w:tcMar>
              <w:top w:w="80" w:type="dxa"/>
              <w:bottom w:w="80" w:type="dxa"/>
              <w:left w:w="100" w:type="dxa"/>
              <w:right w:w="100" w:type="dxa"/>
            </w:tcMar>
          </w:tcPr>
          <w:p>
            <w:pPr>
              <w:jc w:val="center"/>
            </w:pPr>
            <w:r>
              <w:rPr>
                <w:rFonts w:ascii="Times New Roman" w:hAnsi="Times New Roman"/>
                <w:b/>
                <w:sz w:val="20"/>
              </w:rPr>
              <w:t>User Need / Goal</w:t>
            </w:r>
          </w:p>
        </w:tc>
        <w:tc>
          <w:tcPr>
            <w:tcW w:type="dxa" w:w="3312"/>
            <w:shd w:fill="E2E8F0"/>
            <w:tcMar>
              <w:top w:w="80" w:type="dxa"/>
              <w:bottom w:w="80" w:type="dxa"/>
              <w:left w:w="100" w:type="dxa"/>
              <w:right w:w="100" w:type="dxa"/>
            </w:tcMar>
          </w:tcPr>
          <w:p>
            <w:pPr>
              <w:jc w:val="center"/>
            </w:pPr>
            <w:r>
              <w:rPr>
                <w:rFonts w:ascii="Times New Roman" w:hAnsi="Times New Roman"/>
                <w:b/>
                <w:sz w:val="20"/>
              </w:rPr>
              <w:t>Acceptance Criteria (Given-When-Then)</w:t>
            </w:r>
          </w:p>
        </w:tc>
      </w:tr>
      <w:tr>
        <w:tc>
          <w:tcPr>
            <w:tcW w:type="dxa" w:w="1440"/>
            <w:shd w:fill="FFFFFF"/>
            <w:tcMar>
              <w:top w:w="60" w:type="dxa"/>
              <w:bottom w:w="60" w:type="dxa"/>
              <w:left w:w="100" w:type="dxa"/>
              <w:right w:w="100" w:type="dxa"/>
            </w:tcMar>
          </w:tcPr>
          <w:p>
            <w:r>
              <w:rPr>
                <w:rFonts w:ascii="Times New Roman" w:hAnsi="Times New Roman"/>
                <w:sz w:val="19"/>
              </w:rPr>
              <w:t>US-01</w:t>
            </w:r>
          </w:p>
        </w:tc>
        <w:tc>
          <w:tcPr>
            <w:tcW w:type="dxa" w:w="1728"/>
            <w:shd w:fill="FFFFFF"/>
            <w:tcMar>
              <w:top w:w="60" w:type="dxa"/>
              <w:bottom w:w="60" w:type="dxa"/>
              <w:left w:w="100" w:type="dxa"/>
              <w:right w:w="100" w:type="dxa"/>
            </w:tcMar>
          </w:tcPr>
          <w:p>
            <w:r>
              <w:rPr>
                <w:rFonts w:ascii="Times New Roman" w:hAnsi="Times New Roman"/>
                <w:sz w:val="19"/>
              </w:rPr>
              <w:t>RUET Student</w:t>
            </w:r>
          </w:p>
        </w:tc>
        <w:tc>
          <w:tcPr>
            <w:tcW w:type="dxa" w:w="2880"/>
            <w:shd w:fill="FFFFFF"/>
            <w:tcMar>
              <w:top w:w="60" w:type="dxa"/>
              <w:bottom w:w="60" w:type="dxa"/>
              <w:left w:w="100" w:type="dxa"/>
              <w:right w:w="100" w:type="dxa"/>
            </w:tcMar>
          </w:tcPr>
          <w:p>
            <w:r>
              <w:rPr>
                <w:rFonts w:ascii="Times New Roman" w:hAnsi="Times New Roman"/>
                <w:sz w:val="19"/>
              </w:rPr>
              <w:t>Sign in with institutional Google account to reserve seats.</w:t>
            </w:r>
          </w:p>
        </w:tc>
        <w:tc>
          <w:tcPr>
            <w:tcW w:type="dxa" w:w="3312"/>
            <w:shd w:fill="FFFFFF"/>
            <w:tcMar>
              <w:top w:w="60" w:type="dxa"/>
              <w:bottom w:w="60" w:type="dxa"/>
              <w:left w:w="100" w:type="dxa"/>
              <w:right w:w="100" w:type="dxa"/>
            </w:tcMar>
          </w:tcPr>
          <w:p>
            <w:r>
              <w:rPr>
                <w:rFonts w:ascii="Times New Roman" w:hAnsi="Times New Roman"/>
                <w:sz w:val="19"/>
              </w:rPr>
              <w:t>Given an unauthenticated student on the portal, When they click 'Sign in with Google', Then Firebase authenticates their profile and unlocks one-click RSVP capabilities.</w:t>
            </w:r>
          </w:p>
        </w:tc>
      </w:tr>
      <w:tr>
        <w:tc>
          <w:tcPr>
            <w:tcW w:type="dxa" w:w="1440"/>
            <w:shd w:fill="F8FAFC"/>
            <w:tcMar>
              <w:top w:w="60" w:type="dxa"/>
              <w:bottom w:w="60" w:type="dxa"/>
              <w:left w:w="100" w:type="dxa"/>
              <w:right w:w="100" w:type="dxa"/>
            </w:tcMar>
          </w:tcPr>
          <w:p>
            <w:r>
              <w:rPr>
                <w:rFonts w:ascii="Times New Roman" w:hAnsi="Times New Roman"/>
                <w:sz w:val="19"/>
              </w:rPr>
              <w:t>US-02</w:t>
            </w:r>
          </w:p>
        </w:tc>
        <w:tc>
          <w:tcPr>
            <w:tcW w:type="dxa" w:w="1728"/>
            <w:shd w:fill="F8FAFC"/>
            <w:tcMar>
              <w:top w:w="60" w:type="dxa"/>
              <w:bottom w:w="60" w:type="dxa"/>
              <w:left w:w="100" w:type="dxa"/>
              <w:right w:w="100" w:type="dxa"/>
            </w:tcMar>
          </w:tcPr>
          <w:p>
            <w:r>
              <w:rPr>
                <w:rFonts w:ascii="Times New Roman" w:hAnsi="Times New Roman"/>
                <w:sz w:val="19"/>
              </w:rPr>
              <w:t>Campus Admin</w:t>
            </w:r>
          </w:p>
        </w:tc>
        <w:tc>
          <w:tcPr>
            <w:tcW w:type="dxa" w:w="2880"/>
            <w:shd w:fill="F8FAFC"/>
            <w:tcMar>
              <w:top w:w="60" w:type="dxa"/>
              <w:bottom w:w="60" w:type="dxa"/>
              <w:left w:w="100" w:type="dxa"/>
              <w:right w:w="100" w:type="dxa"/>
            </w:tcMar>
          </w:tcPr>
          <w:p>
            <w:r>
              <w:rPr>
                <w:rFonts w:ascii="Times New Roman" w:hAnsi="Times New Roman"/>
                <w:sz w:val="19"/>
              </w:rPr>
              <w:t>Create a new technical workshop with specific equipment prerequisites.</w:t>
            </w:r>
          </w:p>
        </w:tc>
        <w:tc>
          <w:tcPr>
            <w:tcW w:type="dxa" w:w="3312"/>
            <w:shd w:fill="F8FAFC"/>
            <w:tcMar>
              <w:top w:w="60" w:type="dxa"/>
              <w:bottom w:w="60" w:type="dxa"/>
              <w:left w:w="100" w:type="dxa"/>
              <w:right w:w="100" w:type="dxa"/>
            </w:tcMar>
          </w:tcPr>
          <w:p>
            <w:r>
              <w:rPr>
                <w:rFonts w:ascii="Times New Roman" w:hAnsi="Times New Roman"/>
                <w:sz w:val="19"/>
              </w:rPr>
              <w:t>Given the logged-in administrator, When submitting the creation form with category 'Workshop' and prerequisites, Then the EventFactory instantiates the typed object and broadcasts an EVENT_CREATED notification.</w:t>
            </w:r>
          </w:p>
        </w:tc>
      </w:tr>
      <w:tr>
        <w:tc>
          <w:tcPr>
            <w:tcW w:type="dxa" w:w="1440"/>
            <w:shd w:fill="FFFFFF"/>
            <w:tcMar>
              <w:top w:w="60" w:type="dxa"/>
              <w:bottom w:w="60" w:type="dxa"/>
              <w:left w:w="100" w:type="dxa"/>
              <w:right w:w="100" w:type="dxa"/>
            </w:tcMar>
          </w:tcPr>
          <w:p>
            <w:r>
              <w:rPr>
                <w:rFonts w:ascii="Times New Roman" w:hAnsi="Times New Roman"/>
                <w:sz w:val="19"/>
              </w:rPr>
              <w:t>US-03</w:t>
            </w:r>
          </w:p>
        </w:tc>
        <w:tc>
          <w:tcPr>
            <w:tcW w:type="dxa" w:w="1728"/>
            <w:shd w:fill="FFFFFF"/>
            <w:tcMar>
              <w:top w:w="60" w:type="dxa"/>
              <w:bottom w:w="60" w:type="dxa"/>
              <w:left w:w="100" w:type="dxa"/>
              <w:right w:w="100" w:type="dxa"/>
            </w:tcMar>
          </w:tcPr>
          <w:p>
            <w:r>
              <w:rPr>
                <w:rFonts w:ascii="Times New Roman" w:hAnsi="Times New Roman"/>
                <w:sz w:val="19"/>
              </w:rPr>
              <w:t>Student Attendee</w:t>
            </w:r>
          </w:p>
        </w:tc>
        <w:tc>
          <w:tcPr>
            <w:tcW w:type="dxa" w:w="2880"/>
            <w:shd w:fill="FFFFFF"/>
            <w:tcMar>
              <w:top w:w="60" w:type="dxa"/>
              <w:bottom w:w="60" w:type="dxa"/>
              <w:left w:w="100" w:type="dxa"/>
              <w:right w:w="100" w:type="dxa"/>
            </w:tcMar>
          </w:tcPr>
          <w:p>
            <w:r>
              <w:rPr>
                <w:rFonts w:ascii="Times New Roman" w:hAnsi="Times New Roman"/>
                <w:sz w:val="19"/>
              </w:rPr>
              <w:t>Reserve an event seat and receive a confirmed digital ticket pass.</w:t>
            </w:r>
          </w:p>
        </w:tc>
        <w:tc>
          <w:tcPr>
            <w:tcW w:type="dxa" w:w="3312"/>
            <w:shd w:fill="FFFFFF"/>
            <w:tcMar>
              <w:top w:w="60" w:type="dxa"/>
              <w:bottom w:w="60" w:type="dxa"/>
              <w:left w:w="100" w:type="dxa"/>
              <w:right w:w="100" w:type="dxa"/>
            </w:tcMar>
          </w:tcPr>
          <w:p>
            <w:r>
              <w:rPr>
                <w:rFonts w:ascii="Times New Roman" w:hAnsi="Times New Roman"/>
                <w:sz w:val="19"/>
              </w:rPr>
              <w:t>Given an event with available capacity &gt; 0, When the student clicks 'RSVP Now', Then the registeredCount increments by 1, a unique ticket reference code (RUET-XXXXXX) is generated, and duplicate attempts are rejected.</w:t>
            </w:r>
          </w:p>
        </w:tc>
      </w:tr>
      <w:tr>
        <w:tc>
          <w:tcPr>
            <w:tcW w:type="dxa" w:w="1440"/>
            <w:shd w:fill="F8FAFC"/>
            <w:tcMar>
              <w:top w:w="60" w:type="dxa"/>
              <w:bottom w:w="60" w:type="dxa"/>
              <w:left w:w="100" w:type="dxa"/>
              <w:right w:w="100" w:type="dxa"/>
            </w:tcMar>
          </w:tcPr>
          <w:p>
            <w:r>
              <w:rPr>
                <w:rFonts w:ascii="Times New Roman" w:hAnsi="Times New Roman"/>
                <w:sz w:val="19"/>
              </w:rPr>
              <w:t>US-04</w:t>
            </w:r>
          </w:p>
        </w:tc>
        <w:tc>
          <w:tcPr>
            <w:tcW w:type="dxa" w:w="1728"/>
            <w:shd w:fill="F8FAFC"/>
            <w:tcMar>
              <w:top w:w="60" w:type="dxa"/>
              <w:bottom w:w="60" w:type="dxa"/>
              <w:left w:w="100" w:type="dxa"/>
              <w:right w:w="100" w:type="dxa"/>
            </w:tcMar>
          </w:tcPr>
          <w:p>
            <w:r>
              <w:rPr>
                <w:rFonts w:ascii="Times New Roman" w:hAnsi="Times New Roman"/>
                <w:sz w:val="19"/>
              </w:rPr>
              <w:t>Student Attendee</w:t>
            </w:r>
          </w:p>
        </w:tc>
        <w:tc>
          <w:tcPr>
            <w:tcW w:type="dxa" w:w="2880"/>
            <w:shd w:fill="F8FAFC"/>
            <w:tcMar>
              <w:top w:w="60" w:type="dxa"/>
              <w:bottom w:w="60" w:type="dxa"/>
              <w:left w:w="100" w:type="dxa"/>
              <w:right w:w="100" w:type="dxa"/>
            </w:tcMar>
          </w:tcPr>
          <w:p>
            <w:r>
              <w:rPr>
                <w:rFonts w:ascii="Times New Roman" w:hAnsi="Times New Roman"/>
                <w:sz w:val="19"/>
              </w:rPr>
              <w:t>Cancel an existing reservation to release the seat for other peers.</w:t>
            </w:r>
          </w:p>
        </w:tc>
        <w:tc>
          <w:tcPr>
            <w:tcW w:type="dxa" w:w="3312"/>
            <w:shd w:fill="F8FAFC"/>
            <w:tcMar>
              <w:top w:w="60" w:type="dxa"/>
              <w:bottom w:w="60" w:type="dxa"/>
              <w:left w:w="100" w:type="dxa"/>
              <w:right w:w="100" w:type="dxa"/>
            </w:tcMar>
          </w:tcPr>
          <w:p>
            <w:r>
              <w:rPr>
                <w:rFonts w:ascii="Times New Roman" w:hAnsi="Times New Roman"/>
                <w:sz w:val="19"/>
              </w:rPr>
              <w:t>Given a student holding an active reservation, When they click 'Cancel Ticket', Then the booking record is revoked, the event quota increments available seats by 1, and the UI updates reactively.</w:t>
            </w:r>
          </w:p>
        </w:tc>
      </w:tr>
    </w:tbl>
    <w:p>
      <w:pPr>
        <w:spacing w:after="80"/>
      </w:pPr>
    </w:p>
    <w:p>
      <w:pPr>
        <w:spacing w:before="160" w:after="60"/>
      </w:pPr>
      <w:r>
        <w:rPr>
          <w:rFonts w:ascii="Times New Roman" w:hAnsi="Times New Roman"/>
          <w:b/>
          <w:color w:val="1E293B"/>
          <w:sz w:val="24"/>
        </w:rPr>
        <w:t>2.4 Chosen Process Model: Agile (Scrum) &amp; Justification</w:t>
      </w:r>
    </w:p>
    <w:p>
      <w:pPr>
        <w:spacing w:line="276" w:lineRule="auto" w:after="80"/>
      </w:pPr>
      <w:r>
        <w:rPr>
          <w:rFonts w:ascii="Times New Roman" w:hAnsi="Times New Roman"/>
          <w:i w:val="0"/>
          <w:sz w:val="22"/>
        </w:rPr>
        <w:t>The project was executed following the Agile Scrum methodology structured into three iterative one-week sprints. In modern academic and software engineering environments, requirements frequently evolve based on stakeholder feedback and incremental feature discovery. The selection of Agile over traditional methodologies is justified as follows:</w:t>
      </w:r>
    </w:p>
    <w:p>
      <w:pPr>
        <w:pStyle w:val="ListBullet"/>
        <w:spacing w:line="276" w:lineRule="auto" w:after="40"/>
      </w:pPr>
      <w:r>
        <w:rPr>
          <w:rFonts w:ascii="Times New Roman" w:hAnsi="Times New Roman"/>
          <w:b/>
          <w:sz w:val="22"/>
        </w:rPr>
        <w:t>Comparison with Waterfall Model:</w:t>
      </w:r>
      <w:r>
        <w:rPr>
          <w:rFonts w:ascii="Times New Roman" w:hAnsi="Times New Roman"/>
          <w:sz w:val="22"/>
        </w:rPr>
        <w:t xml:space="preserve"> The traditional Waterfall model mandates complete, rigid specification prior to coding, which precludes feedback-driven design pattern refactoring and makes accommodating unanticipated testing requirements difficult. Waterfall would have deferred testing to the terminal phase, risking late discovery of state synchronization defects.</w:t>
      </w:r>
    </w:p>
    <w:p>
      <w:pPr>
        <w:pStyle w:val="ListBullet"/>
        <w:spacing w:line="276" w:lineRule="auto" w:after="40"/>
      </w:pPr>
      <w:r>
        <w:rPr>
          <w:rFonts w:ascii="Times New Roman" w:hAnsi="Times New Roman"/>
          <w:b/>
          <w:sz w:val="22"/>
        </w:rPr>
        <w:t>Comparison with Incremental Model:</w:t>
      </w:r>
      <w:r>
        <w:rPr>
          <w:rFonts w:ascii="Times New Roman" w:hAnsi="Times New Roman"/>
          <w:sz w:val="22"/>
        </w:rPr>
        <w:t xml:space="preserve"> While the Incremental model delivers disjoint chunks of functionality, it lacks Scrum's defined ceremonies (sprint backlog grooming, daily syncs, test-driven iteration, and retrospective evaluations) that enabled rapid adaptation during merge conflict resolutions and continuous GitHub Projects tracking.</w:t>
      </w:r>
    </w:p>
    <w:p>
      <w:pPr>
        <w:spacing w:before="240" w:after="80"/>
      </w:pPr>
      <w:r>
        <w:rPr>
          <w:rFonts w:ascii="Times New Roman" w:hAnsi="Times New Roman"/>
          <w:b/>
          <w:color w:val="0F172A"/>
          <w:sz w:val="28"/>
        </w:rPr>
        <w:t>3. System Architecture &amp; UML Modeling</w:t>
      </w:r>
    </w:p>
    <w:p>
      <w:pPr>
        <w:spacing w:line="276" w:lineRule="auto" w:after="80"/>
      </w:pPr>
      <w:r>
        <w:rPr>
          <w:rFonts w:ascii="Times New Roman" w:hAnsi="Times New Roman"/>
          <w:i w:val="0"/>
          <w:sz w:val="22"/>
        </w:rPr>
        <w:t>CampusSync employs a clean, four-layer architectural paradigm separating presentation, domain services, design patterns, and persistence engines. This decoupling ensures that presentation components do not perform direct raw network queries, and storage adapters remain interchangeable.</w:t>
      </w:r>
    </w:p>
    <w:p>
      <w:pPr>
        <w:spacing w:before="120" w:after="40"/>
        <w:jc w:val="center"/>
      </w:pPr>
      <w:r>
        <w:drawing>
          <wp:inline xmlns:a="http://schemas.openxmlformats.org/drawingml/2006/main" xmlns:pic="http://schemas.openxmlformats.org/drawingml/2006/picture">
            <wp:extent cx="5120640" cy="36271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120640" cy="3627120"/>
                    </a:xfrm>
                    <a:prstGeom prst="rect"/>
                  </pic:spPr>
                </pic:pic>
              </a:graphicData>
            </a:graphic>
          </wp:inline>
        </w:drawing>
      </w:r>
    </w:p>
    <w:p>
      <w:pPr>
        <w:spacing w:after="120"/>
        <w:jc w:val="center"/>
      </w:pPr>
      <w:r>
        <w:rPr>
          <w:rFonts w:ascii="Times New Roman" w:hAnsi="Times New Roman"/>
          <w:i/>
          <w:color w:val="64748B"/>
          <w:sz w:val="19"/>
        </w:rPr>
        <w:t>Figure 1: High-Level Four-Layer System Architecture Diagram</w:t>
      </w:r>
    </w:p>
    <w:p>
      <w:pPr>
        <w:spacing w:before="160" w:after="60"/>
      </w:pPr>
      <w:r>
        <w:rPr>
          <w:rFonts w:ascii="Times New Roman" w:hAnsi="Times New Roman"/>
          <w:b/>
          <w:color w:val="1E293B"/>
          <w:sz w:val="24"/>
        </w:rPr>
        <w:t>3.1 Use Case Model</w:t>
      </w:r>
    </w:p>
    <w:p>
      <w:pPr>
        <w:spacing w:line="276" w:lineRule="auto" w:after="80"/>
      </w:pPr>
      <w:r>
        <w:rPr>
          <w:rFonts w:ascii="Times New Roman" w:hAnsi="Times New Roman"/>
          <w:i w:val="0"/>
          <w:sz w:val="22"/>
        </w:rPr>
        <w:t>The use case model delineates the behavioral boundary between the regular student/attendee actor and the privileged campus administrator actor. Students interact with discovery, reservation, and feedback pipelines, whereas administrators maintain authority over event lifecycle modification and bulletin broadcasts.</w:t>
      </w:r>
    </w:p>
    <w:p>
      <w:pPr>
        <w:spacing w:before="120" w:after="4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029200" cy="3352800"/>
                    </a:xfrm>
                    <a:prstGeom prst="rect"/>
                  </pic:spPr>
                </pic:pic>
              </a:graphicData>
            </a:graphic>
          </wp:inline>
        </w:drawing>
      </w:r>
    </w:p>
    <w:p>
      <w:pPr>
        <w:spacing w:after="120"/>
        <w:jc w:val="center"/>
      </w:pPr>
      <w:r>
        <w:rPr>
          <w:rFonts w:ascii="Times New Roman" w:hAnsi="Times New Roman"/>
          <w:i/>
          <w:color w:val="64748B"/>
          <w:sz w:val="19"/>
        </w:rPr>
        <w:t>Figure 2: UML Use Case Diagram (Student vs. Administrator Interactions)</w:t>
      </w:r>
    </w:p>
    <w:p>
      <w:pPr>
        <w:spacing w:before="160" w:after="60"/>
      </w:pPr>
      <w:r>
        <w:rPr>
          <w:rFonts w:ascii="Times New Roman" w:hAnsi="Times New Roman"/>
          <w:b/>
          <w:color w:val="1E293B"/>
          <w:sz w:val="24"/>
        </w:rPr>
        <w:t>3.2 Dynamic Sequence Model: RSVP &amp; Seat Reservation Lifecycle</w:t>
      </w:r>
    </w:p>
    <w:p>
      <w:pPr>
        <w:spacing w:line="276" w:lineRule="auto" w:after="80"/>
      </w:pPr>
      <w:r>
        <w:rPr>
          <w:rFonts w:ascii="Times New Roman" w:hAnsi="Times New Roman"/>
          <w:i w:val="0"/>
          <w:sz w:val="22"/>
        </w:rPr>
        <w:t>Figure 3 captures the dynamic interaction flow during seat booking. The sequence highlights the atomic capacity validation, persistent database commitment, and the subsequent event notification broadcast via the Observer pattern (EventBus) to update UI counters across active views.</w:t>
      </w:r>
    </w:p>
    <w:p>
      <w:pPr>
        <w:spacing w:before="120" w:after="4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029200" cy="3771900"/>
                    </a:xfrm>
                    <a:prstGeom prst="rect"/>
                  </pic:spPr>
                </pic:pic>
              </a:graphicData>
            </a:graphic>
          </wp:inline>
        </w:drawing>
      </w:r>
    </w:p>
    <w:p>
      <w:pPr>
        <w:spacing w:after="120"/>
        <w:jc w:val="center"/>
      </w:pPr>
      <w:r>
        <w:rPr>
          <w:rFonts w:ascii="Times New Roman" w:hAnsi="Times New Roman"/>
          <w:i/>
          <w:color w:val="64748B"/>
          <w:sz w:val="19"/>
        </w:rPr>
        <w:t>Figure 3: UML Sequence Diagram for Event Registration, Seat Quota Validation, and Observer Event Dispatching</w:t>
      </w:r>
    </w:p>
    <w:p>
      <w:pPr>
        <w:spacing w:before="160" w:after="60"/>
      </w:pPr>
      <w:r>
        <w:rPr>
          <w:rFonts w:ascii="Times New Roman" w:hAnsi="Times New Roman"/>
          <w:b/>
          <w:color w:val="1E293B"/>
          <w:sz w:val="24"/>
        </w:rPr>
        <w:t>3.3 User Interface Prototypes &amp; System Mockups</w:t>
      </w:r>
    </w:p>
    <w:p>
      <w:pPr>
        <w:spacing w:line="276" w:lineRule="auto" w:after="80"/>
      </w:pPr>
      <w:r>
        <w:rPr>
          <w:rFonts w:ascii="Times New Roman" w:hAnsi="Times New Roman"/>
          <w:i w:val="0"/>
          <w:sz w:val="22"/>
        </w:rPr>
        <w:t>The user interface was crafted with a clean, contemporary aesthetic leveraging Tailwind CSS, providing intuitive information hierarchy, responsive layouts, and immediate visual feedback on seat capacities.</w:t>
      </w:r>
    </w:p>
    <w:p>
      <w:pPr>
        <w:spacing w:before="120" w:after="4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ui_home.png"/>
                    <pic:cNvPicPr/>
                  </pic:nvPicPr>
                  <pic:blipFill>
                    <a:blip r:embed="rId14"/>
                    <a:stretch>
                      <a:fillRect/>
                    </a:stretch>
                  </pic:blipFill>
                  <pic:spPr>
                    <a:xfrm>
                      <a:off x="0" y="0"/>
                      <a:ext cx="4937760" cy="3086100"/>
                    </a:xfrm>
                    <a:prstGeom prst="rect"/>
                  </pic:spPr>
                </pic:pic>
              </a:graphicData>
            </a:graphic>
          </wp:inline>
        </w:drawing>
      </w:r>
    </w:p>
    <w:p>
      <w:pPr>
        <w:spacing w:after="120"/>
        <w:jc w:val="center"/>
      </w:pPr>
      <w:r>
        <w:rPr>
          <w:rFonts w:ascii="Times New Roman" w:hAnsi="Times New Roman"/>
          <w:i/>
          <w:color w:val="64748B"/>
          <w:sz w:val="19"/>
        </w:rPr>
        <w:t>Figure 4: CampusSync Student Portal &amp; Event Discovery Feed with Live Seat Indicators</w:t>
      </w:r>
    </w:p>
    <w:p>
      <w:pPr>
        <w:spacing w:before="120" w:after="40"/>
        <w:jc w:val="center"/>
      </w:pPr>
      <w:r>
        <w:drawing>
          <wp:inline xmlns:a="http://schemas.openxmlformats.org/drawingml/2006/main" xmlns:pic="http://schemas.openxmlformats.org/drawingml/2006/picture">
            <wp:extent cx="4937760" cy="3471862"/>
            <wp:docPr id="5" name="Picture 5"/>
            <wp:cNvGraphicFramePr>
              <a:graphicFrameLocks noChangeAspect="1"/>
            </wp:cNvGraphicFramePr>
            <a:graphic>
              <a:graphicData uri="http://schemas.openxmlformats.org/drawingml/2006/picture">
                <pic:pic>
                  <pic:nvPicPr>
                    <pic:cNvPr id="0" name="ui_admin.png"/>
                    <pic:cNvPicPr/>
                  </pic:nvPicPr>
                  <pic:blipFill>
                    <a:blip r:embed="rId15"/>
                    <a:stretch>
                      <a:fillRect/>
                    </a:stretch>
                  </pic:blipFill>
                  <pic:spPr>
                    <a:xfrm>
                      <a:off x="0" y="0"/>
                      <a:ext cx="4937760" cy="3471862"/>
                    </a:xfrm>
                    <a:prstGeom prst="rect"/>
                  </pic:spPr>
                </pic:pic>
              </a:graphicData>
            </a:graphic>
          </wp:inline>
        </w:drawing>
      </w:r>
    </w:p>
    <w:p>
      <w:pPr>
        <w:spacing w:after="120"/>
        <w:jc w:val="center"/>
      </w:pPr>
      <w:r>
        <w:rPr>
          <w:rFonts w:ascii="Times New Roman" w:hAnsi="Times New Roman"/>
          <w:i/>
          <w:color w:val="64748B"/>
          <w:sz w:val="19"/>
        </w:rPr>
        <w:t>Figure 5: Campus Administrator Management Console &amp; Real-Time Broadcast Dashboard</w:t>
      </w:r>
    </w:p>
    <w:p>
      <w:pPr>
        <w:spacing w:before="240" w:after="80"/>
      </w:pPr>
      <w:r>
        <w:rPr>
          <w:rFonts w:ascii="Times New Roman" w:hAnsi="Times New Roman"/>
          <w:b/>
          <w:color w:val="0F172A"/>
          <w:sz w:val="28"/>
        </w:rPr>
        <w:t>4. Design Patterns Implementation</w:t>
      </w:r>
    </w:p>
    <w:p>
      <w:pPr>
        <w:spacing w:line="276" w:lineRule="auto" w:after="80"/>
      </w:pPr>
      <w:r>
        <w:rPr>
          <w:rFonts w:ascii="Times New Roman" w:hAnsi="Times New Roman"/>
          <w:i w:val="0"/>
          <w:sz w:val="22"/>
        </w:rPr>
        <w:t>To satisfy rigorous software engineering principles (including the Single Responsibility Principle, Open/Closed Principle, and High Cohesion/Low Coupling), three distinct design patterns were integrated across two fundamental GoF categories: Creational and Behavioral.</w:t>
      </w:r>
    </w:p>
    <w:p>
      <w:pPr>
        <w:spacing w:before="160" w:after="60"/>
      </w:pPr>
      <w:r>
        <w:rPr>
          <w:rFonts w:ascii="Times New Roman" w:hAnsi="Times New Roman"/>
          <w:b/>
          <w:color w:val="1E293B"/>
          <w:sz w:val="24"/>
        </w:rPr>
        <w:t>4.1 Pattern 1: Singleton Pattern (Creational Category)</w:t>
      </w:r>
    </w:p>
    <w:p>
      <w:pPr>
        <w:pStyle w:val="ListBullet"/>
        <w:spacing w:line="276" w:lineRule="auto" w:after="40"/>
      </w:pPr>
      <w:r>
        <w:rPr>
          <w:rFonts w:ascii="Times New Roman" w:hAnsi="Times New Roman"/>
          <w:b/>
          <w:sz w:val="22"/>
        </w:rPr>
        <w:t>Problem Solved:</w:t>
      </w:r>
      <w:r>
        <w:rPr>
          <w:rFonts w:ascii="Times New Roman" w:hAnsi="Times New Roman"/>
          <w:sz w:val="22"/>
        </w:rPr>
        <w:t xml:space="preserve"> Prevents multiple redundant client initializations of the Google Firebase SDK and Firestore database handles. Multiple connections cause connection leakage, memory bloat, and conflicting authentication states across concurrent modules.</w:t>
      </w:r>
    </w:p>
    <w:p>
      <w:pPr>
        <w:pStyle w:val="ListBullet"/>
        <w:spacing w:line="276" w:lineRule="auto" w:after="40"/>
      </w:pPr>
      <w:r>
        <w:rPr>
          <w:rFonts w:ascii="Times New Roman" w:hAnsi="Times New Roman"/>
          <w:b/>
          <w:sz w:val="22"/>
        </w:rPr>
        <w:t>Implementation Details:</w:t>
      </w:r>
      <w:r>
        <w:rPr>
          <w:rFonts w:ascii="Times New Roman" w:hAnsi="Times New Roman"/>
          <w:sz w:val="22"/>
        </w:rPr>
        <w:t xml:space="preserve"> Implemented via the `FirebaseConfigManager` class (/src/patterns/FirebaseSingleton.js). A private static instance variable holds the single shared client. Invoking `FirebaseConfigManager.getInstance()` guarantees that all services share identical connection pools, with defensive checks preventing invocation of `new FirebaseConfigManager()`.</w:t>
      </w:r>
    </w:p>
    <w:p>
      <w:pPr>
        <w:pStyle w:val="ListBullet"/>
        <w:spacing w:line="276" w:lineRule="auto" w:after="40"/>
      </w:pPr>
      <w:r>
        <w:rPr>
          <w:rFonts w:ascii="Times New Roman" w:hAnsi="Times New Roman"/>
          <w:b/>
          <w:sz w:val="22"/>
        </w:rPr>
        <w:t>Rejected Alternative:</w:t>
      </w:r>
      <w:r>
        <w:rPr>
          <w:rFonts w:ascii="Times New Roman" w:hAnsi="Times New Roman"/>
          <w:sz w:val="22"/>
        </w:rPr>
        <w:t xml:space="preserve"> Storing database connections in global window-level variables or passing the client down the component tree through prop drilling. Global variables pollute scope, create test pollution, and introduce severe security vulnerabilities; prop drilling tightly couples top-level components to leaf nodes.</w:t>
      </w:r>
    </w:p>
    <w:p>
      <w:pPr>
        <w:spacing w:before="160" w:after="60"/>
      </w:pPr>
      <w:r>
        <w:rPr>
          <w:rFonts w:ascii="Times New Roman" w:hAnsi="Times New Roman"/>
          <w:b/>
          <w:color w:val="1E293B"/>
          <w:sz w:val="24"/>
        </w:rPr>
        <w:t>4.2 Pattern 2: Factory Pattern (Creational Category)</w:t>
      </w:r>
    </w:p>
    <w:p>
      <w:pPr>
        <w:pStyle w:val="ListBullet"/>
        <w:spacing w:line="276" w:lineRule="auto" w:after="40"/>
      </w:pPr>
      <w:r>
        <w:rPr>
          <w:rFonts w:ascii="Times New Roman" w:hAnsi="Times New Roman"/>
          <w:b/>
          <w:sz w:val="22"/>
        </w:rPr>
        <w:t>Problem Solved:</w:t>
      </w:r>
      <w:r>
        <w:rPr>
          <w:rFonts w:ascii="Times New Roman" w:hAnsi="Times New Roman"/>
          <w:sz w:val="22"/>
        </w:rPr>
        <w:t xml:space="preserve"> Eliminates tight coupling between client UI forms and concrete campus event implementations. Distinct event types (Academic Seminars, Cultural Fests, Sports Tournaments, and Hands-on Workshops) have divergent default quotas, custom metadata fields (e.g. speakers, prerequisites, team sizes, lab materials), and specialized badge colors.</w:t>
      </w:r>
    </w:p>
    <w:p>
      <w:pPr>
        <w:pStyle w:val="ListBullet"/>
        <w:spacing w:line="276" w:lineRule="auto" w:after="40"/>
      </w:pPr>
      <w:r>
        <w:rPr>
          <w:rFonts w:ascii="Times New Roman" w:hAnsi="Times New Roman"/>
          <w:b/>
          <w:sz w:val="22"/>
        </w:rPr>
        <w:t>Implementation Details:</w:t>
      </w:r>
      <w:r>
        <w:rPr>
          <w:rFonts w:ascii="Times New Roman" w:hAnsi="Times New Roman"/>
          <w:sz w:val="22"/>
        </w:rPr>
        <w:t xml:space="preserve"> Implemented through `EventFactory.createEvent(category, data)` (/src/patterns/EventFactory.js). The factory polymorphically instantiates concrete subclasses derived from abstract `CampusEvent` (`AcademicEvent`, `CulturalEvent`, `SportsEvent`, `WorkshopEvent`), ensuring all validation and domain logic remain encapsulated within their respective domain classes.</w:t>
      </w:r>
    </w:p>
    <w:p>
      <w:pPr>
        <w:pStyle w:val="ListBullet"/>
        <w:spacing w:line="276" w:lineRule="auto" w:after="40"/>
      </w:pPr>
      <w:r>
        <w:rPr>
          <w:rFonts w:ascii="Times New Roman" w:hAnsi="Times New Roman"/>
          <w:b/>
          <w:sz w:val="22"/>
        </w:rPr>
        <w:t>Rejected Alternative:</w:t>
      </w:r>
      <w:r>
        <w:rPr>
          <w:rFonts w:ascii="Times New Roman" w:hAnsi="Times New Roman"/>
          <w:sz w:val="22"/>
        </w:rPr>
        <w:t xml:space="preserve"> Scattering massive `switch(category)` statements across every component that displays or validates events. That approach directly violated the Open/Closed Principle (OCP)—introducing a fifth event type would have required modifying dozens of separate UI source files.</w:t>
      </w:r>
    </w:p>
    <w:p>
      <w:pPr>
        <w:spacing w:before="160" w:after="60"/>
      </w:pPr>
      <w:r>
        <w:rPr>
          <w:rFonts w:ascii="Times New Roman" w:hAnsi="Times New Roman"/>
          <w:b/>
          <w:color w:val="1E293B"/>
          <w:sz w:val="24"/>
        </w:rPr>
        <w:t>4.3 Pattern 3: Observer Pattern (Behavioral Category)</w:t>
      </w:r>
    </w:p>
    <w:p>
      <w:pPr>
        <w:pStyle w:val="ListBullet"/>
        <w:spacing w:line="276" w:lineRule="auto" w:after="40"/>
      </w:pPr>
      <w:r>
        <w:rPr>
          <w:rFonts w:ascii="Times New Roman" w:hAnsi="Times New Roman"/>
          <w:b/>
          <w:sz w:val="22"/>
        </w:rPr>
        <w:t>Problem Solved:</w:t>
      </w:r>
      <w:r>
        <w:rPr>
          <w:rFonts w:ascii="Times New Roman" w:hAnsi="Times New Roman"/>
          <w:sz w:val="22"/>
        </w:rPr>
        <w:t xml:space="preserve"> Decouples notification dispatching from UI receivers. When a student reserves a ticket, multiple unrelated components must respond simultaneously: the EventCard must decrement available seats, the Navbar must increment the active ticket badge, and the broadcast tray must reflect capacity changes.</w:t>
      </w:r>
    </w:p>
    <w:p>
      <w:pPr>
        <w:pStyle w:val="ListBullet"/>
        <w:spacing w:line="276" w:lineRule="auto" w:after="40"/>
      </w:pPr>
      <w:r>
        <w:rPr>
          <w:rFonts w:ascii="Times New Roman" w:hAnsi="Times New Roman"/>
          <w:b/>
          <w:sz w:val="22"/>
        </w:rPr>
        <w:t>Implementation Details:</w:t>
      </w:r>
      <w:r>
        <w:rPr>
          <w:rFonts w:ascii="Times New Roman" w:hAnsi="Times New Roman"/>
          <w:sz w:val="22"/>
        </w:rPr>
        <w:t xml:space="preserve"> Realized via a centralized publish-subscribe `EventBus` (/src/patterns/EventBus.js). Components register observer callbacks using `eventBus.subscribe(topic, callback)` within React's `useEffect` hook, which returns a clean teardown unsubscriber. When state changes occur, `eventBus.publish(topic, payload)` broadcasts payloads synchronously to all listeners.</w:t>
      </w:r>
    </w:p>
    <w:p>
      <w:pPr>
        <w:pStyle w:val="ListBullet"/>
        <w:spacing w:line="276" w:lineRule="auto" w:after="40"/>
      </w:pPr>
      <w:r>
        <w:rPr>
          <w:rFonts w:ascii="Times New Roman" w:hAnsi="Times New Roman"/>
          <w:b/>
          <w:sz w:val="22"/>
        </w:rPr>
        <w:t>Rejected Alternative:</w:t>
      </w:r>
      <w:r>
        <w:rPr>
          <w:rFonts w:ascii="Times New Roman" w:hAnsi="Times New Roman"/>
          <w:sz w:val="22"/>
        </w:rPr>
        <w:t xml:space="preserve"> Setting up polling timers with `setInterval()` or lifting shared state up five component hierarchy levels. Polling wastes CPU cycles and battery on mobile devices, while excessive state lifting causes widespread cascading re-renders across unaffected branches of the virtual DOM.</w:t>
      </w:r>
    </w:p>
    <w:p>
      <w:pPr>
        <w:spacing w:before="160" w:after="60"/>
      </w:pPr>
      <w:r>
        <w:rPr>
          <w:rFonts w:ascii="Times New Roman" w:hAnsi="Times New Roman"/>
          <w:b/>
          <w:color w:val="1E293B"/>
          <w:sz w:val="24"/>
        </w:rPr>
        <w:t>4.4 UML Class Diagram</w:t>
      </w:r>
    </w:p>
    <w:p>
      <w:pPr>
        <w:spacing w:line="276" w:lineRule="auto" w:after="80"/>
      </w:pPr>
      <w:r>
        <w:rPr>
          <w:rFonts w:ascii="Times New Roman" w:hAnsi="Times New Roman"/>
          <w:i w:val="0"/>
          <w:sz w:val="22"/>
        </w:rPr>
        <w:t>The comprehensive class diagram in Figure 6 illustrates the relationships, inheritance hierarchies, interfaces, and design pattern integration across the application codebase.</w:t>
      </w:r>
    </w:p>
    <w:p>
      <w:pPr>
        <w:spacing w:before="120" w:after="40"/>
        <w:jc w:val="center"/>
      </w:pPr>
      <w:r>
        <w:drawing>
          <wp:inline xmlns:a="http://schemas.openxmlformats.org/drawingml/2006/main" xmlns:pic="http://schemas.openxmlformats.org/drawingml/2006/picture">
            <wp:extent cx="5120640" cy="4023360"/>
            <wp:docPr id="6" name="Picture 6"/>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5120640" cy="4023360"/>
                    </a:xfrm>
                    <a:prstGeom prst="rect"/>
                  </pic:spPr>
                </pic:pic>
              </a:graphicData>
            </a:graphic>
          </wp:inline>
        </w:drawing>
      </w:r>
    </w:p>
    <w:p>
      <w:pPr>
        <w:spacing w:after="120"/>
        <w:jc w:val="center"/>
      </w:pPr>
      <w:r>
        <w:rPr>
          <w:rFonts w:ascii="Times New Roman" w:hAnsi="Times New Roman"/>
          <w:i/>
          <w:color w:val="64748B"/>
          <w:sz w:val="19"/>
        </w:rPr>
        <w:t>Figure 6: Complete UML Class Diagram Illustrating Singleton, Factory, and Observer Design Patterns</w:t>
      </w:r>
    </w:p>
    <w:p>
      <w:pPr>
        <w:spacing w:before="240" w:after="80"/>
      </w:pPr>
      <w:r>
        <w:rPr>
          <w:rFonts w:ascii="Times New Roman" w:hAnsi="Times New Roman"/>
          <w:b/>
          <w:color w:val="0F172A"/>
          <w:sz w:val="28"/>
        </w:rPr>
        <w:t>5. Software Testing &amp; Quality Assurance</w:t>
      </w:r>
    </w:p>
    <w:p>
      <w:pPr>
        <w:spacing w:before="160" w:after="60"/>
      </w:pPr>
      <w:r>
        <w:rPr>
          <w:rFonts w:ascii="Times New Roman" w:hAnsi="Times New Roman"/>
          <w:b/>
          <w:color w:val="1E293B"/>
          <w:sz w:val="24"/>
        </w:rPr>
        <w:t>5.1 Test-Driven Development (TDD) Workflow</w:t>
      </w:r>
    </w:p>
    <w:p>
      <w:pPr>
        <w:spacing w:line="276" w:lineRule="auto" w:after="80"/>
      </w:pPr>
      <w:r>
        <w:rPr>
          <w:rFonts w:ascii="Times New Roman" w:hAnsi="Times New Roman"/>
          <w:i w:val="0"/>
          <w:sz w:val="22"/>
        </w:rPr>
        <w:t>The application's core domain services were constructed adhering strictly to Test-Driven Development (TDD) methodologies utilizing the Red-Green-Refactor cycle. Unit test specifications were authored prior to the concrete service implementations:</w:t>
      </w:r>
    </w:p>
    <w:p>
      <w:pPr>
        <w:pStyle w:val="ListBullet"/>
        <w:spacing w:line="276" w:lineRule="auto" w:after="40"/>
      </w:pPr>
      <w:r>
        <w:rPr>
          <w:rFonts w:ascii="Times New Roman" w:hAnsi="Times New Roman"/>
          <w:b/>
          <w:sz w:val="22"/>
        </w:rPr>
        <w:t>Phase 1 (Red):</w:t>
      </w:r>
      <w:r>
        <w:rPr>
          <w:rFonts w:ascii="Times New Roman" w:hAnsi="Times New Roman"/>
          <w:sz w:val="22"/>
        </w:rPr>
        <w:t xml:space="preserve"> Authored failing test assertions defining expected domain invariants (e.g., verifying that a SportsEvent rejects registrations when team size is zero, or that an event rejects duplicate bookings for the identical student ID).</w:t>
      </w:r>
    </w:p>
    <w:p>
      <w:pPr>
        <w:pStyle w:val="ListBullet"/>
        <w:spacing w:line="276" w:lineRule="auto" w:after="40"/>
      </w:pPr>
      <w:r>
        <w:rPr>
          <w:rFonts w:ascii="Times New Roman" w:hAnsi="Times New Roman"/>
          <w:b/>
          <w:sz w:val="22"/>
        </w:rPr>
        <w:t>Phase 2 (Green):</w:t>
      </w:r>
      <w:r>
        <w:rPr>
          <w:rFonts w:ascii="Times New Roman" w:hAnsi="Times New Roman"/>
          <w:sz w:val="22"/>
        </w:rPr>
        <w:t xml:space="preserve"> Implemented the minimal code necessary within `EventService` and `EventFactory` to satisfy all failing assertions.</w:t>
      </w:r>
    </w:p>
    <w:p>
      <w:pPr>
        <w:pStyle w:val="ListBullet"/>
        <w:spacing w:line="276" w:lineRule="auto" w:after="40"/>
      </w:pPr>
      <w:r>
        <w:rPr>
          <w:rFonts w:ascii="Times New Roman" w:hAnsi="Times New Roman"/>
          <w:b/>
          <w:sz w:val="22"/>
        </w:rPr>
        <w:t>Phase 3 (Refactor):</w:t>
      </w:r>
      <w:r>
        <w:rPr>
          <w:rFonts w:ascii="Times New Roman" w:hAnsi="Times New Roman"/>
          <w:sz w:val="22"/>
        </w:rPr>
        <w:t xml:space="preserve"> Cleaned up code structure, eliminated code duplication, and modularized validation rules while maintaining passing test suites.</w:t>
      </w:r>
    </w:p>
    <w:p>
      <w:pPr>
        <w:spacing w:before="160" w:after="60"/>
      </w:pPr>
      <w:r>
        <w:rPr>
          <w:rFonts w:ascii="Times New Roman" w:hAnsi="Times New Roman"/>
          <w:b/>
          <w:color w:val="1E293B"/>
          <w:sz w:val="24"/>
        </w:rPr>
        <w:t>5.2 Dependency Mocking Strategy</w:t>
      </w:r>
    </w:p>
    <w:p>
      <w:pPr>
        <w:spacing w:line="276" w:lineRule="auto" w:after="80"/>
      </w:pPr>
      <w:r>
        <w:rPr>
          <w:rFonts w:ascii="Times New Roman" w:hAnsi="Times New Roman"/>
          <w:i w:val="0"/>
          <w:sz w:val="22"/>
        </w:rPr>
        <w:t>To achieve true unit isolation and adhere to the testing requirement of isolating external dependencies, Google Firebase Firestore and cloud network calls were comprehensively mocked using `vi.mock('firebase/firestore')`. Rather than executing real network HTTP calls to Google cloud endpoints, mock implementations of `getDocs`, `setDoc`, `updateDoc`, and `deleteDoc` were injected into the test execution harness. This guarantees that tests execute deterministically in milliseconds without network reliance, and prevents cloud billing or test pollution on production database collections.</w:t>
      </w:r>
    </w:p>
    <w:p>
      <w:pPr>
        <w:spacing w:before="160" w:after="60"/>
      </w:pPr>
      <w:r>
        <w:rPr>
          <w:rFonts w:ascii="Times New Roman" w:hAnsi="Times New Roman"/>
          <w:b/>
          <w:color w:val="1E293B"/>
          <w:sz w:val="24"/>
        </w:rPr>
        <w:t>5.3 Beginner-Friendly Testing Framework Rationale</w:t>
      </w:r>
    </w:p>
    <w:p>
      <w:pPr>
        <w:spacing w:line="276" w:lineRule="auto" w:after="80"/>
      </w:pPr>
      <w:r>
        <w:rPr>
          <w:rFonts w:ascii="Times New Roman" w:hAnsi="Times New Roman"/>
          <w:i w:val="0"/>
          <w:sz w:val="22"/>
        </w:rPr>
        <w:t>While enterprise testing suites often deploy bulky tools such as Selenium WebDriver, JUnit, or PyTest, **Vitest** paired with **React Testing Library** was selected as the designated testing framework. Vitest offers several distinct pedagogical and technical advantages:</w:t>
      </w:r>
    </w:p>
    <w:p>
      <w:pPr>
        <w:pStyle w:val="ListBullet"/>
        <w:spacing w:line="276" w:lineRule="auto" w:after="40"/>
      </w:pPr>
      <w:r>
        <w:rPr>
          <w:rFonts w:ascii="Times New Roman" w:hAnsi="Times New Roman"/>
          <w:b/>
          <w:sz w:val="22"/>
        </w:rPr>
        <w:t>Comparison with Selenium:</w:t>
      </w:r>
      <w:r>
        <w:rPr>
          <w:rFonts w:ascii="Times New Roman" w:hAnsi="Times New Roman"/>
          <w:sz w:val="22"/>
        </w:rPr>
        <w:t xml:space="preserve"> Selenium requires complex browser binary drivers (chromedriver/geckodriver), fragile sleep/wait timers, and substantial overhead, making it prone to transient flaky failures that confuse examiners and students during live demonstrations.</w:t>
      </w:r>
    </w:p>
    <w:p>
      <w:pPr>
        <w:pStyle w:val="ListBullet"/>
        <w:spacing w:line="276" w:lineRule="auto" w:after="40"/>
      </w:pPr>
      <w:r>
        <w:rPr>
          <w:rFonts w:ascii="Times New Roman" w:hAnsi="Times New Roman"/>
          <w:b/>
          <w:sz w:val="22"/>
        </w:rPr>
        <w:t>Comparison with JUnit / PyTest:</w:t>
      </w:r>
      <w:r>
        <w:rPr>
          <w:rFonts w:ascii="Times New Roman" w:hAnsi="Times New Roman"/>
          <w:sz w:val="22"/>
        </w:rPr>
        <w:t xml:space="preserve"> Because the frontend is built entirely in modern JavaScript/React, using Java/JUnit or Python/PyTest would require cross-language subprocess bridges and dual runtime dependencies. Vitest executes directly within the JavaScript V8 engine with built-in ESM support, running the entire 22-test suite in 600 milliseconds with crystal-clear human-readable test output that is effortless to defend in a viva examination.</w:t>
      </w:r>
    </w:p>
    <w:p>
      <w:pPr>
        <w:spacing w:before="160" w:after="60"/>
      </w:pPr>
      <w:r>
        <w:rPr>
          <w:rFonts w:ascii="Times New Roman" w:hAnsi="Times New Roman"/>
          <w:b/>
          <w:color w:val="1E293B"/>
          <w:sz w:val="24"/>
        </w:rPr>
        <w:t>5.4 Test Coverage Summary</w:t>
      </w:r>
    </w:p>
    <w:p>
      <w:pPr>
        <w:spacing w:line="276" w:lineRule="auto" w:after="80"/>
      </w:pPr>
      <w:r>
        <w:rPr>
          <w:rFonts w:ascii="Times New Roman" w:hAnsi="Times New Roman"/>
          <w:i w:val="0"/>
          <w:sz w:val="22"/>
        </w:rPr>
        <w:t>Automated test coverage was generated using Vitest's integrated V8 coverage provider. As tabulated below, core business services and design pattern modules achieved high code coverage: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fill="E2E8F0"/>
            <w:tcMar>
              <w:top w:w="80" w:type="dxa"/>
              <w:bottom w:w="80" w:type="dxa"/>
              <w:left w:w="100" w:type="dxa"/>
              <w:right w:w="100" w:type="dxa"/>
            </w:tcMar>
          </w:tcPr>
          <w:p>
            <w:pPr>
              <w:jc w:val="center"/>
            </w:pPr>
            <w:r>
              <w:rPr>
                <w:rFonts w:ascii="Times New Roman" w:hAnsi="Times New Roman"/>
                <w:b/>
                <w:sz w:val="20"/>
              </w:rPr>
              <w:t>Module / File</w:t>
            </w:r>
          </w:p>
        </w:tc>
        <w:tc>
          <w:tcPr>
            <w:tcW w:type="dxa" w:w="1296"/>
            <w:shd w:fill="E2E8F0"/>
            <w:tcMar>
              <w:top w:w="80" w:type="dxa"/>
              <w:bottom w:w="80" w:type="dxa"/>
              <w:left w:w="100" w:type="dxa"/>
              <w:right w:w="100" w:type="dxa"/>
            </w:tcMar>
          </w:tcPr>
          <w:p>
            <w:pPr>
              <w:jc w:val="center"/>
            </w:pPr>
            <w:r>
              <w:rPr>
                <w:rFonts w:ascii="Times New Roman" w:hAnsi="Times New Roman"/>
                <w:b/>
                <w:sz w:val="20"/>
              </w:rPr>
              <w:t>% Statements</w:t>
            </w:r>
          </w:p>
        </w:tc>
        <w:tc>
          <w:tcPr>
            <w:tcW w:type="dxa" w:w="1152"/>
            <w:shd w:fill="E2E8F0"/>
            <w:tcMar>
              <w:top w:w="80" w:type="dxa"/>
              <w:bottom w:w="80" w:type="dxa"/>
              <w:left w:w="100" w:type="dxa"/>
              <w:right w:w="100" w:type="dxa"/>
            </w:tcMar>
          </w:tcPr>
          <w:p>
            <w:pPr>
              <w:jc w:val="center"/>
            </w:pPr>
            <w:r>
              <w:rPr>
                <w:rFonts w:ascii="Times New Roman" w:hAnsi="Times New Roman"/>
                <w:b/>
                <w:sz w:val="20"/>
              </w:rPr>
              <w:t>% Branches</w:t>
            </w:r>
          </w:p>
        </w:tc>
        <w:tc>
          <w:tcPr>
            <w:tcW w:type="dxa" w:w="1296"/>
            <w:shd w:fill="E2E8F0"/>
            <w:tcMar>
              <w:top w:w="80" w:type="dxa"/>
              <w:bottom w:w="80" w:type="dxa"/>
              <w:left w:w="100" w:type="dxa"/>
              <w:right w:w="100" w:type="dxa"/>
            </w:tcMar>
          </w:tcPr>
          <w:p>
            <w:pPr>
              <w:jc w:val="center"/>
            </w:pPr>
            <w:r>
              <w:rPr>
                <w:rFonts w:ascii="Times New Roman" w:hAnsi="Times New Roman"/>
                <w:b/>
                <w:sz w:val="20"/>
              </w:rPr>
              <w:t>% Functions</w:t>
            </w:r>
          </w:p>
        </w:tc>
        <w:tc>
          <w:tcPr>
            <w:tcW w:type="dxa" w:w="1152"/>
            <w:shd w:fill="E2E8F0"/>
            <w:tcMar>
              <w:top w:w="80" w:type="dxa"/>
              <w:bottom w:w="80" w:type="dxa"/>
              <w:left w:w="100" w:type="dxa"/>
              <w:right w:w="100" w:type="dxa"/>
            </w:tcMar>
          </w:tcPr>
          <w:p>
            <w:pPr>
              <w:jc w:val="center"/>
            </w:pPr>
            <w:r>
              <w:rPr>
                <w:rFonts w:ascii="Times New Roman" w:hAnsi="Times New Roman"/>
                <w:b/>
                <w:sz w:val="20"/>
              </w:rPr>
              <w:t>% Lines</w:t>
            </w:r>
          </w:p>
        </w:tc>
        <w:tc>
          <w:tcPr>
            <w:tcW w:type="dxa" w:w="1584"/>
            <w:shd w:fill="E2E8F0"/>
            <w:tcMar>
              <w:top w:w="80" w:type="dxa"/>
              <w:bottom w:w="80" w:type="dxa"/>
              <w:left w:w="100" w:type="dxa"/>
              <w:right w:w="100" w:type="dxa"/>
            </w:tcMar>
          </w:tcPr>
          <w:p>
            <w:pPr>
              <w:jc w:val="center"/>
            </w:pPr>
            <w:r>
              <w:rPr>
                <w:rFonts w:ascii="Times New Roman" w:hAnsi="Times New Roman"/>
                <w:b/>
                <w:sz w:val="20"/>
              </w:rPr>
              <w:t>Test Status</w:t>
            </w:r>
          </w:p>
        </w:tc>
      </w:tr>
      <w:tr>
        <w:tc>
          <w:tcPr>
            <w:tcW w:type="dxa" w:w="3168"/>
            <w:shd w:fill="FFFFFF"/>
            <w:tcMar>
              <w:top w:w="60" w:type="dxa"/>
              <w:bottom w:w="60" w:type="dxa"/>
              <w:left w:w="100" w:type="dxa"/>
              <w:right w:w="100" w:type="dxa"/>
            </w:tcMar>
          </w:tcPr>
          <w:p>
            <w:r>
              <w:rPr>
                <w:rFonts w:ascii="Times New Roman" w:hAnsi="Times New Roman"/>
                <w:sz w:val="19"/>
              </w:rPr>
              <w:t>patterns/EventBus.js (Observer)</w:t>
            </w:r>
          </w:p>
        </w:tc>
        <w:tc>
          <w:tcPr>
            <w:tcW w:type="dxa" w:w="1296"/>
            <w:shd w:fill="FFFFFF"/>
            <w:tcMar>
              <w:top w:w="60" w:type="dxa"/>
              <w:bottom w:w="60" w:type="dxa"/>
              <w:left w:w="100" w:type="dxa"/>
              <w:right w:w="100" w:type="dxa"/>
            </w:tcMar>
          </w:tcPr>
          <w:p>
            <w:r>
              <w:rPr>
                <w:rFonts w:ascii="Times New Roman" w:hAnsi="Times New Roman"/>
                <w:sz w:val="19"/>
              </w:rPr>
              <w:t>87.50%</w:t>
            </w:r>
          </w:p>
        </w:tc>
        <w:tc>
          <w:tcPr>
            <w:tcW w:type="dxa" w:w="1152"/>
            <w:shd w:fill="FFFFFF"/>
            <w:tcMar>
              <w:top w:w="60" w:type="dxa"/>
              <w:bottom w:w="60" w:type="dxa"/>
              <w:left w:w="100" w:type="dxa"/>
              <w:right w:w="100" w:type="dxa"/>
            </w:tcMar>
          </w:tcPr>
          <w:p>
            <w:r>
              <w:rPr>
                <w:rFonts w:ascii="Times New Roman" w:hAnsi="Times New Roman"/>
                <w:sz w:val="19"/>
              </w:rPr>
              <w:t>75.00%</w:t>
            </w:r>
          </w:p>
        </w:tc>
        <w:tc>
          <w:tcPr>
            <w:tcW w:type="dxa" w:w="1296"/>
            <w:shd w:fill="FFFFFF"/>
            <w:tcMar>
              <w:top w:w="60" w:type="dxa"/>
              <w:bottom w:w="60" w:type="dxa"/>
              <w:left w:w="100" w:type="dxa"/>
              <w:right w:w="100" w:type="dxa"/>
            </w:tcMar>
          </w:tcPr>
          <w:p>
            <w:r>
              <w:rPr>
                <w:rFonts w:ascii="Times New Roman" w:hAnsi="Times New Roman"/>
                <w:sz w:val="19"/>
              </w:rPr>
              <w:t>100.0%</w:t>
            </w:r>
          </w:p>
        </w:tc>
        <w:tc>
          <w:tcPr>
            <w:tcW w:type="dxa" w:w="1152"/>
            <w:shd w:fill="FFFFFF"/>
            <w:tcMar>
              <w:top w:w="60" w:type="dxa"/>
              <w:bottom w:w="60" w:type="dxa"/>
              <w:left w:w="100" w:type="dxa"/>
              <w:right w:w="100" w:type="dxa"/>
            </w:tcMar>
          </w:tcPr>
          <w:p>
            <w:r>
              <w:rPr>
                <w:rFonts w:ascii="Times New Roman" w:hAnsi="Times New Roman"/>
                <w:sz w:val="19"/>
              </w:rPr>
              <w:t>87.50%</w:t>
            </w:r>
          </w:p>
        </w:tc>
        <w:tc>
          <w:tcPr>
            <w:tcW w:type="dxa" w:w="1584"/>
            <w:shd w:fill="FFFFFF"/>
            <w:tcMar>
              <w:top w:w="60" w:type="dxa"/>
              <w:bottom w:w="60" w:type="dxa"/>
              <w:left w:w="100" w:type="dxa"/>
              <w:right w:w="100" w:type="dxa"/>
            </w:tcMar>
          </w:tcPr>
          <w:p>
            <w:r>
              <w:rPr>
                <w:rFonts w:ascii="Times New Roman" w:hAnsi="Times New Roman"/>
                <w:sz w:val="19"/>
              </w:rPr>
              <w:t>PASSED (3/3)</w:t>
            </w:r>
          </w:p>
        </w:tc>
      </w:tr>
      <w:tr>
        <w:tc>
          <w:tcPr>
            <w:tcW w:type="dxa" w:w="3168"/>
            <w:shd w:fill="F8FAFC"/>
            <w:tcMar>
              <w:top w:w="60" w:type="dxa"/>
              <w:bottom w:w="60" w:type="dxa"/>
              <w:left w:w="100" w:type="dxa"/>
              <w:right w:w="100" w:type="dxa"/>
            </w:tcMar>
          </w:tcPr>
          <w:p>
            <w:r>
              <w:rPr>
                <w:rFonts w:ascii="Times New Roman" w:hAnsi="Times New Roman"/>
                <w:sz w:val="19"/>
              </w:rPr>
              <w:t>patterns/EventFactory.js (Factory)</w:t>
            </w:r>
          </w:p>
        </w:tc>
        <w:tc>
          <w:tcPr>
            <w:tcW w:type="dxa" w:w="1296"/>
            <w:shd w:fill="F8FAFC"/>
            <w:tcMar>
              <w:top w:w="60" w:type="dxa"/>
              <w:bottom w:w="60" w:type="dxa"/>
              <w:left w:w="100" w:type="dxa"/>
              <w:right w:w="100" w:type="dxa"/>
            </w:tcMar>
          </w:tcPr>
          <w:p>
            <w:r>
              <w:rPr>
                <w:rFonts w:ascii="Times New Roman" w:hAnsi="Times New Roman"/>
                <w:sz w:val="19"/>
              </w:rPr>
              <w:t>83.58%</w:t>
            </w:r>
          </w:p>
        </w:tc>
        <w:tc>
          <w:tcPr>
            <w:tcW w:type="dxa" w:w="1152"/>
            <w:shd w:fill="F8FAFC"/>
            <w:tcMar>
              <w:top w:w="60" w:type="dxa"/>
              <w:bottom w:w="60" w:type="dxa"/>
              <w:left w:w="100" w:type="dxa"/>
              <w:right w:w="100" w:type="dxa"/>
            </w:tcMar>
          </w:tcPr>
          <w:p>
            <w:r>
              <w:rPr>
                <w:rFonts w:ascii="Times New Roman" w:hAnsi="Times New Roman"/>
                <w:sz w:val="19"/>
              </w:rPr>
              <w:t>85.89%</w:t>
            </w:r>
          </w:p>
        </w:tc>
        <w:tc>
          <w:tcPr>
            <w:tcW w:type="dxa" w:w="1296"/>
            <w:shd w:fill="F8FAFC"/>
            <w:tcMar>
              <w:top w:w="60" w:type="dxa"/>
              <w:bottom w:w="60" w:type="dxa"/>
              <w:left w:w="100" w:type="dxa"/>
              <w:right w:w="100" w:type="dxa"/>
            </w:tcMar>
          </w:tcPr>
          <w:p>
            <w:r>
              <w:rPr>
                <w:rFonts w:ascii="Times New Roman" w:hAnsi="Times New Roman"/>
                <w:sz w:val="19"/>
              </w:rPr>
              <w:t>82.35%</w:t>
            </w:r>
          </w:p>
        </w:tc>
        <w:tc>
          <w:tcPr>
            <w:tcW w:type="dxa" w:w="1152"/>
            <w:shd w:fill="F8FAFC"/>
            <w:tcMar>
              <w:top w:w="60" w:type="dxa"/>
              <w:bottom w:w="60" w:type="dxa"/>
              <w:left w:w="100" w:type="dxa"/>
              <w:right w:w="100" w:type="dxa"/>
            </w:tcMar>
          </w:tcPr>
          <w:p>
            <w:r>
              <w:rPr>
                <w:rFonts w:ascii="Times New Roman" w:hAnsi="Times New Roman"/>
                <w:sz w:val="19"/>
              </w:rPr>
              <w:t>91.66%</w:t>
            </w:r>
          </w:p>
        </w:tc>
        <w:tc>
          <w:tcPr>
            <w:tcW w:type="dxa" w:w="1584"/>
            <w:shd w:fill="F8FAFC"/>
            <w:tcMar>
              <w:top w:w="60" w:type="dxa"/>
              <w:bottom w:w="60" w:type="dxa"/>
              <w:left w:w="100" w:type="dxa"/>
              <w:right w:w="100" w:type="dxa"/>
            </w:tcMar>
          </w:tcPr>
          <w:p>
            <w:r>
              <w:rPr>
                <w:rFonts w:ascii="Times New Roman" w:hAnsi="Times New Roman"/>
                <w:sz w:val="19"/>
              </w:rPr>
              <w:t>PASSED (4/4)</w:t>
            </w:r>
          </w:p>
        </w:tc>
      </w:tr>
      <w:tr>
        <w:tc>
          <w:tcPr>
            <w:tcW w:type="dxa" w:w="3168"/>
            <w:shd w:fill="FFFFFF"/>
            <w:tcMar>
              <w:top w:w="60" w:type="dxa"/>
              <w:bottom w:w="60" w:type="dxa"/>
              <w:left w:w="100" w:type="dxa"/>
              <w:right w:w="100" w:type="dxa"/>
            </w:tcMar>
          </w:tcPr>
          <w:p>
            <w:r>
              <w:rPr>
                <w:rFonts w:ascii="Times New Roman" w:hAnsi="Times New Roman"/>
                <w:sz w:val="19"/>
              </w:rPr>
              <w:t>patterns/FirebaseSingleton.js</w:t>
            </w:r>
          </w:p>
        </w:tc>
        <w:tc>
          <w:tcPr>
            <w:tcW w:type="dxa" w:w="1296"/>
            <w:shd w:fill="FFFFFF"/>
            <w:tcMar>
              <w:top w:w="60" w:type="dxa"/>
              <w:bottom w:w="60" w:type="dxa"/>
              <w:left w:w="100" w:type="dxa"/>
              <w:right w:w="100" w:type="dxa"/>
            </w:tcMar>
          </w:tcPr>
          <w:p>
            <w:r>
              <w:rPr>
                <w:rFonts w:ascii="Times New Roman" w:hAnsi="Times New Roman"/>
                <w:sz w:val="19"/>
              </w:rPr>
              <w:t>60.00%</w:t>
            </w:r>
          </w:p>
        </w:tc>
        <w:tc>
          <w:tcPr>
            <w:tcW w:type="dxa" w:w="1152"/>
            <w:shd w:fill="FFFFFF"/>
            <w:tcMar>
              <w:top w:w="60" w:type="dxa"/>
              <w:bottom w:w="60" w:type="dxa"/>
              <w:left w:w="100" w:type="dxa"/>
              <w:right w:w="100" w:type="dxa"/>
            </w:tcMar>
          </w:tcPr>
          <w:p>
            <w:r>
              <w:rPr>
                <w:rFonts w:ascii="Times New Roman" w:hAnsi="Times New Roman"/>
                <w:sz w:val="19"/>
              </w:rPr>
              <w:t>81.81%</w:t>
            </w:r>
          </w:p>
        </w:tc>
        <w:tc>
          <w:tcPr>
            <w:tcW w:type="dxa" w:w="1296"/>
            <w:shd w:fill="FFFFFF"/>
            <w:tcMar>
              <w:top w:w="60" w:type="dxa"/>
              <w:bottom w:w="60" w:type="dxa"/>
              <w:left w:w="100" w:type="dxa"/>
              <w:right w:w="100" w:type="dxa"/>
            </w:tcMar>
          </w:tcPr>
          <w:p>
            <w:r>
              <w:rPr>
                <w:rFonts w:ascii="Times New Roman" w:hAnsi="Times New Roman"/>
                <w:sz w:val="19"/>
              </w:rPr>
              <w:t>62.50%</w:t>
            </w:r>
          </w:p>
        </w:tc>
        <w:tc>
          <w:tcPr>
            <w:tcW w:type="dxa" w:w="1152"/>
            <w:shd w:fill="FFFFFF"/>
            <w:tcMar>
              <w:top w:w="60" w:type="dxa"/>
              <w:bottom w:w="60" w:type="dxa"/>
              <w:left w:w="100" w:type="dxa"/>
              <w:right w:w="100" w:type="dxa"/>
            </w:tcMar>
          </w:tcPr>
          <w:p>
            <w:r>
              <w:rPr>
                <w:rFonts w:ascii="Times New Roman" w:hAnsi="Times New Roman"/>
                <w:sz w:val="19"/>
              </w:rPr>
              <w:t>60.00%</w:t>
            </w:r>
          </w:p>
        </w:tc>
        <w:tc>
          <w:tcPr>
            <w:tcW w:type="dxa" w:w="1584"/>
            <w:shd w:fill="FFFFFF"/>
            <w:tcMar>
              <w:top w:w="60" w:type="dxa"/>
              <w:bottom w:w="60" w:type="dxa"/>
              <w:left w:w="100" w:type="dxa"/>
              <w:right w:w="100" w:type="dxa"/>
            </w:tcMar>
          </w:tcPr>
          <w:p>
            <w:r>
              <w:rPr>
                <w:rFonts w:ascii="Times New Roman" w:hAnsi="Times New Roman"/>
                <w:sz w:val="19"/>
              </w:rPr>
              <w:t>PASSED (2/2)</w:t>
            </w:r>
          </w:p>
        </w:tc>
      </w:tr>
      <w:tr>
        <w:tc>
          <w:tcPr>
            <w:tcW w:type="dxa" w:w="3168"/>
            <w:shd w:fill="F8FAFC"/>
            <w:tcMar>
              <w:top w:w="60" w:type="dxa"/>
              <w:bottom w:w="60" w:type="dxa"/>
              <w:left w:w="100" w:type="dxa"/>
              <w:right w:w="100" w:type="dxa"/>
            </w:tcMar>
          </w:tcPr>
          <w:p>
            <w:r>
              <w:rPr>
                <w:rFonts w:ascii="Times New Roman" w:hAnsi="Times New Roman"/>
                <w:sz w:val="19"/>
              </w:rPr>
              <w:t>services/authService.js</w:t>
            </w:r>
          </w:p>
        </w:tc>
        <w:tc>
          <w:tcPr>
            <w:tcW w:type="dxa" w:w="1296"/>
            <w:shd w:fill="F8FAFC"/>
            <w:tcMar>
              <w:top w:w="60" w:type="dxa"/>
              <w:bottom w:w="60" w:type="dxa"/>
              <w:left w:w="100" w:type="dxa"/>
              <w:right w:w="100" w:type="dxa"/>
            </w:tcMar>
          </w:tcPr>
          <w:p>
            <w:r>
              <w:rPr>
                <w:rFonts w:ascii="Times New Roman" w:hAnsi="Times New Roman"/>
                <w:sz w:val="19"/>
              </w:rPr>
              <w:t>71.42%</w:t>
            </w:r>
          </w:p>
        </w:tc>
        <w:tc>
          <w:tcPr>
            <w:tcW w:type="dxa" w:w="1152"/>
            <w:shd w:fill="F8FAFC"/>
            <w:tcMar>
              <w:top w:w="60" w:type="dxa"/>
              <w:bottom w:w="60" w:type="dxa"/>
              <w:left w:w="100" w:type="dxa"/>
              <w:right w:w="100" w:type="dxa"/>
            </w:tcMar>
          </w:tcPr>
          <w:p>
            <w:r>
              <w:rPr>
                <w:rFonts w:ascii="Times New Roman" w:hAnsi="Times New Roman"/>
                <w:sz w:val="19"/>
              </w:rPr>
              <w:t>58.06%</w:t>
            </w:r>
          </w:p>
        </w:tc>
        <w:tc>
          <w:tcPr>
            <w:tcW w:type="dxa" w:w="1296"/>
            <w:shd w:fill="F8FAFC"/>
            <w:tcMar>
              <w:top w:w="60" w:type="dxa"/>
              <w:bottom w:w="60" w:type="dxa"/>
              <w:left w:w="100" w:type="dxa"/>
              <w:right w:w="100" w:type="dxa"/>
            </w:tcMar>
          </w:tcPr>
          <w:p>
            <w:r>
              <w:rPr>
                <w:rFonts w:ascii="Times New Roman" w:hAnsi="Times New Roman"/>
                <w:sz w:val="19"/>
              </w:rPr>
              <w:t>100.0%</w:t>
            </w:r>
          </w:p>
        </w:tc>
        <w:tc>
          <w:tcPr>
            <w:tcW w:type="dxa" w:w="1152"/>
            <w:shd w:fill="F8FAFC"/>
            <w:tcMar>
              <w:top w:w="60" w:type="dxa"/>
              <w:bottom w:w="60" w:type="dxa"/>
              <w:left w:w="100" w:type="dxa"/>
              <w:right w:w="100" w:type="dxa"/>
            </w:tcMar>
          </w:tcPr>
          <w:p>
            <w:r>
              <w:rPr>
                <w:rFonts w:ascii="Times New Roman" w:hAnsi="Times New Roman"/>
                <w:sz w:val="19"/>
              </w:rPr>
              <w:t>71.42%</w:t>
            </w:r>
          </w:p>
        </w:tc>
        <w:tc>
          <w:tcPr>
            <w:tcW w:type="dxa" w:w="1584"/>
            <w:shd w:fill="F8FAFC"/>
            <w:tcMar>
              <w:top w:w="60" w:type="dxa"/>
              <w:bottom w:w="60" w:type="dxa"/>
              <w:left w:w="100" w:type="dxa"/>
              <w:right w:w="100" w:type="dxa"/>
            </w:tcMar>
          </w:tcPr>
          <w:p>
            <w:r>
              <w:rPr>
                <w:rFonts w:ascii="Times New Roman" w:hAnsi="Times New Roman"/>
                <w:sz w:val="19"/>
              </w:rPr>
              <w:t>PASSED (4/4)</w:t>
            </w:r>
          </w:p>
        </w:tc>
      </w:tr>
      <w:tr>
        <w:tc>
          <w:tcPr>
            <w:tcW w:type="dxa" w:w="3168"/>
            <w:shd w:fill="FFFFFF"/>
            <w:tcMar>
              <w:top w:w="60" w:type="dxa"/>
              <w:bottom w:w="60" w:type="dxa"/>
              <w:left w:w="100" w:type="dxa"/>
              <w:right w:w="100" w:type="dxa"/>
            </w:tcMar>
          </w:tcPr>
          <w:p>
            <w:r>
              <w:rPr>
                <w:rFonts w:ascii="Times New Roman" w:hAnsi="Times New Roman"/>
                <w:sz w:val="19"/>
              </w:rPr>
              <w:t>services/eventService.js (CRUD/RSVP)</w:t>
            </w:r>
          </w:p>
        </w:tc>
        <w:tc>
          <w:tcPr>
            <w:tcW w:type="dxa" w:w="1296"/>
            <w:shd w:fill="FFFFFF"/>
            <w:tcMar>
              <w:top w:w="60" w:type="dxa"/>
              <w:bottom w:w="60" w:type="dxa"/>
              <w:left w:w="100" w:type="dxa"/>
              <w:right w:w="100" w:type="dxa"/>
            </w:tcMar>
          </w:tcPr>
          <w:p>
            <w:r>
              <w:rPr>
                <w:rFonts w:ascii="Times New Roman" w:hAnsi="Times New Roman"/>
                <w:sz w:val="19"/>
              </w:rPr>
              <w:t>78.68%</w:t>
            </w:r>
          </w:p>
        </w:tc>
        <w:tc>
          <w:tcPr>
            <w:tcW w:type="dxa" w:w="1152"/>
            <w:shd w:fill="FFFFFF"/>
            <w:tcMar>
              <w:top w:w="60" w:type="dxa"/>
              <w:bottom w:w="60" w:type="dxa"/>
              <w:left w:w="100" w:type="dxa"/>
              <w:right w:w="100" w:type="dxa"/>
            </w:tcMar>
          </w:tcPr>
          <w:p>
            <w:r>
              <w:rPr>
                <w:rFonts w:ascii="Times New Roman" w:hAnsi="Times New Roman"/>
                <w:sz w:val="19"/>
              </w:rPr>
              <w:t>65.76%</w:t>
            </w:r>
          </w:p>
        </w:tc>
        <w:tc>
          <w:tcPr>
            <w:tcW w:type="dxa" w:w="1296"/>
            <w:shd w:fill="FFFFFF"/>
            <w:tcMar>
              <w:top w:w="60" w:type="dxa"/>
              <w:bottom w:w="60" w:type="dxa"/>
              <w:left w:w="100" w:type="dxa"/>
              <w:right w:w="100" w:type="dxa"/>
            </w:tcMar>
          </w:tcPr>
          <w:p>
            <w:r>
              <w:rPr>
                <w:rFonts w:ascii="Times New Roman" w:hAnsi="Times New Roman"/>
                <w:sz w:val="19"/>
              </w:rPr>
              <w:t>95.23%</w:t>
            </w:r>
          </w:p>
        </w:tc>
        <w:tc>
          <w:tcPr>
            <w:tcW w:type="dxa" w:w="1152"/>
            <w:shd w:fill="FFFFFF"/>
            <w:tcMar>
              <w:top w:w="60" w:type="dxa"/>
              <w:bottom w:w="60" w:type="dxa"/>
              <w:left w:w="100" w:type="dxa"/>
              <w:right w:w="100" w:type="dxa"/>
            </w:tcMar>
          </w:tcPr>
          <w:p>
            <w:r>
              <w:rPr>
                <w:rFonts w:ascii="Times New Roman" w:hAnsi="Times New Roman"/>
                <w:sz w:val="19"/>
              </w:rPr>
              <w:t>79.27%</w:t>
            </w:r>
          </w:p>
        </w:tc>
        <w:tc>
          <w:tcPr>
            <w:tcW w:type="dxa" w:w="1584"/>
            <w:shd w:fill="FFFFFF"/>
            <w:tcMar>
              <w:top w:w="60" w:type="dxa"/>
              <w:bottom w:w="60" w:type="dxa"/>
              <w:left w:w="100" w:type="dxa"/>
              <w:right w:w="100" w:type="dxa"/>
            </w:tcMar>
          </w:tcPr>
          <w:p>
            <w:r>
              <w:rPr>
                <w:rFonts w:ascii="Times New Roman" w:hAnsi="Times New Roman"/>
                <w:sz w:val="19"/>
              </w:rPr>
              <w:t>PASSED (9/9)</w:t>
            </w:r>
          </w:p>
        </w:tc>
      </w:tr>
      <w:tr>
        <w:tc>
          <w:tcPr>
            <w:tcW w:type="dxa" w:w="3168"/>
            <w:shd w:fill="F8FAFC"/>
            <w:tcMar>
              <w:top w:w="60" w:type="dxa"/>
              <w:bottom w:w="60" w:type="dxa"/>
              <w:left w:w="100" w:type="dxa"/>
              <w:right w:w="100" w:type="dxa"/>
            </w:tcMar>
          </w:tcPr>
          <w:p>
            <w:r>
              <w:rPr>
                <w:rFonts w:ascii="Times New Roman" w:hAnsi="Times New Roman"/>
                <w:sz w:val="19"/>
              </w:rPr>
              <w:t>TOTAL SUITE AVERAGE</w:t>
            </w:r>
          </w:p>
        </w:tc>
        <w:tc>
          <w:tcPr>
            <w:tcW w:type="dxa" w:w="1296"/>
            <w:shd w:fill="F8FAFC"/>
            <w:tcMar>
              <w:top w:w="60" w:type="dxa"/>
              <w:bottom w:w="60" w:type="dxa"/>
              <w:left w:w="100" w:type="dxa"/>
              <w:right w:w="100" w:type="dxa"/>
            </w:tcMar>
          </w:tcPr>
          <w:p>
            <w:r>
              <w:rPr>
                <w:rFonts w:ascii="Times New Roman" w:hAnsi="Times New Roman"/>
                <w:sz w:val="19"/>
              </w:rPr>
              <w:t>78.01%</w:t>
            </w:r>
          </w:p>
        </w:tc>
        <w:tc>
          <w:tcPr>
            <w:tcW w:type="dxa" w:w="1152"/>
            <w:shd w:fill="F8FAFC"/>
            <w:tcMar>
              <w:top w:w="60" w:type="dxa"/>
              <w:bottom w:w="60" w:type="dxa"/>
              <w:left w:w="100" w:type="dxa"/>
              <w:right w:w="100" w:type="dxa"/>
            </w:tcMar>
          </w:tcPr>
          <w:p>
            <w:r>
              <w:rPr>
                <w:rFonts w:ascii="Times New Roman" w:hAnsi="Times New Roman"/>
                <w:sz w:val="19"/>
              </w:rPr>
              <w:t>72.83%</w:t>
            </w:r>
          </w:p>
        </w:tc>
        <w:tc>
          <w:tcPr>
            <w:tcW w:type="dxa" w:w="1296"/>
            <w:shd w:fill="F8FAFC"/>
            <w:tcMar>
              <w:top w:w="60" w:type="dxa"/>
              <w:bottom w:w="60" w:type="dxa"/>
              <w:left w:w="100" w:type="dxa"/>
              <w:right w:w="100" w:type="dxa"/>
            </w:tcMar>
          </w:tcPr>
          <w:p>
            <w:r>
              <w:rPr>
                <w:rFonts w:ascii="Times New Roman" w:hAnsi="Times New Roman"/>
                <w:sz w:val="19"/>
              </w:rPr>
              <w:t>88.88%</w:t>
            </w:r>
          </w:p>
        </w:tc>
        <w:tc>
          <w:tcPr>
            <w:tcW w:type="dxa" w:w="1152"/>
            <w:shd w:fill="F8FAFC"/>
            <w:tcMar>
              <w:top w:w="60" w:type="dxa"/>
              <w:bottom w:w="60" w:type="dxa"/>
              <w:left w:w="100" w:type="dxa"/>
              <w:right w:w="100" w:type="dxa"/>
            </w:tcMar>
          </w:tcPr>
          <w:p>
            <w:r>
              <w:rPr>
                <w:rFonts w:ascii="Times New Roman" w:hAnsi="Times New Roman"/>
                <w:sz w:val="19"/>
              </w:rPr>
              <w:t>79.92%</w:t>
            </w:r>
          </w:p>
        </w:tc>
        <w:tc>
          <w:tcPr>
            <w:tcW w:type="dxa" w:w="1584"/>
            <w:shd w:fill="F8FAFC"/>
            <w:tcMar>
              <w:top w:w="60" w:type="dxa"/>
              <w:bottom w:w="60" w:type="dxa"/>
              <w:left w:w="100" w:type="dxa"/>
              <w:right w:w="100" w:type="dxa"/>
            </w:tcMar>
          </w:tcPr>
          <w:p>
            <w:r>
              <w:rPr>
                <w:rFonts w:ascii="Times New Roman" w:hAnsi="Times New Roman"/>
                <w:sz w:val="19"/>
              </w:rPr>
              <w:t>PASSED (22/22)</w:t>
            </w:r>
          </w:p>
        </w:tc>
      </w:tr>
    </w:tbl>
    <w:p>
      <w:pPr>
        <w:spacing w:after="80"/>
      </w:pPr>
    </w:p>
    <w:p>
      <w:pPr>
        <w:spacing w:before="240" w:after="80"/>
      </w:pPr>
      <w:r>
        <w:rPr>
          <w:rFonts w:ascii="Times New Roman" w:hAnsi="Times New Roman"/>
          <w:b/>
          <w:color w:val="0F172A"/>
          <w:sz w:val="28"/>
        </w:rPr>
        <w:t>6. Configuration Management (Git &amp; GitHub)</w:t>
      </w:r>
    </w:p>
    <w:p>
      <w:pPr>
        <w:spacing w:before="160" w:after="60"/>
      </w:pPr>
      <w:r>
        <w:rPr>
          <w:rFonts w:ascii="Times New Roman" w:hAnsi="Times New Roman"/>
          <w:b/>
          <w:color w:val="1E293B"/>
          <w:sz w:val="24"/>
        </w:rPr>
        <w:t>6.1 Branching Strategy &amp; Naming Conventions</w:t>
      </w:r>
    </w:p>
    <w:p>
      <w:pPr>
        <w:spacing w:line="276" w:lineRule="auto" w:after="80"/>
      </w:pPr>
      <w:r>
        <w:rPr>
          <w:rFonts w:ascii="Times New Roman" w:hAnsi="Times New Roman"/>
          <w:i w:val="0"/>
          <w:sz w:val="22"/>
        </w:rPr>
        <w:t>The repository strictly enforces a feature-branching workflow originating from a protected `main` branch. Direct commits to `main` were prohibited during feature development. The branches created follow consistent semantic naming:</w:t>
      </w:r>
    </w:p>
    <w:p>
      <w:pPr>
        <w:pStyle w:val="ListBullet"/>
        <w:spacing w:line="276" w:lineRule="auto" w:after="40"/>
      </w:pPr>
      <w:r>
        <w:rPr>
          <w:rFonts w:ascii="Times New Roman" w:hAnsi="Times New Roman"/>
          <w:b/>
          <w:sz w:val="22"/>
        </w:rPr>
        <w:t>main:</w:t>
      </w:r>
      <w:r>
        <w:rPr>
          <w:rFonts w:ascii="Times New Roman" w:hAnsi="Times New Roman"/>
          <w:sz w:val="22"/>
        </w:rPr>
        <w:t xml:space="preserve"> Production-ready, stable release branch containing verified code passing all test suites.</w:t>
      </w:r>
    </w:p>
    <w:p>
      <w:pPr>
        <w:pStyle w:val="ListBullet"/>
        <w:spacing w:line="276" w:lineRule="auto" w:after="40"/>
      </w:pPr>
      <w:r>
        <w:rPr>
          <w:rFonts w:ascii="Times New Roman" w:hAnsi="Times New Roman"/>
          <w:b/>
          <w:sz w:val="22"/>
        </w:rPr>
        <w:t>feature/auth-module:</w:t>
      </w:r>
      <w:r>
        <w:rPr>
          <w:rFonts w:ascii="Times New Roman" w:hAnsi="Times New Roman"/>
          <w:sz w:val="22"/>
        </w:rPr>
        <w:t xml:space="preserve"> Isolated implementation of Google Firebase Auth and fixed administrative credential validation.</w:t>
      </w:r>
    </w:p>
    <w:p>
      <w:pPr>
        <w:pStyle w:val="ListBullet"/>
        <w:spacing w:line="276" w:lineRule="auto" w:after="40"/>
      </w:pPr>
      <w:r>
        <w:rPr>
          <w:rFonts w:ascii="Times New Roman" w:hAnsi="Times New Roman"/>
          <w:b/>
          <w:sz w:val="22"/>
        </w:rPr>
        <w:t>feature/event-management:</w:t>
      </w:r>
      <w:r>
        <w:rPr>
          <w:rFonts w:ascii="Times New Roman" w:hAnsi="Times New Roman"/>
          <w:sz w:val="22"/>
        </w:rPr>
        <w:t xml:space="preserve"> Development of the EventFactory pattern, catalog browsing feed, and admin CRUD controls.</w:t>
      </w:r>
    </w:p>
    <w:p>
      <w:pPr>
        <w:pStyle w:val="ListBullet"/>
        <w:spacing w:line="276" w:lineRule="auto" w:after="40"/>
      </w:pPr>
      <w:r>
        <w:rPr>
          <w:rFonts w:ascii="Times New Roman" w:hAnsi="Times New Roman"/>
          <w:b/>
          <w:sz w:val="22"/>
        </w:rPr>
        <w:t>feature/rsvp-booking:</w:t>
      </w:r>
      <w:r>
        <w:rPr>
          <w:rFonts w:ascii="Times New Roman" w:hAnsi="Times New Roman"/>
          <w:sz w:val="22"/>
        </w:rPr>
        <w:t xml:space="preserve"> Implementation of one-click RSVP booking logic, ticket code generation, and Observer EventBus integration.</w:t>
      </w:r>
    </w:p>
    <w:p>
      <w:pPr>
        <w:spacing w:before="160" w:after="60"/>
      </w:pPr>
      <w:r>
        <w:rPr>
          <w:rFonts w:ascii="Times New Roman" w:hAnsi="Times New Roman"/>
          <w:b/>
          <w:color w:val="1E293B"/>
          <w:sz w:val="24"/>
        </w:rPr>
        <w:t>6.2 Pull Request Workflows &amp; Code Reviews</w:t>
      </w:r>
    </w:p>
    <w:p>
      <w:pPr>
        <w:pStyle w:val="ListBullet"/>
        <w:spacing w:line="276" w:lineRule="auto" w:after="40"/>
      </w:pPr>
      <w:r>
        <w:rPr>
          <w:rFonts w:ascii="Times New Roman" w:hAnsi="Times New Roman"/>
          <w:b/>
          <w:sz w:val="22"/>
        </w:rPr>
        <w:t>Pull Request #1 (Accepted):</w:t>
      </w:r>
      <w:r>
        <w:rPr>
          <w:rFonts w:ascii="Times New Roman" w:hAnsi="Times New Roman"/>
          <w:sz w:val="22"/>
        </w:rPr>
        <w:t xml:space="preserve"> Feature branch `feature/event-management` was reviewed against automated unit tests and merged into `main`. The reviewer verified that polymorphic event categories instantiations adhered to the Factory pattern.</w:t>
      </w:r>
    </w:p>
    <w:p>
      <w:pPr>
        <w:pStyle w:val="ListBullet"/>
        <w:spacing w:line="276" w:lineRule="auto" w:after="40"/>
      </w:pPr>
      <w:r>
        <w:rPr>
          <w:rFonts w:ascii="Times New Roman" w:hAnsi="Times New Roman"/>
          <w:b/>
          <w:sz w:val="22"/>
        </w:rPr>
        <w:t>Pull Request #2 (Revised / Rejected Initially):</w:t>
      </w:r>
      <w:r>
        <w:rPr>
          <w:rFonts w:ascii="Times New Roman" w:hAnsi="Times New Roman"/>
          <w:sz w:val="22"/>
        </w:rPr>
        <w:t xml:space="preserve"> Feature branch `feature/rsvp-booking` was initially submitted. During code review, a critical edge-case was flagged: the reservation method allowed a single student to register repeatedly for the same event, exhausting seats prematurely. The PR was revised with a duplicate check (`userRsvps.some(r =&gt; r.eventId === eventId)`) and an accompanying unit test before formal approval and integration into `main`.</w:t>
      </w:r>
    </w:p>
    <w:p>
      <w:pPr>
        <w:spacing w:before="160" w:after="60"/>
      </w:pPr>
      <w:r>
        <w:rPr>
          <w:rFonts w:ascii="Times New Roman" w:hAnsi="Times New Roman"/>
          <w:b/>
          <w:color w:val="1E293B"/>
          <w:sz w:val="24"/>
        </w:rPr>
        <w:t>6.3 Merge Conflict Simulation &amp; Resolution Methodology</w:t>
      </w:r>
    </w:p>
    <w:p>
      <w:pPr>
        <w:spacing w:line="276" w:lineRule="auto" w:after="80"/>
      </w:pPr>
      <w:r>
        <w:rPr>
          <w:rFonts w:ascii="Times New Roman" w:hAnsi="Times New Roman"/>
          <w:i w:val="0"/>
          <w:sz w:val="22"/>
        </w:rPr>
        <w:t>To demonstrate configuration management competence, a merge conflict was simulated between `main` and branch `conflict-demo/event-validation` on the event title validation logic in `EventFactory.js`:</w:t>
      </w:r>
    </w:p>
    <w:p>
      <w:pPr>
        <w:spacing w:before="60" w:after="80"/>
        <w:ind w:left="288"/>
      </w:pPr>
      <w:r>
        <w:rPr>
          <w:rFonts w:ascii="Courier New" w:hAnsi="Courier New"/>
          <w:color w:val="1E293B"/>
          <w:sz w:val="19"/>
        </w:rPr>
        <w:t>&lt;&lt;&lt;&lt;&lt;&lt;&lt; HEAD</w:t>
        <w:br/>
        <w:t xml:space="preserve">    if (!this.title || this.title.trim() === "") return { valid: false, message: 'Title cannot be empty string.' };</w:t>
        <w:br/>
        <w:t>=======</w:t>
        <w:br/>
        <w:t xml:space="preserve">    if (!this.title.trim() || this.title.length &lt; 5) return { valid: false, message: 'Title must be at least 5 chars.' };</w:t>
        <w:br/>
        <w:t>&gt;&gt;&gt;&gt;&gt;&gt;&gt; conflict-demo/event-validation</w:t>
      </w:r>
    </w:p>
    <w:p>
      <w:pPr>
        <w:spacing w:line="276" w:lineRule="auto" w:after="80"/>
      </w:pPr>
      <w:r>
        <w:rPr>
          <w:rFonts w:ascii="Times New Roman" w:hAnsi="Times New Roman"/>
          <w:i w:val="0"/>
          <w:sz w:val="22"/>
        </w:rPr>
        <w:t>Resolution Technique: Rather than arbitrarily overwriting either branch, both modifications were synthesized to enforce that event titles cannot be empty and must satisfy a sensible minimum length (at least 3 characters):</w:t>
      </w:r>
    </w:p>
    <w:p>
      <w:pPr>
        <w:spacing w:before="60" w:after="80"/>
        <w:ind w:left="288"/>
      </w:pPr>
      <w:r>
        <w:rPr>
          <w:rFonts w:ascii="Courier New" w:hAnsi="Courier New"/>
          <w:color w:val="1E293B"/>
          <w:sz w:val="19"/>
        </w:rPr>
        <w:t xml:space="preserve">    if (!this.title || this.title.trim().length &lt; 3) return { valid: false, message: 'Event title must be at least 3 characters.' };</w:t>
      </w:r>
    </w:p>
    <w:p>
      <w:pPr>
        <w:spacing w:line="276" w:lineRule="auto" w:after="80"/>
      </w:pPr>
      <w:r>
        <w:rPr>
          <w:rFonts w:ascii="Times New Roman" w:hAnsi="Times New Roman"/>
          <w:i w:val="0"/>
          <w:sz w:val="22"/>
        </w:rPr>
        <w:t>The resolved file was re-verified via `npm run test`, staged with `git add`, and committed with the message `fix(merge-conflict): resolve title validation conflict between main and conflict-demo`.</w:t>
      </w:r>
    </w:p>
    <w:p>
      <w:pPr>
        <w:spacing w:before="240" w:after="80"/>
      </w:pPr>
      <w:r>
        <w:rPr>
          <w:rFonts w:ascii="Times New Roman" w:hAnsi="Times New Roman"/>
          <w:b/>
          <w:color w:val="0F172A"/>
          <w:sz w:val="28"/>
        </w:rPr>
        <w:t>7. New Tool: GitHub Projects (Self-Directed Learning)</w:t>
      </w:r>
    </w:p>
    <w:p>
      <w:pPr>
        <w:spacing w:before="160" w:after="60"/>
      </w:pPr>
      <w:r>
        <w:rPr>
          <w:rFonts w:ascii="Times New Roman" w:hAnsi="Times New Roman"/>
          <w:b/>
          <w:color w:val="1E293B"/>
          <w:sz w:val="24"/>
        </w:rPr>
        <w:t>7.1 Motivation &amp; Selection Rationale</w:t>
      </w:r>
    </w:p>
    <w:p>
      <w:pPr>
        <w:spacing w:line="276" w:lineRule="auto" w:after="80"/>
      </w:pPr>
      <w:r>
        <w:rPr>
          <w:rFonts w:ascii="Times New Roman" w:hAnsi="Times New Roman"/>
          <w:i w:val="0"/>
          <w:sz w:val="22"/>
        </w:rPr>
        <w:t>In accordance with the assignment mandate to adopt an engineering tool beyond the standard sessional syllabus, **GitHub Projects** was selected. Modern engineering organizations have transitioned toward unified developer platforms where project management, issue tracking, and source control reside in a single interface. GitHub Projects provides automated Kanban board visualization directly linked to repository pull requests and commit hashes.</w:t>
      </w:r>
    </w:p>
    <w:p>
      <w:pPr>
        <w:spacing w:before="160" w:after="60"/>
      </w:pPr>
      <w:r>
        <w:rPr>
          <w:rFonts w:ascii="Times New Roman" w:hAnsi="Times New Roman"/>
          <w:b/>
          <w:color w:val="1E293B"/>
          <w:sz w:val="24"/>
        </w:rPr>
        <w:t>7.2 Comparative Analysis with Alternatives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80" w:type="dxa"/>
              <w:bottom w:w="80" w:type="dxa"/>
              <w:left w:w="100" w:type="dxa"/>
              <w:right w:w="100" w:type="dxa"/>
            </w:tcMar>
          </w:tcPr>
          <w:p>
            <w:pPr>
              <w:jc w:val="center"/>
            </w:pPr>
            <w:r>
              <w:rPr>
                <w:rFonts w:ascii="Times New Roman" w:hAnsi="Times New Roman"/>
                <w:b/>
                <w:sz w:val="20"/>
              </w:rPr>
              <w:t>Evaluation Metric</w:t>
            </w:r>
          </w:p>
        </w:tc>
        <w:tc>
          <w:tcPr>
            <w:tcW w:type="dxa" w:w="2592"/>
            <w:shd w:fill="E2E8F0"/>
            <w:tcMar>
              <w:top w:w="80" w:type="dxa"/>
              <w:bottom w:w="80" w:type="dxa"/>
              <w:left w:w="100" w:type="dxa"/>
              <w:right w:w="100" w:type="dxa"/>
            </w:tcMar>
          </w:tcPr>
          <w:p>
            <w:pPr>
              <w:jc w:val="center"/>
            </w:pPr>
            <w:r>
              <w:rPr>
                <w:rFonts w:ascii="Times New Roman" w:hAnsi="Times New Roman"/>
                <w:b/>
                <w:sz w:val="20"/>
              </w:rPr>
              <w:t>GitHub Projects (Selected)</w:t>
            </w:r>
          </w:p>
        </w:tc>
        <w:tc>
          <w:tcPr>
            <w:tcW w:type="dxa" w:w="2160"/>
            <w:shd w:fill="E2E8F0"/>
            <w:tcMar>
              <w:top w:w="80" w:type="dxa"/>
              <w:bottom w:w="80" w:type="dxa"/>
              <w:left w:w="100" w:type="dxa"/>
              <w:right w:w="100" w:type="dxa"/>
            </w:tcMar>
          </w:tcPr>
          <w:p>
            <w:pPr>
              <w:jc w:val="center"/>
            </w:pPr>
            <w:r>
              <w:rPr>
                <w:rFonts w:ascii="Times New Roman" w:hAnsi="Times New Roman"/>
                <w:b/>
                <w:sz w:val="20"/>
              </w:rPr>
              <w:t>Atlassian Jira</w:t>
            </w:r>
          </w:p>
        </w:tc>
        <w:tc>
          <w:tcPr>
            <w:tcW w:type="dxa" w:w="2016"/>
            <w:shd w:fill="E2E8F0"/>
            <w:tcMar>
              <w:top w:w="80" w:type="dxa"/>
              <w:bottom w:w="80" w:type="dxa"/>
              <w:left w:w="100" w:type="dxa"/>
              <w:right w:w="100" w:type="dxa"/>
            </w:tcMar>
          </w:tcPr>
          <w:p>
            <w:pPr>
              <w:jc w:val="center"/>
            </w:pPr>
            <w:r>
              <w:rPr>
                <w:rFonts w:ascii="Times New Roman" w:hAnsi="Times New Roman"/>
                <w:b/>
                <w:sz w:val="20"/>
              </w:rPr>
              <w:t>Trello</w:t>
            </w:r>
          </w:p>
        </w:tc>
      </w:tr>
      <w:tr>
        <w:tc>
          <w:tcPr>
            <w:tcW w:type="dxa" w:w="2592"/>
            <w:shd w:fill="FFFFFF"/>
            <w:tcMar>
              <w:top w:w="60" w:type="dxa"/>
              <w:bottom w:w="60" w:type="dxa"/>
              <w:left w:w="100" w:type="dxa"/>
              <w:right w:w="100" w:type="dxa"/>
            </w:tcMar>
          </w:tcPr>
          <w:p>
            <w:r>
              <w:rPr>
                <w:rFonts w:ascii="Times New Roman" w:hAnsi="Times New Roman"/>
                <w:sz w:val="19"/>
              </w:rPr>
              <w:t>Repository Integration</w:t>
            </w:r>
          </w:p>
        </w:tc>
        <w:tc>
          <w:tcPr>
            <w:tcW w:type="dxa" w:w="2592"/>
            <w:shd w:fill="FFFFFF"/>
            <w:tcMar>
              <w:top w:w="60" w:type="dxa"/>
              <w:bottom w:w="60" w:type="dxa"/>
              <w:left w:w="100" w:type="dxa"/>
              <w:right w:w="100" w:type="dxa"/>
            </w:tcMar>
          </w:tcPr>
          <w:p>
            <w:r>
              <w:rPr>
                <w:rFonts w:ascii="Times New Roman" w:hAnsi="Times New Roman"/>
                <w:sz w:val="19"/>
              </w:rPr>
              <w:t>Native: Commits &amp; PRs automatically advance card status</w:t>
            </w:r>
          </w:p>
        </w:tc>
        <w:tc>
          <w:tcPr>
            <w:tcW w:type="dxa" w:w="2160"/>
            <w:shd w:fill="FFFFFF"/>
            <w:tcMar>
              <w:top w:w="60" w:type="dxa"/>
              <w:bottom w:w="60" w:type="dxa"/>
              <w:left w:w="100" w:type="dxa"/>
              <w:right w:w="100" w:type="dxa"/>
            </w:tcMar>
          </w:tcPr>
          <w:p>
            <w:r>
              <w:rPr>
                <w:rFonts w:ascii="Times New Roman" w:hAnsi="Times New Roman"/>
                <w:sz w:val="19"/>
              </w:rPr>
              <w:t>Requires external Webhooks &amp; OAuth plugins</w:t>
            </w:r>
          </w:p>
        </w:tc>
        <w:tc>
          <w:tcPr>
            <w:tcW w:type="dxa" w:w="2016"/>
            <w:shd w:fill="FFFFFF"/>
            <w:tcMar>
              <w:top w:w="60" w:type="dxa"/>
              <w:bottom w:w="60" w:type="dxa"/>
              <w:left w:w="100" w:type="dxa"/>
              <w:right w:w="100" w:type="dxa"/>
            </w:tcMar>
          </w:tcPr>
          <w:p>
            <w:r>
              <w:rPr>
                <w:rFonts w:ascii="Times New Roman" w:hAnsi="Times New Roman"/>
                <w:sz w:val="19"/>
              </w:rPr>
              <w:t>Lacks native Git linkage without paid power-ups</w:t>
            </w:r>
          </w:p>
        </w:tc>
      </w:tr>
      <w:tr>
        <w:tc>
          <w:tcPr>
            <w:tcW w:type="dxa" w:w="2592"/>
            <w:shd w:fill="F8FAFC"/>
            <w:tcMar>
              <w:top w:w="60" w:type="dxa"/>
              <w:bottom w:w="60" w:type="dxa"/>
              <w:left w:w="100" w:type="dxa"/>
              <w:right w:w="100" w:type="dxa"/>
            </w:tcMar>
          </w:tcPr>
          <w:p>
            <w:r>
              <w:rPr>
                <w:rFonts w:ascii="Times New Roman" w:hAnsi="Times New Roman"/>
                <w:sz w:val="19"/>
              </w:rPr>
              <w:t>Learning Curve</w:t>
            </w:r>
          </w:p>
        </w:tc>
        <w:tc>
          <w:tcPr>
            <w:tcW w:type="dxa" w:w="2592"/>
            <w:shd w:fill="F8FAFC"/>
            <w:tcMar>
              <w:top w:w="60" w:type="dxa"/>
              <w:bottom w:w="60" w:type="dxa"/>
              <w:left w:w="100" w:type="dxa"/>
              <w:right w:w="100" w:type="dxa"/>
            </w:tcMar>
          </w:tcPr>
          <w:p>
            <w:r>
              <w:rPr>
                <w:rFonts w:ascii="Times New Roman" w:hAnsi="Times New Roman"/>
                <w:sz w:val="19"/>
              </w:rPr>
              <w:t>Gentle: Markdown-based user stories &amp; instant boards</w:t>
            </w:r>
          </w:p>
        </w:tc>
        <w:tc>
          <w:tcPr>
            <w:tcW w:type="dxa" w:w="2160"/>
            <w:shd w:fill="F8FAFC"/>
            <w:tcMar>
              <w:top w:w="60" w:type="dxa"/>
              <w:bottom w:w="60" w:type="dxa"/>
              <w:left w:w="100" w:type="dxa"/>
              <w:right w:w="100" w:type="dxa"/>
            </w:tcMar>
          </w:tcPr>
          <w:p>
            <w:r>
              <w:rPr>
                <w:rFonts w:ascii="Times New Roman" w:hAnsi="Times New Roman"/>
                <w:sz w:val="19"/>
              </w:rPr>
              <w:t>Steep: Complex permission schemes &amp; heavy menus</w:t>
            </w:r>
          </w:p>
        </w:tc>
        <w:tc>
          <w:tcPr>
            <w:tcW w:type="dxa" w:w="2016"/>
            <w:shd w:fill="F8FAFC"/>
            <w:tcMar>
              <w:top w:w="60" w:type="dxa"/>
              <w:bottom w:w="60" w:type="dxa"/>
              <w:left w:w="100" w:type="dxa"/>
              <w:right w:w="100" w:type="dxa"/>
            </w:tcMar>
          </w:tcPr>
          <w:p>
            <w:r>
              <w:rPr>
                <w:rFonts w:ascii="Times New Roman" w:hAnsi="Times New Roman"/>
                <w:sz w:val="19"/>
              </w:rPr>
              <w:t>Minimal: Basic drag-and-drop cards</w:t>
            </w:r>
          </w:p>
        </w:tc>
      </w:tr>
      <w:tr>
        <w:tc>
          <w:tcPr>
            <w:tcW w:type="dxa" w:w="2592"/>
            <w:shd w:fill="FFFFFF"/>
            <w:tcMar>
              <w:top w:w="60" w:type="dxa"/>
              <w:bottom w:w="60" w:type="dxa"/>
              <w:left w:w="100" w:type="dxa"/>
              <w:right w:w="100" w:type="dxa"/>
            </w:tcMar>
          </w:tcPr>
          <w:p>
            <w:r>
              <w:rPr>
                <w:rFonts w:ascii="Times New Roman" w:hAnsi="Times New Roman"/>
                <w:sz w:val="19"/>
              </w:rPr>
              <w:t>Context Switching</w:t>
            </w:r>
          </w:p>
        </w:tc>
        <w:tc>
          <w:tcPr>
            <w:tcW w:type="dxa" w:w="2592"/>
            <w:shd w:fill="FFFFFF"/>
            <w:tcMar>
              <w:top w:w="60" w:type="dxa"/>
              <w:bottom w:w="60" w:type="dxa"/>
              <w:left w:w="100" w:type="dxa"/>
              <w:right w:w="100" w:type="dxa"/>
            </w:tcMar>
          </w:tcPr>
          <w:p>
            <w:r>
              <w:rPr>
                <w:rFonts w:ascii="Times New Roman" w:hAnsi="Times New Roman"/>
                <w:sz w:val="19"/>
              </w:rPr>
              <w:t>Zero: Code, reviews, and boards in one browser tab</w:t>
            </w:r>
          </w:p>
        </w:tc>
        <w:tc>
          <w:tcPr>
            <w:tcW w:type="dxa" w:w="2160"/>
            <w:shd w:fill="FFFFFF"/>
            <w:tcMar>
              <w:top w:w="60" w:type="dxa"/>
              <w:bottom w:w="60" w:type="dxa"/>
              <w:left w:w="100" w:type="dxa"/>
              <w:right w:w="100" w:type="dxa"/>
            </w:tcMar>
          </w:tcPr>
          <w:p>
            <w:r>
              <w:rPr>
                <w:rFonts w:ascii="Times New Roman" w:hAnsi="Times New Roman"/>
                <w:sz w:val="19"/>
              </w:rPr>
              <w:t>High: Requires navigating to external Atlassian domain</w:t>
            </w:r>
          </w:p>
        </w:tc>
        <w:tc>
          <w:tcPr>
            <w:tcW w:type="dxa" w:w="2016"/>
            <w:shd w:fill="FFFFFF"/>
            <w:tcMar>
              <w:top w:w="60" w:type="dxa"/>
              <w:bottom w:w="60" w:type="dxa"/>
              <w:left w:w="100" w:type="dxa"/>
              <w:right w:w="100" w:type="dxa"/>
            </w:tcMar>
          </w:tcPr>
          <w:p>
            <w:r>
              <w:rPr>
                <w:rFonts w:ascii="Times New Roman" w:hAnsi="Times New Roman"/>
                <w:sz w:val="19"/>
              </w:rPr>
              <w:t>High: Disconnected third-party board</w:t>
            </w:r>
          </w:p>
        </w:tc>
      </w:tr>
      <w:tr>
        <w:tc>
          <w:tcPr>
            <w:tcW w:type="dxa" w:w="2592"/>
            <w:shd w:fill="F8FAFC"/>
            <w:tcMar>
              <w:top w:w="60" w:type="dxa"/>
              <w:bottom w:w="60" w:type="dxa"/>
              <w:left w:w="100" w:type="dxa"/>
              <w:right w:w="100" w:type="dxa"/>
            </w:tcMar>
          </w:tcPr>
          <w:p>
            <w:r>
              <w:rPr>
                <w:rFonts w:ascii="Times New Roman" w:hAnsi="Times New Roman"/>
                <w:sz w:val="19"/>
              </w:rPr>
              <w:t>Suitability for RUET Sessional</w:t>
            </w:r>
          </w:p>
        </w:tc>
        <w:tc>
          <w:tcPr>
            <w:tcW w:type="dxa" w:w="2592"/>
            <w:shd w:fill="F8FAFC"/>
            <w:tcMar>
              <w:top w:w="60" w:type="dxa"/>
              <w:bottom w:w="60" w:type="dxa"/>
              <w:left w:w="100" w:type="dxa"/>
              <w:right w:w="100" w:type="dxa"/>
            </w:tcMar>
          </w:tcPr>
          <w:p>
            <w:r>
              <w:rPr>
                <w:rFonts w:ascii="Times New Roman" w:hAnsi="Times New Roman"/>
                <w:sz w:val="19"/>
              </w:rPr>
              <w:t>Optimal: Directly demonstrates Git/GitHub configuration management</w:t>
            </w:r>
          </w:p>
        </w:tc>
        <w:tc>
          <w:tcPr>
            <w:tcW w:type="dxa" w:w="2160"/>
            <w:shd w:fill="F8FAFC"/>
            <w:tcMar>
              <w:top w:w="60" w:type="dxa"/>
              <w:bottom w:w="60" w:type="dxa"/>
              <w:left w:w="100" w:type="dxa"/>
              <w:right w:w="100" w:type="dxa"/>
            </w:tcMar>
          </w:tcPr>
          <w:p>
            <w:r>
              <w:rPr>
                <w:rFonts w:ascii="Times New Roman" w:hAnsi="Times New Roman"/>
                <w:sz w:val="19"/>
              </w:rPr>
              <w:t>Over-engineered for 1-person / small academic teams</w:t>
            </w:r>
          </w:p>
        </w:tc>
        <w:tc>
          <w:tcPr>
            <w:tcW w:type="dxa" w:w="2016"/>
            <w:shd w:fill="F8FAFC"/>
            <w:tcMar>
              <w:top w:w="60" w:type="dxa"/>
              <w:bottom w:w="60" w:type="dxa"/>
              <w:left w:w="100" w:type="dxa"/>
              <w:right w:w="100" w:type="dxa"/>
            </w:tcMar>
          </w:tcPr>
          <w:p>
            <w:r>
              <w:rPr>
                <w:rFonts w:ascii="Times New Roman" w:hAnsi="Times New Roman"/>
                <w:sz w:val="19"/>
              </w:rPr>
              <w:t>Under-engineered: lacks automated CI/PR triggers</w:t>
            </w:r>
          </w:p>
        </w:tc>
      </w:tr>
    </w:tbl>
    <w:p>
      <w:pPr>
        <w:spacing w:after="80"/>
      </w:pPr>
    </w:p>
    <w:p>
      <w:pPr>
        <w:spacing w:before="160" w:after="60"/>
      </w:pPr>
      <w:r>
        <w:rPr>
          <w:rFonts w:ascii="Times New Roman" w:hAnsi="Times New Roman"/>
          <w:b/>
          <w:color w:val="1E293B"/>
          <w:sz w:val="24"/>
        </w:rPr>
        <w:t>7.3 Practical Implementation in CampusSync</w:t>
      </w:r>
    </w:p>
    <w:p>
      <w:pPr>
        <w:spacing w:line="276" w:lineRule="auto" w:after="80"/>
      </w:pPr>
      <w:r>
        <w:rPr>
          <w:rFonts w:ascii="Times New Roman" w:hAnsi="Times New Roman"/>
          <w:i w:val="0"/>
          <w:sz w:val="22"/>
        </w:rPr>
        <w:t>A custom Kanban board was initialized with five automated workflow columns: (1) `Backlog` containing formal user story issues; (2) `Ready / To Do` containing prioritized sprint tasks; (3) `In Progress` tracking active feature branches; (4) `In Review / Testing` holding open pull requests awaiting test verification; and (5) `Done` archiving completed deliverables. Automated workflows were configured to move issues to 'Done' upon merging corresponding pull requests into `main`.</w:t>
      </w:r>
    </w:p>
    <w:p>
      <w:pPr>
        <w:spacing w:before="240" w:after="80"/>
      </w:pPr>
      <w:r>
        <w:rPr>
          <w:rFonts w:ascii="Times New Roman" w:hAnsi="Times New Roman"/>
          <w:b/>
          <w:color w:val="0F172A"/>
          <w:sz w:val="28"/>
        </w:rPr>
        <w:t>8. Academic Integrity &amp; AI Attribution Statement</w:t>
      </w:r>
    </w:p>
    <w:p>
      <w:pPr>
        <w:spacing w:line="276" w:lineRule="auto" w:after="80"/>
      </w:pPr>
      <w:r>
        <w:rPr>
          <w:rFonts w:ascii="Times New Roman" w:hAnsi="Times New Roman"/>
          <w:i w:val="0"/>
          <w:sz w:val="22"/>
        </w:rPr>
        <w:t>In strict compliance with RUET academic regulations and the explicit CSE 3206 instruction note: 'AI tools or online code may be used only if you can explain every part in the viva, and their use must be stated in the report.'</w:t>
      </w:r>
    </w:p>
    <w:p>
      <w:pPr>
        <w:spacing w:line="276" w:lineRule="auto" w:after="80"/>
      </w:pPr>
      <w:r>
        <w:rPr>
          <w:rFonts w:ascii="Times New Roman" w:hAnsi="Times New Roman"/>
          <w:i w:val="0"/>
          <w:sz w:val="22"/>
        </w:rPr>
        <w:t>Disclosure of AI Assistance: An advanced AI coding assistant (Google Antigravity / Gemini 3.8 Flash) was employed as an interactive pair-programming companion. Specifically, AI assistance was leveraged for: (a) formatting formal user stories in Given-When-Then syntax; (b) structuring Mermaid UML syntax for architectural visualization; and (c) brainstorming edge-case assertions for the Vitest mock suite. All underlying architecture, code modules, design pattern implementations, merge conflict resolutions, and test executions were thoroughly understood, tested, and validated by the author for live defense during the examination viva.</w:t>
      </w:r>
    </w:p>
    <w:p>
      <w:pPr>
        <w:spacing w:before="240" w:after="80"/>
      </w:pPr>
      <w:r>
        <w:rPr>
          <w:rFonts w:ascii="Times New Roman" w:hAnsi="Times New Roman"/>
          <w:b/>
          <w:color w:val="0F172A"/>
          <w:sz w:val="28"/>
        </w:rPr>
        <w:t>9. Conclusion &amp; Extensibility Roadmap</w:t>
      </w:r>
    </w:p>
    <w:p>
      <w:pPr>
        <w:spacing w:line="276" w:lineRule="auto" w:after="80"/>
      </w:pPr>
      <w:r>
        <w:rPr>
          <w:rFonts w:ascii="Times New Roman" w:hAnsi="Times New Roman"/>
          <w:i w:val="0"/>
          <w:sz w:val="22"/>
        </w:rPr>
        <w:t>CampusSync demonstrates that rigorous software engineering methodologies—encompassing formal requirement analysis, design pattern abstraction, automated unit testing with mocks, and structured Git configuration management—yield a resilient, extensible application. By decoupling event types through the Factory pattern and UI updates through the Observer pattern, the system can seamlessly incorporate future expansions, including automated QR code ticket scanning at venue gates, email notification dispatches via SendGrid, and automated room scheduling integration with RUET's central timetable database.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