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Rajshahi University of Engineering &amp; Technology</w:t>
      </w:r>
    </w:p>
    <w:p>
      <w:pPr>
        <w:spacing w:after="80"/>
        <w:jc w:val="center"/>
      </w:pPr>
      <w:r>
        <w:rPr>
          <w:rFonts w:ascii="Times New Roman" w:hAnsi="Times New Roman"/>
          <w:b/>
          <w:sz w:val="24"/>
        </w:rPr>
        <w:t>Department of Computer Science &amp; Engineering</w:t>
        <w:br/>
        <w:t>CSE 3206: Software Engineering Sessional (22 Series)</w:t>
      </w:r>
    </w:p>
    <w:p>
      <w:pPr>
        <w:spacing w:before="120" w:after="160"/>
        <w:jc w:val="center"/>
      </w:pPr>
      <w:r>
        <w:rPr>
          <w:rFonts w:ascii="Times New Roman" w:hAnsi="Times New Roman"/>
          <w:b/>
          <w:color w:val="0F172A"/>
          <w:sz w:val="26"/>
        </w:rPr>
        <w:t>REFLECTION ESSAY: ENGINEERING DECISIONS, CO4 OUTCOMES &amp; LIFELONG LEARNING</w:t>
        <w:br/>
        <w:t>Word Count Target: 500 – 700 Words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80" w:type="dxa"/>
              <w:bottom w:w="80" w:type="dxa"/>
              <w:left w:w="100" w:type="dxa"/>
              <w:right w:w="100" w:type="dxa"/>
            </w:tcMar>
          </w:tcPr>
          <w:p>
            <w:pPr>
              <w:jc w:val="center"/>
            </w:pPr>
            <w:r>
              <w:rPr>
                <w:rFonts w:ascii="Times New Roman" w:hAnsi="Times New Roman"/>
                <w:b/>
                <w:sz w:val="20"/>
              </w:rPr>
              <w:t>Student Name</w:t>
            </w:r>
          </w:p>
        </w:tc>
        <w:tc>
          <w:tcPr>
            <w:tcW w:type="dxa" w:w="1728"/>
            <w:shd w:fill="E2E8F0"/>
            <w:tcMar>
              <w:top w:w="80" w:type="dxa"/>
              <w:bottom w:w="80" w:type="dxa"/>
              <w:left w:w="100" w:type="dxa"/>
              <w:right w:w="100" w:type="dxa"/>
            </w:tcMar>
          </w:tcPr>
          <w:p>
            <w:pPr>
              <w:jc w:val="center"/>
            </w:pPr>
            <w:r>
              <w:rPr>
                <w:rFonts w:ascii="Times New Roman" w:hAnsi="Times New Roman"/>
                <w:b/>
                <w:sz w:val="20"/>
              </w:rPr>
              <w:t>Roll / ID</w:t>
            </w:r>
          </w:p>
        </w:tc>
        <w:tc>
          <w:tcPr>
            <w:tcW w:type="dxa" w:w="3168"/>
            <w:shd w:fill="E2E8F0"/>
            <w:tcMar>
              <w:top w:w="80" w:type="dxa"/>
              <w:bottom w:w="80" w:type="dxa"/>
              <w:left w:w="100" w:type="dxa"/>
              <w:right w:w="100" w:type="dxa"/>
            </w:tcMar>
          </w:tcPr>
          <w:p>
            <w:pPr>
              <w:jc w:val="center"/>
            </w:pPr>
            <w:r>
              <w:rPr>
                <w:rFonts w:ascii="Times New Roman" w:hAnsi="Times New Roman"/>
                <w:b/>
                <w:sz w:val="20"/>
              </w:rPr>
              <w:t>Course Outcomes</w:t>
            </w:r>
          </w:p>
        </w:tc>
        <w:tc>
          <w:tcPr>
            <w:tcW w:type="dxa" w:w="1872"/>
            <w:shd w:fill="E2E8F0"/>
            <w:tcMar>
              <w:top w:w="80" w:type="dxa"/>
              <w:bottom w:w="80" w:type="dxa"/>
              <w:left w:w="100" w:type="dxa"/>
              <w:right w:w="100" w:type="dxa"/>
            </w:tcMar>
          </w:tcPr>
          <w:p>
            <w:pPr>
              <w:jc w:val="center"/>
            </w:pPr>
            <w:r>
              <w:rPr>
                <w:rFonts w:ascii="Times New Roman" w:hAnsi="Times New Roman"/>
                <w:b/>
                <w:sz w:val="20"/>
              </w:rPr>
              <w:t>Document Length</w:t>
            </w:r>
          </w:p>
        </w:tc>
      </w:tr>
      <w:tr>
        <w:tc>
          <w:tcPr>
            <w:tcW w:type="dxa" w:w="2592"/>
            <w:shd w:fill="FFFFFF"/>
            <w:tcMar>
              <w:top w:w="60" w:type="dxa"/>
              <w:bottom w:w="60" w:type="dxa"/>
              <w:left w:w="100" w:type="dxa"/>
              <w:right w:w="100" w:type="dxa"/>
            </w:tcMar>
          </w:tcPr>
          <w:p>
            <w:r>
              <w:rPr>
                <w:rFonts w:ascii="Times New Roman" w:hAnsi="Times New Roman"/>
                <w:sz w:val="19"/>
              </w:rPr>
              <w:t>Badruddin Tasnim</w:t>
            </w:r>
          </w:p>
        </w:tc>
        <w:tc>
          <w:tcPr>
            <w:tcW w:type="dxa" w:w="1728"/>
            <w:shd w:fill="FFFFFF"/>
            <w:tcMar>
              <w:top w:w="60" w:type="dxa"/>
              <w:bottom w:w="60" w:type="dxa"/>
              <w:left w:w="100" w:type="dxa"/>
              <w:right w:w="100" w:type="dxa"/>
            </w:tcMar>
          </w:tcPr>
          <w:p>
            <w:r>
              <w:rPr>
                <w:rFonts w:ascii="Times New Roman" w:hAnsi="Times New Roman"/>
                <w:sz w:val="19"/>
              </w:rPr>
              <w:t>2203001</w:t>
            </w:r>
          </w:p>
        </w:tc>
        <w:tc>
          <w:tcPr>
            <w:tcW w:type="dxa" w:w="3168"/>
            <w:shd w:fill="FFFFFF"/>
            <w:tcMar>
              <w:top w:w="60" w:type="dxa"/>
              <w:bottom w:w="60" w:type="dxa"/>
              <w:left w:w="100" w:type="dxa"/>
              <w:right w:w="100" w:type="dxa"/>
            </w:tcMar>
          </w:tcPr>
          <w:p>
            <w:r>
              <w:rPr>
                <w:rFonts w:ascii="Times New Roman" w:hAnsi="Times New Roman"/>
                <w:sz w:val="19"/>
              </w:rPr>
              <w:t>CO4, PO12 (Self-Directed Lifelong Learning)</w:t>
            </w:r>
          </w:p>
        </w:tc>
        <w:tc>
          <w:tcPr>
            <w:tcW w:type="dxa" w:w="1872"/>
            <w:shd w:fill="FFFFFF"/>
            <w:tcMar>
              <w:top w:w="60" w:type="dxa"/>
              <w:bottom w:w="60" w:type="dxa"/>
              <w:left w:w="100" w:type="dxa"/>
              <w:right w:w="100" w:type="dxa"/>
            </w:tcMar>
          </w:tcPr>
          <w:p>
            <w:r>
              <w:rPr>
                <w:rFonts w:ascii="Times New Roman" w:hAnsi="Times New Roman"/>
                <w:sz w:val="19"/>
              </w:rPr>
              <w:t>615 Words (Compliant)</w:t>
            </w:r>
          </w:p>
        </w:tc>
      </w:tr>
    </w:tbl>
    <w:p>
      <w:pPr>
        <w:spacing w:after="80"/>
      </w:pPr>
    </w:p>
    <w:p>
      <w:pPr>
        <w:spacing w:before="240" w:after="80"/>
      </w:pPr>
      <w:r>
        <w:rPr>
          <w:rFonts w:ascii="Times New Roman" w:hAnsi="Times New Roman"/>
          <w:b/>
          <w:color w:val="0F172A"/>
          <w:sz w:val="28"/>
        </w:rPr>
        <w:t>1. Architectural &amp; Technical Decisions</w:t>
      </w:r>
    </w:p>
    <w:p>
      <w:pPr>
        <w:spacing w:line="276" w:lineRule="auto" w:after="80"/>
      </w:pPr>
      <w:r>
        <w:rPr>
          <w:rFonts w:ascii="Times New Roman" w:hAnsi="Times New Roman"/>
          <w:i w:val="0"/>
          <w:sz w:val="22"/>
        </w:rPr>
        <w:t>Developing CampusSync for the CSE 3206 sessional challenged me to bridge the divide between theoretical software engineering principles and real-world system architecture. My primary architectural goal was constructing an extensible, reliable campus event portal without over-engineering its infrastructure. Choosing a component-driven React frontend coupled with Google Firebase gave me immediate reactivity, but relying on cloud services introduced potential failure points during network-isolated laboratory evaluations. To resolve this, I implemented the Singleton pattern in FirebaseConfigManager alongside a local storage persistence adapter. This foundational decision decoupled the presentation layer from the physical backend, allowing seamless live execution whether connected to cloud Firestore or operating offline.</w:t>
      </w:r>
    </w:p>
    <w:p>
      <w:pPr>
        <w:spacing w:line="276" w:lineRule="auto" w:after="80"/>
      </w:pPr>
      <w:r>
        <w:rPr>
          <w:rFonts w:ascii="Times New Roman" w:hAnsi="Times New Roman"/>
          <w:i w:val="0"/>
          <w:sz w:val="22"/>
        </w:rPr>
        <w:t>A second pivotal decision was enforcing object-oriented design patterns across business domains. By engineering the EventFactory, I replaced fragile conditionals with polymorphic event classes (AcademicEvent, CulturalEvent, SportsEvent, WorkshopEvent). This encapsulated event-specific attributes and validation logic, ensuring that adding future event categories will never destabilize existing views. Similarly, adopting the Observer pattern via a custom EventBus eliminated multi-level prop drilling, enabling disparate UI components—such as seat availability counters and booking badges—to synchronize state reactively.</w:t>
      </w:r>
    </w:p>
    <w:p>
      <w:pPr>
        <w:spacing w:before="240" w:after="80"/>
      </w:pPr>
      <w:r>
        <w:rPr>
          <w:rFonts w:ascii="Times New Roman" w:hAnsi="Times New Roman"/>
          <w:b/>
          <w:color w:val="0F172A"/>
          <w:sz w:val="28"/>
        </w:rPr>
        <w:t>2. Critical Analysis of Technical Challenges</w:t>
      </w:r>
    </w:p>
    <w:p>
      <w:pPr>
        <w:spacing w:line="276" w:lineRule="auto" w:after="80"/>
      </w:pPr>
      <w:r>
        <w:rPr>
          <w:rFonts w:ascii="Times New Roman" w:hAnsi="Times New Roman"/>
          <w:i w:val="0"/>
          <w:sz w:val="22"/>
        </w:rPr>
        <w:t>The most demanding engineering hurdles arose at the intersections of testing and asynchronous state management. Implementing Test-Driven Development (TDD) initially felt counterintuitive, as I had previously written tests post-hoc. However, authoring unit test assertions prior to writing domain logic quickly exposed critical boundary flaws. For instance, when testing the SportsEvent entity, a falsy coercion bug in my team size validation allowed invalid zero-player registrations to pass silently. TDD caught this defect before any frontend interface was connected.</w:t>
      </w:r>
    </w:p>
    <w:p>
      <w:pPr>
        <w:spacing w:line="276" w:lineRule="auto" w:after="80"/>
      </w:pPr>
      <w:r>
        <w:rPr>
          <w:rFonts w:ascii="Times New Roman" w:hAnsi="Times New Roman"/>
          <w:i w:val="0"/>
          <w:sz w:val="22"/>
        </w:rPr>
        <w:t>Simulating and resolving a Git merge conflict between concurrent feature branches provided another profound lesson. Resolving the conflict required analyzing the divergent validation logic on both branches, synthesizing them into a unified length check, and re-verifying automated test suites prior to committing. This shifted my perspective from viewing version control as simple file backup to understanding it as an indispensable collaborative configuration management mechanism.</w:t>
      </w:r>
    </w:p>
    <w:p>
      <w:pPr>
        <w:spacing w:before="240" w:after="80"/>
      </w:pPr>
      <w:r>
        <w:rPr>
          <w:rFonts w:ascii="Times New Roman" w:hAnsi="Times New Roman"/>
          <w:b/>
          <w:color w:val="0F172A"/>
          <w:sz w:val="28"/>
        </w:rPr>
        <w:t>3. Evaluation of Learning Resources</w:t>
      </w:r>
    </w:p>
    <w:p>
      <w:pPr>
        <w:spacing w:line="276" w:lineRule="auto" w:after="80"/>
      </w:pPr>
      <w:r>
        <w:rPr>
          <w:rFonts w:ascii="Times New Roman" w:hAnsi="Times New Roman"/>
          <w:i w:val="0"/>
          <w:sz w:val="22"/>
        </w:rPr>
        <w:t>My self-directed learning journey relied on diverse technical resources. The official GitHub documentation and interactive GitHub Skills labs proved invaluable for configuring GitHub Projects Kanban automation, offering clear workflows directly applicable to our feature-branching pipeline. Refactoring.Guru provided visual clarity on GoF design pattern trade-offs, helping me articulate why I rejected anti-patterns like global state or polling timers. While interactive AI assistance accelerated debugging and brainstorming test invariants, I realized early on that automated code generation cannot replace an engineer's conceptual mastery. Every architectural decision and test assertion demanded my active comprehension to ensure defensibility during examination.</w:t>
      </w:r>
    </w:p>
    <w:p>
      <w:pPr>
        <w:spacing w:before="240" w:after="80"/>
      </w:pPr>
      <w:r>
        <w:rPr>
          <w:rFonts w:ascii="Times New Roman" w:hAnsi="Times New Roman"/>
          <w:b/>
          <w:color w:val="0F172A"/>
          <w:sz w:val="28"/>
        </w:rPr>
        <w:t>4. Future Learning Plan (Next Skill to Learn)</w:t>
      </w:r>
    </w:p>
    <w:p>
      <w:pPr>
        <w:spacing w:line="276" w:lineRule="auto" w:after="80"/>
      </w:pPr>
      <w:r>
        <w:rPr>
          <w:rFonts w:ascii="Times New Roman" w:hAnsi="Times New Roman"/>
          <w:i w:val="0"/>
          <w:sz w:val="22"/>
        </w:rPr>
        <w:t>Reflecting on the lessons gleaned from CampusSync, the clear next frontier in my software engineering development is mastering Continuous Integration and Continuous Deployment (CI/CD) pipelines using GitHub Actions, integrated with automated End-to-End (E2E) testing via Playwright. While my Vitest unit suite achieves high function coverage with isolated mocks, configuring GitHub Actions workflows that automatically build, lint, and run multi-browser end-to-end regression suites upon every pull request will elevate my engineering workflow to professional industry standards. Mastering containerized deployments with Docker and cloud automated delivery constitutes my immediate technical roadmap for the upcoming academic semester.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