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CAMPUSSYNC</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At tertiary educational institutions such as Rajshahi University of Engineering &amp; Technology (RUET), numerous academic seminars, competitive programming hackathons, cultural festivals, and inter-department sports tournaments occur concurrently throughout the academic calendar. Historically, event dissemination relies on fragmented notice boards, disparate social media groups, and ad-hoc physical registrations. This operational model introduces severe logistical friction: students miss registration deadlines, venues experience unexpected over-capacity overcrowding, duplicate seat bookings cannot be detected, and administrative organizers lack real-time visibility into attendance counts.</w:t>
      </w:r>
    </w:p>
    <w:p>
      <w:pPr>
        <w:spacing w:line="276" w:lineRule="auto" w:after="80"/>
      </w:pPr>
      <w:r>
        <w:rPr>
          <w:rFonts w:ascii="Times New Roman" w:hAnsi="Times New Roman"/>
          <w:i w:val="0"/>
          <w:sz w:val="22"/>
        </w:rPr>
        <w:t>To solve these operational challenges systematically, CampusSync was engineered as a robust, non-trivial campus event management application developed in strict conformance with the complete Software Development Lifecycle (SDLC). The system provides five comprehensive functional modules, persistent multi-tier data storage (Google Firebase Firestore with an offline fallback storage engine), and an extensible object-oriented architectural foundation utilizing three design patterns across creational and behavioral categories. Furthermore, the development lifecycle incorporates Agile/Scrum process modeling, Test-Driven Development (TDD) with isolated dependency mocking, strict Git feature-branch configuration management with documented merge conflict resolution, and self-directed adoption of GitHub Projects as an advanced project management tool.</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CampusSync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362712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3627120"/>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3352800"/>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3771900"/>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CampusSync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471862"/>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471862"/>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60" w:after="60"/>
      </w:pPr>
      <w:r>
        <w:rPr>
          <w:rFonts w:ascii="Times New Roman" w:hAnsi="Times New Roman"/>
          <w:b/>
          <w:color w:val="1E293B"/>
          <w:sz w:val="24"/>
        </w:rPr>
        <w:t>4.4 UML Class Diagram</w:t>
      </w:r>
    </w:p>
    <w:p>
      <w:pPr>
        <w:spacing w:line="276" w:lineRule="auto" w:after="80"/>
      </w:pPr>
      <w:r>
        <w:rPr>
          <w:rFonts w:ascii="Times New Roman" w:hAnsi="Times New Roman"/>
          <w:i w:val="0"/>
          <w:sz w:val="22"/>
        </w:rPr>
        <w:t>The comprehensive class diagram in Figure 6 illustrates the relationships, inheritance hierarchies, interfaces, and design pattern integration across the application codebase.</w:t>
      </w:r>
    </w:p>
    <w:p>
      <w:pPr>
        <w:spacing w:before="120" w:after="40"/>
        <w:jc w:val="center"/>
      </w:pPr>
      <w:r>
        <w:drawing>
          <wp:inline xmlns:a="http://schemas.openxmlformats.org/drawingml/2006/main" xmlns:pic="http://schemas.openxmlformats.org/drawingml/2006/picture">
            <wp:extent cx="5120640" cy="4023360"/>
            <wp:docPr id="6" name="Picture 6"/>
            <wp:cNvGraphicFramePr>
              <a:graphicFrameLocks noChangeAspect="1"/>
            </wp:cNvGraphicFramePr>
            <a:graphic>
              <a:graphicData uri="http://schemas.openxmlformats.org/drawingml/2006/picture">
                <pic:pic>
                  <pic:nvPicPr>
                    <pic:cNvPr id="0" name="class_diagram.png"/>
                    <pic:cNvPicPr/>
                  </pic:nvPicPr>
                  <pic:blipFill>
                    <a:blip r:embed="rId16"/>
                    <a:stretch>
                      <a:fillRect/>
                    </a:stretch>
                  </pic:blipFill>
                  <pic:spPr>
                    <a:xfrm>
                      <a:off x="0" y="0"/>
                      <a:ext cx="5120640" cy="4023360"/>
                    </a:xfrm>
                    <a:prstGeom prst="rect"/>
                  </pic:spPr>
                </pic:pic>
              </a:graphicData>
            </a:graphic>
          </wp:inline>
        </w:drawing>
      </w:r>
    </w:p>
    <w:p>
      <w:pPr>
        <w:spacing w:after="120"/>
        <w:jc w:val="center"/>
      </w:pPr>
      <w:r>
        <w:rPr>
          <w:rFonts w:ascii="Times New Roman" w:hAnsi="Times New Roman"/>
          <w:i/>
          <w:color w:val="64748B"/>
          <w:sz w:val="19"/>
        </w:rPr>
        <w:t>Figure 6: Complete UML Class Diagram Illustrating Singleton, Factory, and Observer Design Patterns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Beginner-Friendly Testing Framework Rationale</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confuse examiners and students during live demonstrations.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crystal-clear human-readable test output that is effortless to defend in a viva examination.</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CampusSync</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7 through 10 demonstrate the lifecycle progression of CampusSync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gh_project_stage1_planning.png"/>
                    <pic:cNvPicPr/>
                  </pic:nvPicPr>
                  <pic:blipFill>
                    <a:blip r:embed="rId17"/>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7: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8" name="Picture 8"/>
            <wp:cNvGraphicFramePr>
              <a:graphicFrameLocks noChangeAspect="1"/>
            </wp:cNvGraphicFramePr>
            <a:graphic>
              <a:graphicData uri="http://schemas.openxmlformats.org/drawingml/2006/picture">
                <pic:pic>
                  <pic:nvPicPr>
                    <pic:cNvPr id="0" name="gh_project_stage1_planning.png"/>
                    <pic:cNvPicPr/>
                  </pic:nvPicPr>
                  <pic:blipFill>
                    <a:blip r:embed="rId17"/>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8: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9" name="Picture 9"/>
            <wp:cNvGraphicFramePr>
              <a:graphicFrameLocks noChangeAspect="1"/>
            </wp:cNvGraphicFramePr>
            <a:graphic>
              <a:graphicData uri="http://schemas.openxmlformats.org/drawingml/2006/picture">
                <pic:pic>
                  <pic:nvPicPr>
                    <pic:cNvPr id="0" name="gh_project_stage3_testing.png"/>
                    <pic:cNvPicPr/>
                  </pic:nvPicPr>
                  <pic:blipFill>
                    <a:blip r:embed="rId18"/>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9: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4_done.png"/>
                    <pic:cNvPicPr/>
                  </pic:nvPicPr>
                  <pic:blipFill>
                    <a:blip r:embed="rId19"/>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In strict compliance with RUET academic regulations and the explicit CSE 3206 instruction note: 'AI tools or online code may be used only if you can explain every part in the viva, and their use must be stated in the report.'</w:t>
      </w:r>
    </w:p>
    <w:p>
      <w:pPr>
        <w:spacing w:line="276" w:lineRule="auto" w:after="80"/>
      </w:pPr>
      <w:r>
        <w:rPr>
          <w:rFonts w:ascii="Times New Roman" w:hAnsi="Times New Roman"/>
          <w:i w:val="0"/>
          <w:sz w:val="22"/>
        </w:rPr>
        <w:t>Disclosure of AI Assistance: An advanced AI coding assistant (Google Antigravity / Gemini 3.8 Flash)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 for live defense during the examination viva.</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CampusSync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