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00" w:lineRule="exact"/>
        <w:jc w:val="left"/>
        <w:outlineLvl w:val="2"/>
        <w:rPr>
          <w:rFonts w:ascii="黑体" w:eastAsia="黑体"/>
          <w:sz w:val="24"/>
        </w:rPr>
      </w:pPr>
      <w:bookmarkStart w:id="0" w:name="_Toc1005980343"/>
      <w:r>
        <w:rPr>
          <w:rFonts w:ascii="黑体" w:eastAsia="黑体"/>
          <w:sz w:val="24"/>
        </w:rPr>
        <w:t>3.5</w:t>
      </w:r>
      <w:r>
        <w:rPr>
          <w:rFonts w:ascii="黑体" w:eastAsia="黑体"/>
          <w:sz w:val="24"/>
          <w:highlight w:val="yellow"/>
        </w:rPr>
        <w:t xml:space="preserve"> </w:t>
      </w:r>
      <w:r>
        <w:rPr>
          <w:rFonts w:hint="eastAsia" w:ascii="黑体" w:eastAsia="黑体"/>
          <w:sz w:val="24"/>
          <w:highlight w:val="yellow"/>
          <w:lang w:val="en-US" w:eastAsia="zh-CN"/>
        </w:rPr>
        <w:t>血清</w:t>
      </w:r>
      <w:r>
        <w:rPr>
          <w:rFonts w:ascii="黑体" w:eastAsia="黑体"/>
          <w:sz w:val="24"/>
        </w:rPr>
        <w:t>白介素-6含量比较</w:t>
      </w:r>
      <w:bookmarkEnd w:id="0"/>
    </w:p>
    <w:p>
      <w:pPr>
        <w:adjustRightInd w:val="0"/>
        <w:snapToGrid w:val="0"/>
        <w:spacing w:line="400" w:lineRule="exact"/>
        <w:ind w:firstLine="420"/>
        <w:jc w:val="left"/>
        <w:outlineLvl w:val="2"/>
        <w:rPr>
          <w:rFonts w:ascii="宋体" w:hAnsi="宋体" w:eastAsia="宋体" w:cs="宋体"/>
          <w:sz w:val="24"/>
        </w:rPr>
      </w:pPr>
      <w:bookmarkStart w:id="1" w:name="_Toc372871970"/>
      <w:r>
        <w:rPr>
          <w:rFonts w:hint="eastAsia" w:ascii="Times New Roman" w:hAnsi="Times New Roman" w:eastAsia="宋体" w:cs="Times New Roman"/>
          <w:sz w:val="24"/>
        </w:rPr>
        <w:t>同正常组相比，模型组的IL-6明显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升高</w:t>
      </w:r>
      <w:r>
        <w:rPr>
          <w:rFonts w:ascii="Times New Roman" w:hAnsi="Times New Roman" w:eastAsia="宋体" w:cs="Times New Roman"/>
          <w:sz w:val="24"/>
          <w:highlight w:val="none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&lt;0.05</w:t>
      </w:r>
      <w:r>
        <w:rPr>
          <w:rFonts w:ascii="Times New Roman" w:hAnsi="Times New Roman" w:eastAsia="宋体" w:cs="Times New Roman"/>
          <w:sz w:val="24"/>
          <w:highlight w:val="none"/>
        </w:rPr>
        <w:t>）</w:t>
      </w:r>
      <w:r>
        <w:rPr>
          <w:rFonts w:hint="eastAsia" w:ascii="Times New Roman" w:hAnsi="Times New Roman" w:eastAsia="宋体" w:cs="Times New Roman"/>
          <w:sz w:val="24"/>
        </w:rPr>
        <w:t>；同模型组比较，给药组的IL-6均降低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P&lt;0.05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，高低剂量黄酮之间，</w:t>
      </w:r>
      <w:r>
        <w:rPr>
          <w:rFonts w:ascii="Times New Roman" w:hAnsi="Times New Roman" w:eastAsia="宋体" w:cs="Times New Roman"/>
          <w:sz w:val="24"/>
        </w:rPr>
        <w:t>没有显示出</w:t>
      </w:r>
      <w:r>
        <w:rPr>
          <w:rFonts w:hint="eastAsia" w:ascii="Times New Roman" w:hAnsi="Times New Roman" w:eastAsia="宋体" w:cs="Times New Roman"/>
          <w:sz w:val="24"/>
        </w:rPr>
        <w:t>统计学差异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。见</w:t>
      </w:r>
      <w:r>
        <w:rPr>
          <w:rFonts w:ascii="Times New Roman" w:hAnsi="Times New Roman" w:eastAsia="宋体" w:cs="Times New Roman"/>
          <w:sz w:val="24"/>
        </w:rPr>
        <w:t>图2-2，</w:t>
      </w:r>
      <w:r>
        <w:rPr>
          <w:rFonts w:hint="eastAsia" w:ascii="Times New Roman" w:hAnsi="Times New Roman" w:eastAsia="宋体" w:cs="Times New Roman"/>
          <w:sz w:val="24"/>
        </w:rPr>
        <w:t>表2-1。</w:t>
      </w:r>
      <w:bookmarkEnd w:id="1"/>
    </w:p>
    <w:p>
      <w:pPr>
        <w:adjustRightInd w:val="0"/>
        <w:snapToGrid w:val="0"/>
        <w:spacing w:line="400" w:lineRule="exact"/>
        <w:ind w:firstLine="420"/>
        <w:jc w:val="center"/>
        <w:outlineLvl w:val="2"/>
        <w:rPr>
          <w:rFonts w:ascii="宋体" w:hAnsi="宋体" w:eastAsia="宋体" w:cs="宋体"/>
          <w:sz w:val="24"/>
          <w:highlight w:val="cyan"/>
        </w:rPr>
      </w:pPr>
      <w:bookmarkStart w:id="2" w:name="_Toc501917844"/>
      <w:r>
        <w:rPr>
          <w:rFonts w:ascii="Times New Roman" w:hAnsi="Times New Roman" w:cs="Times New Roman"/>
          <w:sz w:val="24"/>
        </w:rPr>
        <w:t>表</w:t>
      </w:r>
      <w:r>
        <w:rPr>
          <w:rFonts w:hint="eastAsia" w:ascii="Times New Roman" w:hAnsi="Times New Roman" w:eastAsia="宋体" w:cs="Times New Roman"/>
          <w:sz w:val="24"/>
        </w:rPr>
        <w:t>2-1</w:t>
      </w:r>
      <w:r>
        <w:rPr>
          <w:rFonts w:ascii="Times New Roman" w:hAnsi="Times New Roman" w:cs="Times New Roman"/>
          <w:sz w:val="24"/>
        </w:rPr>
        <w:t xml:space="preserve">  各实验组</w:t>
      </w:r>
      <w:r>
        <w:rPr>
          <w:rFonts w:hint="eastAsia" w:ascii="Times New Roman" w:hAnsi="Times New Roman" w:eastAsia="宋体" w:cs="Times New Roman"/>
          <w:sz w:val="24"/>
        </w:rPr>
        <w:t>IL-6表达水平</w:t>
      </w:r>
      <w:r>
        <w:rPr>
          <w:rFonts w:ascii="Times New Roman" w:hAnsi="Times New Roman" w:cs="Times New Roman"/>
          <w:sz w:val="24"/>
        </w:rPr>
        <w:t>比较</w:t>
      </w:r>
      <w:bookmarkEnd w:id="2"/>
      <w:r>
        <w:rPr>
          <w:rFonts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eastAsia="宋体" w:cs="Times New Roman"/>
          <w:i/>
          <w:iCs/>
          <w:sz w:val="24"/>
        </w:rPr>
        <w:fldChar w:fldCharType="begin"/>
      </w:r>
      <w:r>
        <w:rPr>
          <w:rFonts w:ascii="Times New Roman" w:hAnsi="Times New Roman" w:eastAsia="宋体" w:cs="Times New Roman"/>
          <w:i/>
          <w:iCs/>
          <w:sz w:val="24"/>
        </w:rPr>
        <w:instrText xml:space="preserve">EQ \* jc2 \* hps10 \o\ad(\s\up 9(—),x)</w:instrText>
      </w:r>
      <w:r>
        <w:rPr>
          <w:rFonts w:ascii="Times New Roman" w:hAnsi="Times New Roman" w:eastAsia="宋体" w:cs="Times New Roman"/>
          <w:i/>
          <w:iCs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>±</w:t>
      </w:r>
      <w:r>
        <w:rPr>
          <w:rFonts w:ascii="Times New Roman" w:hAnsi="Times New Roman" w:eastAsia="宋体" w:cs="Times New Roman"/>
          <w:i/>
          <w:iCs/>
          <w:sz w:val="24"/>
        </w:rPr>
        <w:t>s</w:t>
      </w:r>
      <w:r>
        <w:rPr>
          <w:rFonts w:ascii="Times New Roman" w:hAnsi="Times New Roman" w:eastAsia="宋体" w:cs="Times New Roman"/>
          <w:sz w:val="24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2"/>
        <w:gridCol w:w="43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组别</w:t>
            </w:r>
          </w:p>
        </w:tc>
        <w:tc>
          <w:tcPr>
            <w:tcW w:w="4786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bookmarkStart w:id="3" w:name="_Toc417438692"/>
            <w:r>
              <w:rPr>
                <w:rFonts w:ascii="Times New Roman" w:hAnsi="Times New Roman" w:eastAsia="宋体" w:cs="Times New Roman"/>
                <w:sz w:val="24"/>
              </w:rPr>
              <w:t>IL-6</w:t>
            </w:r>
            <w:bookmarkEnd w:id="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bookmarkStart w:id="4" w:name="_Toc63021695"/>
            <w:r>
              <w:rPr>
                <w:rFonts w:ascii="宋体" w:hAnsi="宋体" w:eastAsia="宋体" w:cs="宋体"/>
                <w:sz w:val="24"/>
              </w:rPr>
              <w:t>正常组</w:t>
            </w:r>
            <w:bookmarkEnd w:id="4"/>
          </w:p>
        </w:tc>
        <w:tc>
          <w:tcPr>
            <w:tcW w:w="4786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Times New Roman" w:hAnsi="Times New Roman" w:eastAsia="宋体" w:cs="Times New Roman"/>
                <w:sz w:val="24"/>
              </w:rPr>
            </w:pPr>
            <w:bookmarkStart w:id="5" w:name="_Toc496189894"/>
            <w:r>
              <w:rPr>
                <w:rFonts w:ascii="Times New Roman" w:hAnsi="Times New Roman" w:eastAsia="宋体" w:cs="Times New Roman"/>
                <w:sz w:val="24"/>
              </w:rPr>
              <w:t>38.64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±</w:t>
            </w:r>
            <w:r>
              <w:rPr>
                <w:rFonts w:ascii="Times New Roman" w:hAnsi="Times New Roman" w:eastAsia="宋体" w:cs="Times New Roman"/>
                <w:sz w:val="24"/>
              </w:rPr>
              <w:t>4.42</w:t>
            </w:r>
            <w:bookmarkEnd w:id="5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bookmarkStart w:id="6" w:name="_Toc784547157"/>
            <w:r>
              <w:rPr>
                <w:rFonts w:ascii="宋体" w:hAnsi="宋体" w:eastAsia="宋体" w:cs="宋体"/>
                <w:sz w:val="24"/>
              </w:rPr>
              <w:t>模型组</w:t>
            </w:r>
            <w:bookmarkEnd w:id="6"/>
          </w:p>
        </w:tc>
        <w:tc>
          <w:tcPr>
            <w:tcW w:w="4786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Times New Roman" w:hAnsi="Times New Roman" w:eastAsia="宋体" w:cs="Times New Roman"/>
                <w:sz w:val="24"/>
              </w:rPr>
            </w:pPr>
            <w:bookmarkStart w:id="7" w:name="_Toc334475119"/>
            <w:r>
              <w:rPr>
                <w:rFonts w:ascii="Times New Roman" w:hAnsi="Times New Roman" w:eastAsia="宋体" w:cs="Times New Roman"/>
                <w:sz w:val="24"/>
              </w:rPr>
              <w:t>83.96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±</w:t>
            </w:r>
            <w:r>
              <w:rPr>
                <w:rFonts w:ascii="Times New Roman" w:hAnsi="Times New Roman" w:eastAsia="宋体" w:cs="Times New Roman"/>
                <w:sz w:val="24"/>
              </w:rPr>
              <w:t>3.14</w:t>
            </w:r>
            <w:r>
              <w:rPr>
                <w:rFonts w:ascii="Times New Roman" w:hAnsi="Times New Roman" w:eastAsia="宋体" w:cs="Times New Roman"/>
                <w:sz w:val="24"/>
                <w:vertAlign w:val="superscript"/>
              </w:rPr>
              <w:t>a</w:t>
            </w:r>
            <w:bookmarkEnd w:id="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bookmarkStart w:id="8" w:name="_Toc1558620834"/>
            <w:r>
              <w:rPr>
                <w:rFonts w:hint="eastAsia" w:ascii="宋体" w:hAnsi="宋体" w:eastAsia="宋体" w:cs="宋体"/>
                <w:sz w:val="24"/>
              </w:rPr>
              <w:t>高剂量黄酮组</w:t>
            </w:r>
            <w:bookmarkEnd w:id="8"/>
          </w:p>
        </w:tc>
        <w:tc>
          <w:tcPr>
            <w:tcW w:w="4786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Times New Roman" w:hAnsi="Times New Roman" w:eastAsia="宋体" w:cs="Times New Roman"/>
                <w:sz w:val="24"/>
              </w:rPr>
            </w:pPr>
            <w:bookmarkStart w:id="9" w:name="_Toc734830932"/>
            <w:r>
              <w:rPr>
                <w:rFonts w:ascii="Times New Roman" w:hAnsi="Times New Roman" w:eastAsia="宋体" w:cs="Times New Roman"/>
                <w:sz w:val="24"/>
              </w:rPr>
              <w:t>49.77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±</w:t>
            </w:r>
            <w:r>
              <w:rPr>
                <w:rFonts w:ascii="Times New Roman" w:hAnsi="Times New Roman" w:eastAsia="宋体" w:cs="Times New Roman"/>
                <w:sz w:val="24"/>
              </w:rPr>
              <w:t>1.73</w:t>
            </w:r>
            <w:r>
              <w:rPr>
                <w:rFonts w:ascii="Times New Roman" w:hAnsi="Times New Roman" w:eastAsia="宋体" w:cs="Times New Roman"/>
                <w:sz w:val="24"/>
                <w:vertAlign w:val="superscript"/>
              </w:rPr>
              <w:t>ac</w:t>
            </w:r>
            <w:bookmarkEnd w:id="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bookmarkStart w:id="10" w:name="_Toc125020227"/>
            <w:r>
              <w:rPr>
                <w:rFonts w:hint="eastAsia" w:ascii="宋体" w:hAnsi="宋体" w:eastAsia="宋体" w:cs="宋体"/>
                <w:sz w:val="24"/>
              </w:rPr>
              <w:t>低剂量黄酮组</w:t>
            </w:r>
            <w:bookmarkEnd w:id="10"/>
          </w:p>
        </w:tc>
        <w:tc>
          <w:tcPr>
            <w:tcW w:w="4786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Times New Roman" w:hAnsi="Times New Roman" w:eastAsia="宋体" w:cs="Times New Roman"/>
                <w:sz w:val="24"/>
              </w:rPr>
            </w:pPr>
            <w:bookmarkStart w:id="11" w:name="_Toc975948423"/>
            <w:r>
              <w:rPr>
                <w:rFonts w:ascii="Times New Roman" w:hAnsi="Times New Roman" w:eastAsia="宋体" w:cs="Times New Roman"/>
                <w:sz w:val="24"/>
              </w:rPr>
              <w:t>50.90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±</w:t>
            </w:r>
            <w:r>
              <w:rPr>
                <w:rFonts w:ascii="Times New Roman" w:hAnsi="Times New Roman" w:eastAsia="宋体" w:cs="Times New Roman"/>
                <w:sz w:val="24"/>
              </w:rPr>
              <w:t>2.45</w:t>
            </w:r>
            <w:r>
              <w:rPr>
                <w:rFonts w:ascii="Times New Roman" w:hAnsi="Times New Roman" w:eastAsia="宋体" w:cs="Times New Roman"/>
                <w:sz w:val="24"/>
                <w:vertAlign w:val="superscript"/>
              </w:rPr>
              <w:t>ace</w:t>
            </w:r>
            <w:bookmarkEnd w:id="11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宋体" w:hAnsi="宋体" w:eastAsia="宋体" w:cs="宋体"/>
                <w:sz w:val="24"/>
              </w:rPr>
            </w:pPr>
            <w:bookmarkStart w:id="12" w:name="_Toc285049575"/>
            <w:r>
              <w:rPr>
                <w:rFonts w:ascii="宋体" w:hAnsi="宋体" w:cs="宋体"/>
                <w:sz w:val="24"/>
              </w:rPr>
              <w:t>利巴韦林组</w:t>
            </w:r>
            <w:bookmarkEnd w:id="12"/>
          </w:p>
        </w:tc>
        <w:tc>
          <w:tcPr>
            <w:tcW w:w="4786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400" w:lineRule="exact"/>
              <w:jc w:val="center"/>
              <w:outlineLvl w:val="2"/>
              <w:rPr>
                <w:rFonts w:ascii="Times New Roman" w:hAnsi="Times New Roman" w:eastAsia="宋体" w:cs="Times New Roman"/>
                <w:sz w:val="24"/>
              </w:rPr>
            </w:pPr>
            <w:bookmarkStart w:id="13" w:name="_Toc1939674215"/>
            <w:r>
              <w:rPr>
                <w:rFonts w:ascii="Times New Roman" w:hAnsi="Times New Roman" w:eastAsia="宋体" w:cs="Times New Roman"/>
                <w:sz w:val="24"/>
              </w:rPr>
              <w:t>69.91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±</w:t>
            </w:r>
            <w:r>
              <w:rPr>
                <w:rFonts w:ascii="Times New Roman" w:hAnsi="Times New Roman" w:eastAsia="宋体" w:cs="Times New Roman"/>
                <w:sz w:val="24"/>
              </w:rPr>
              <w:t>3.02</w:t>
            </w:r>
            <w:r>
              <w:rPr>
                <w:rFonts w:ascii="Times New Roman" w:hAnsi="Times New Roman" w:eastAsia="宋体" w:cs="Times New Roman"/>
                <w:sz w:val="24"/>
                <w:vertAlign w:val="superscript"/>
              </w:rPr>
              <w:t>acdg</w:t>
            </w:r>
            <w:bookmarkEnd w:id="13"/>
          </w:p>
        </w:tc>
      </w:tr>
    </w:tbl>
    <w:p>
      <w:pPr>
        <w:adjustRightInd w:val="0"/>
        <w:snapToGrid w:val="0"/>
        <w:spacing w:line="400" w:lineRule="exact"/>
        <w:ind w:firstLine="420"/>
        <w:jc w:val="left"/>
        <w:outlineLvl w:val="2"/>
        <w:rPr>
          <w:rFonts w:ascii="宋体" w:hAnsi="宋体" w:eastAsia="宋体" w:cs="宋体"/>
          <w:sz w:val="24"/>
        </w:rPr>
      </w:pPr>
      <w:bookmarkStart w:id="14" w:name="_Toc1302770045"/>
      <w:r>
        <w:rPr>
          <w:rFonts w:ascii="Times New Roman" w:hAnsi="Times New Roman" w:eastAsia="宋体" w:cs="Times New Roman"/>
          <w:sz w:val="24"/>
        </w:rPr>
        <w:t>a：在与正常组数值的比较，有差异（</w:t>
      </w:r>
      <w:r>
        <w:rPr>
          <w:rFonts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</w:t>
      </w:r>
      <w:r>
        <w:rPr>
          <w:rFonts w:ascii="Times New Roman" w:hAnsi="Times New Roman" w:eastAsia="宋体" w:cs="Times New Roman"/>
          <w:sz w:val="24"/>
        </w:rPr>
        <w:t>5），否则为b；c：与模型组比较，出现差异（</w:t>
      </w:r>
      <w:r>
        <w:rPr>
          <w:rFonts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</w:t>
      </w:r>
      <w:r>
        <w:rPr>
          <w:rFonts w:ascii="Times New Roman" w:hAnsi="Times New Roman" w:eastAsia="宋体" w:cs="Times New Roman"/>
          <w:sz w:val="24"/>
        </w:rPr>
        <w:t>5）；对于给药组而言，与高剂量黄酮组比较，有意义为d（</w:t>
      </w:r>
      <w:r>
        <w:rPr>
          <w:rFonts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</w:t>
      </w:r>
      <w:r>
        <w:rPr>
          <w:rFonts w:ascii="Times New Roman" w:hAnsi="Times New Roman" w:eastAsia="宋体" w:cs="Times New Roman"/>
          <w:sz w:val="24"/>
        </w:rPr>
        <w:t>5），反之为e；与之相类似的是：与低剂量比较，无差异（</w:t>
      </w:r>
      <w:r>
        <w:rPr>
          <w:rFonts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</w:t>
      </w:r>
      <w:r>
        <w:rPr>
          <w:rFonts w:ascii="Times New Roman" w:hAnsi="Times New Roman" w:eastAsia="宋体" w:cs="Times New Roman"/>
          <w:sz w:val="24"/>
        </w:rPr>
        <w:t>5）为f，相反则为g；</w:t>
      </w:r>
      <w:bookmarkEnd w:id="14"/>
    </w:p>
    <w:p>
      <w:pPr>
        <w:adjustRightInd w:val="0"/>
        <w:snapToGrid w:val="0"/>
        <w:jc w:val="center"/>
        <w:outlineLvl w:val="2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114300" distR="114300">
            <wp:extent cx="3011805" cy="3185160"/>
            <wp:effectExtent l="0" t="0" r="10795" b="2540"/>
            <wp:docPr id="3" name="图片 3" descr="IL-6肺组织--xy--xiugai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L-6肺组织--xy--xiugai-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400" w:lineRule="exact"/>
        <w:jc w:val="center"/>
        <w:outlineLvl w:val="2"/>
        <w:rPr>
          <w:rFonts w:ascii="宋体" w:hAnsi="宋体" w:eastAsia="宋体" w:cs="宋体"/>
          <w:sz w:val="24"/>
        </w:rPr>
      </w:pPr>
      <w:bookmarkStart w:id="15" w:name="_Toc383268175"/>
      <w:r>
        <w:rPr>
          <w:rFonts w:ascii="宋体" w:hAnsi="宋体" w:eastAsia="宋体" w:cs="宋体"/>
          <w:sz w:val="24"/>
        </w:rPr>
        <w:t>图</w:t>
      </w:r>
      <w:r>
        <w:rPr>
          <w:rFonts w:ascii="Times New Roman" w:hAnsi="Times New Roman" w:cs="Times New Roman"/>
          <w:sz w:val="24"/>
        </w:rPr>
        <w:t>2-2  各实验组IL-6</w:t>
      </w:r>
      <w:r>
        <w:rPr>
          <w:rFonts w:hint="eastAsia" w:ascii="Times New Roman" w:hAnsi="Times New Roman" w:eastAsia="宋体" w:cs="Times New Roman"/>
          <w:sz w:val="24"/>
        </w:rPr>
        <w:t>表达水平</w:t>
      </w:r>
      <w:r>
        <w:rPr>
          <w:rFonts w:ascii="Times New Roman" w:hAnsi="Times New Roman" w:cs="Times New Roman"/>
          <w:sz w:val="24"/>
        </w:rPr>
        <w:t>比较</w:t>
      </w:r>
      <w:bookmarkEnd w:id="15"/>
    </w:p>
    <w:p>
      <w:pPr>
        <w:adjustRightInd w:val="0"/>
        <w:snapToGrid w:val="0"/>
        <w:spacing w:line="400" w:lineRule="exact"/>
        <w:jc w:val="left"/>
        <w:outlineLvl w:val="2"/>
        <w:rPr>
          <w:rFonts w:ascii="黑体" w:eastAsia="黑体"/>
          <w:sz w:val="24"/>
        </w:rPr>
      </w:pPr>
      <w:bookmarkStart w:id="16" w:name="_Toc1284759872"/>
      <w:r>
        <w:rPr>
          <w:rFonts w:hint="eastAsia" w:ascii="黑体" w:eastAsia="黑体"/>
          <w:sz w:val="24"/>
        </w:rPr>
        <w:t>3.</w:t>
      </w:r>
      <w:r>
        <w:rPr>
          <w:rFonts w:ascii="黑体" w:eastAsia="黑体"/>
          <w:sz w:val="24"/>
        </w:rPr>
        <w:t>6</w:t>
      </w:r>
      <w:r>
        <w:rPr>
          <w:rFonts w:hint="eastAsia"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>目标蛋白</w:t>
      </w:r>
      <w:r>
        <w:rPr>
          <w:rFonts w:hint="eastAsia" w:ascii="黑体" w:eastAsia="黑体"/>
          <w:sz w:val="24"/>
        </w:rPr>
        <w:t>mRNA</w:t>
      </w:r>
      <w:r>
        <w:rPr>
          <w:rFonts w:ascii="黑体" w:eastAsia="黑体"/>
          <w:sz w:val="24"/>
        </w:rPr>
        <w:t>比较</w:t>
      </w:r>
      <w:bookmarkEnd w:id="16"/>
    </w:p>
    <w:p>
      <w:pPr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同</w:t>
      </w:r>
      <w:r>
        <w:rPr>
          <w:rFonts w:ascii="宋体" w:hAnsi="宋体" w:eastAsia="宋体" w:cs="宋体"/>
          <w:sz w:val="24"/>
        </w:rPr>
        <w:t>正常</w:t>
      </w:r>
      <w:r>
        <w:rPr>
          <w:rFonts w:hint="eastAsia" w:ascii="宋体" w:hAnsi="宋体" w:eastAsia="宋体" w:cs="宋体"/>
          <w:sz w:val="24"/>
        </w:rPr>
        <w:t>组</w:t>
      </w:r>
      <w:r>
        <w:rPr>
          <w:rFonts w:ascii="宋体" w:hAnsi="宋体" w:eastAsia="宋体" w:cs="宋体"/>
          <w:sz w:val="24"/>
        </w:rPr>
        <w:t>相比</w:t>
      </w:r>
      <w:r>
        <w:rPr>
          <w:rFonts w:hint="eastAsia" w:ascii="宋体" w:hAnsi="宋体" w:eastAsia="宋体" w:cs="宋体"/>
          <w:sz w:val="24"/>
        </w:rPr>
        <w:t>，模型组</w:t>
      </w:r>
      <w:r>
        <w:rPr>
          <w:rFonts w:ascii="宋体" w:hAnsi="宋体" w:eastAsia="宋体" w:cs="宋体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 mRNA明显升高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；同模型组比较，给药组的目标蛋白的mRNA均降低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，高低剂量黄酮之间，并</w:t>
      </w:r>
      <w:r>
        <w:rPr>
          <w:rFonts w:ascii="Times New Roman" w:hAnsi="Times New Roman" w:eastAsia="宋体" w:cs="Times New Roman"/>
          <w:sz w:val="24"/>
        </w:rPr>
        <w:t>没有显示出</w:t>
      </w:r>
      <w:r>
        <w:rPr>
          <w:rFonts w:hint="eastAsia" w:ascii="Times New Roman" w:hAnsi="Times New Roman" w:eastAsia="宋体" w:cs="Times New Roman"/>
          <w:sz w:val="24"/>
        </w:rPr>
        <w:t>统计学差异(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&gt;0.05)。见</w:t>
      </w:r>
      <w:r>
        <w:rPr>
          <w:rFonts w:ascii="Times New Roman" w:hAnsi="Times New Roman" w:eastAsia="宋体" w:cs="Times New Roman"/>
          <w:sz w:val="24"/>
        </w:rPr>
        <w:t>图2-3，</w:t>
      </w:r>
      <w:r>
        <w:rPr>
          <w:rFonts w:hint="eastAsia" w:ascii="Times New Roman" w:hAnsi="Times New Roman" w:eastAsia="宋体" w:cs="Times New Roman"/>
          <w:sz w:val="24"/>
        </w:rPr>
        <w:t>表2-2。</w:t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表2-2  各实验组</w:t>
      </w:r>
      <w:r>
        <w:rPr>
          <w:rFonts w:hint="eastAsia" w:ascii="Times New Roman" w:hAnsi="Times New Roman" w:eastAsia="宋体" w:cs="Times New Roman"/>
          <w:sz w:val="24"/>
        </w:rPr>
        <w:t>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</w:t>
      </w:r>
      <w:r>
        <w:rPr>
          <w:rFonts w:ascii="Times New Roman" w:hAnsi="Times New Roman" w:eastAsia="宋体" w:cs="Times New Roman"/>
          <w:sz w:val="24"/>
        </w:rPr>
        <w:t xml:space="preserve"> mRNA</w:t>
      </w:r>
      <w:r>
        <w:rPr>
          <w:rFonts w:hint="eastAsia" w:ascii="Times New Roman" w:hAnsi="Times New Roman" w:eastAsia="宋体" w:cs="Times New Roman"/>
          <w:sz w:val="24"/>
        </w:rPr>
        <w:t>表达水平</w:t>
      </w:r>
      <w:r>
        <w:rPr>
          <w:rFonts w:ascii="Times New Roman" w:hAnsi="Times New Roman" w:cs="Times New Roman"/>
          <w:sz w:val="24"/>
        </w:rPr>
        <w:t>比较（</w:t>
      </w:r>
      <w:r>
        <w:rPr>
          <w:rFonts w:ascii="Times New Roman" w:hAnsi="Times New Roman" w:eastAsia="宋体" w:cs="Times New Roman"/>
          <w:i/>
          <w:iCs/>
          <w:sz w:val="24"/>
        </w:rPr>
        <w:fldChar w:fldCharType="begin"/>
      </w:r>
      <w:r>
        <w:rPr>
          <w:rFonts w:ascii="Times New Roman" w:hAnsi="Times New Roman" w:eastAsia="宋体" w:cs="Times New Roman"/>
          <w:i/>
          <w:iCs/>
          <w:sz w:val="24"/>
        </w:rPr>
        <w:instrText xml:space="preserve">EQ \* jc2 \* hps10 \o\ad(\s\up 9(—),x)</w:instrText>
      </w:r>
      <w:r>
        <w:rPr>
          <w:rFonts w:ascii="Times New Roman" w:hAnsi="Times New Roman" w:eastAsia="宋体" w:cs="Times New Roman"/>
          <w:i/>
          <w:iCs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>±</w:t>
      </w:r>
      <w:r>
        <w:rPr>
          <w:rFonts w:ascii="Times New Roman" w:hAnsi="Times New Roman" w:eastAsia="宋体" w:cs="Times New Roman"/>
          <w:i/>
          <w:iCs/>
          <w:sz w:val="24"/>
        </w:rPr>
        <w:t>s</w:t>
      </w:r>
      <w:r>
        <w:rPr>
          <w:rFonts w:ascii="Times New Roman" w:hAnsi="Times New Roman" w:cs="Times New Roman"/>
          <w:sz w:val="24"/>
        </w:rPr>
        <w:t>）</w:t>
      </w:r>
    </w:p>
    <w:tbl>
      <w:tblPr>
        <w:tblStyle w:val="6"/>
        <w:tblW w:w="98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2455"/>
        <w:gridCol w:w="2455"/>
        <w:gridCol w:w="245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453" w:type="dxa"/>
            <w:tcBorders>
              <w:bottom w:val="single" w:color="auto" w:sz="4" w:space="0"/>
            </w:tcBorders>
          </w:tcPr>
          <w:p>
            <w:pPr>
              <w:snapToGrid w:val="0"/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组别</w:t>
            </w:r>
          </w:p>
        </w:tc>
        <w:tc>
          <w:tcPr>
            <w:tcW w:w="2455" w:type="dxa"/>
            <w:tcBorders>
              <w:bottom w:val="single" w:color="auto" w:sz="4" w:space="0"/>
            </w:tcBorders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PI3K</w:t>
            </w:r>
          </w:p>
        </w:tc>
        <w:tc>
          <w:tcPr>
            <w:tcW w:w="2455" w:type="dxa"/>
            <w:tcBorders>
              <w:bottom w:val="single" w:color="auto" w:sz="4" w:space="0"/>
            </w:tcBorders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AKT</w:t>
            </w:r>
          </w:p>
        </w:tc>
        <w:tc>
          <w:tcPr>
            <w:tcW w:w="2455" w:type="dxa"/>
            <w:tcBorders>
              <w:bottom w:val="single" w:color="auto" w:sz="4" w:space="0"/>
            </w:tcBorders>
          </w:tcPr>
          <w:p>
            <w:pPr>
              <w:snapToGrid w:val="0"/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NF-</w:t>
            </w:r>
            <w:r>
              <w:rPr>
                <w:rFonts w:ascii="Times New Roman" w:hAnsi="Times New Roman" w:eastAsia="宋体" w:cs="Times New Roman"/>
                <w:sz w:val="24"/>
              </w:rPr>
              <w:t>κ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Bp65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45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正常组</w:t>
            </w:r>
          </w:p>
        </w:tc>
        <w:tc>
          <w:tcPr>
            <w:tcW w:w="245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1.00±0.00</w:t>
            </w:r>
          </w:p>
        </w:tc>
        <w:tc>
          <w:tcPr>
            <w:tcW w:w="245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1.00±0.00</w:t>
            </w:r>
          </w:p>
        </w:tc>
        <w:tc>
          <w:tcPr>
            <w:tcW w:w="245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1.00±0.00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模型组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6.75±1.81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4.42±1.56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155.28±4.49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高剂量黄酮组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1.20±0.46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1.17±0.08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10.23±0.73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4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低剂量黄酮组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1.70±0.43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1.23±0.05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13.31±2.06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利巴韦林组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1.71±0.58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bcef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1.11±0.30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bcef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00" w:lineRule="auto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6.07±8.91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bceg</w:t>
            </w:r>
          </w:p>
        </w:tc>
      </w:tr>
    </w:tbl>
    <w:p>
      <w:pPr>
        <w:spacing w:line="400" w:lineRule="atLeast"/>
        <w:rPr>
          <w:rFonts w:ascii="宋体" w:hAnsi="宋体" w:eastAsia="宋体" w:cs="宋体"/>
          <w:sz w:val="24"/>
        </w:rPr>
      </w:pPr>
    </w:p>
    <w:p>
      <w:pPr>
        <w:spacing w:line="300" w:lineRule="auto"/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572510" cy="3667760"/>
            <wp:effectExtent l="0" t="0" r="8890" b="2540"/>
            <wp:docPr id="4" name="图片 4" descr="00--Graphpad做图--定稿啦--10号字修改后 2--补齐了缺失的PI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--Graphpad做图--定稿啦--10号字修改后 2--补齐了缺失的PI3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sz w:val="24"/>
        </w:rPr>
        <w:t>图</w:t>
      </w:r>
      <w:r>
        <w:rPr>
          <w:rFonts w:ascii="Times New Roman" w:hAnsi="Times New Roman" w:cs="Times New Roman"/>
          <w:sz w:val="24"/>
        </w:rPr>
        <w:t>2-3  各实验组</w:t>
      </w:r>
      <w:r>
        <w:rPr>
          <w:rFonts w:hint="eastAsia" w:ascii="Times New Roman" w:hAnsi="Times New Roman" w:eastAsia="宋体" w:cs="Times New Roman"/>
          <w:sz w:val="24"/>
        </w:rPr>
        <w:t>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</w:t>
      </w:r>
      <w:r>
        <w:rPr>
          <w:rFonts w:ascii="Times New Roman" w:hAnsi="Times New Roman" w:eastAsia="宋体" w:cs="Times New Roman"/>
          <w:sz w:val="24"/>
        </w:rPr>
        <w:t xml:space="preserve"> mRNA</w:t>
      </w:r>
      <w:r>
        <w:rPr>
          <w:rFonts w:hint="eastAsia" w:ascii="Times New Roman" w:hAnsi="Times New Roman" w:eastAsia="宋体" w:cs="Times New Roman"/>
          <w:sz w:val="24"/>
        </w:rPr>
        <w:t>表达水平</w:t>
      </w:r>
      <w:r>
        <w:rPr>
          <w:rFonts w:ascii="Times New Roman" w:hAnsi="Times New Roman" w:cs="Times New Roman"/>
          <w:sz w:val="24"/>
        </w:rPr>
        <w:t>比较</w:t>
      </w:r>
    </w:p>
    <w:p>
      <w:pPr>
        <w:adjustRightInd w:val="0"/>
        <w:snapToGrid w:val="0"/>
        <w:spacing w:line="400" w:lineRule="atLeast"/>
        <w:jc w:val="left"/>
        <w:outlineLvl w:val="2"/>
        <w:rPr>
          <w:rFonts w:ascii="黑体" w:eastAsia="黑体"/>
          <w:sz w:val="24"/>
        </w:rPr>
      </w:pPr>
      <w:bookmarkStart w:id="17" w:name="_Toc501572059"/>
      <w:bookmarkStart w:id="18" w:name="_Toc1531808196"/>
      <w:bookmarkStart w:id="19" w:name="_Toc149015983"/>
      <w:bookmarkStart w:id="20" w:name="_Toc693292806"/>
      <w:bookmarkStart w:id="21" w:name="_Toc1277272208"/>
      <w:bookmarkStart w:id="22" w:name="_Toc520150773"/>
      <w:bookmarkStart w:id="23" w:name="_Toc48021240"/>
      <w:bookmarkStart w:id="24" w:name="_Toc879590184"/>
      <w:bookmarkStart w:id="25" w:name="_Toc1365461780"/>
      <w:bookmarkStart w:id="26" w:name="_Toc11098119"/>
      <w:r>
        <w:rPr>
          <w:rFonts w:hint="eastAsia" w:ascii="黑体" w:eastAsia="黑体"/>
          <w:sz w:val="24"/>
        </w:rPr>
        <w:t>3.</w:t>
      </w:r>
      <w:r>
        <w:rPr>
          <w:rFonts w:ascii="黑体" w:eastAsia="黑体"/>
          <w:sz w:val="24"/>
        </w:rPr>
        <w:t>7</w:t>
      </w:r>
      <w:r>
        <w:rPr>
          <w:rFonts w:hint="eastAsia"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>免疫组化法测</w:t>
      </w:r>
      <w:r>
        <w:rPr>
          <w:rFonts w:hint="eastAsia" w:ascii="黑体" w:eastAsia="黑体"/>
          <w:sz w:val="24"/>
        </w:rPr>
        <w:t>蛋白</w:t>
      </w:r>
      <w:r>
        <w:rPr>
          <w:rFonts w:ascii="黑体" w:eastAsia="黑体"/>
          <w:sz w:val="24"/>
        </w:rPr>
        <w:t>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spacing w:line="400" w:lineRule="atLeast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同正常</w:t>
      </w:r>
      <w:r>
        <w:rPr>
          <w:rFonts w:hint="eastAsia" w:ascii="Times New Roman" w:hAnsi="Times New Roman" w:eastAsia="宋体" w:cs="Times New Roman"/>
          <w:sz w:val="24"/>
        </w:rPr>
        <w:t>组比较，模型组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</w:t>
      </w:r>
      <w:r>
        <w:rPr>
          <w:rFonts w:ascii="Times New Roman" w:hAnsi="Times New Roman" w:eastAsia="宋体" w:cs="Times New Roman"/>
          <w:sz w:val="24"/>
        </w:rPr>
        <w:t>的表达明显升高（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</w:t>
      </w:r>
      <w:r>
        <w:rPr>
          <w:rFonts w:ascii="Times New Roman" w:hAnsi="Times New Roman" w:eastAsia="宋体" w:cs="Times New Roman"/>
          <w:sz w:val="24"/>
        </w:rPr>
        <w:t>5）；同模型组比较，给药组的</w:t>
      </w:r>
      <w:r>
        <w:rPr>
          <w:rFonts w:ascii="宋体" w:hAnsi="宋体" w:eastAsia="宋体" w:cs="宋体"/>
          <w:sz w:val="24"/>
        </w:rPr>
        <w:t>目标蛋白</w:t>
      </w:r>
      <w:r>
        <w:rPr>
          <w:rFonts w:ascii="Times New Roman" w:hAnsi="Times New Roman" w:eastAsia="宋体" w:cs="Times New Roman"/>
          <w:sz w:val="24"/>
        </w:rPr>
        <w:t>表达均降低（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</w:t>
      </w:r>
      <w:r>
        <w:rPr>
          <w:rFonts w:ascii="Times New Roman" w:hAnsi="Times New Roman" w:eastAsia="宋体" w:cs="Times New Roman"/>
          <w:sz w:val="24"/>
        </w:rPr>
        <w:t>5）；</w:t>
      </w:r>
      <w:r>
        <w:rPr>
          <w:rFonts w:ascii="宋体" w:hAnsi="宋体" w:eastAsia="宋体" w:cs="宋体"/>
          <w:sz w:val="24"/>
        </w:rPr>
        <w:t>高低剂量黄酮之间，</w:t>
      </w:r>
      <w:r>
        <w:rPr>
          <w:rFonts w:hint="eastAsia" w:ascii="Times New Roman" w:hAnsi="Times New Roman" w:eastAsia="宋体" w:cs="Times New Roman"/>
          <w:sz w:val="24"/>
        </w:rPr>
        <w:t>并</w:t>
      </w:r>
      <w:r>
        <w:rPr>
          <w:rFonts w:ascii="Times New Roman" w:hAnsi="Times New Roman" w:eastAsia="宋体" w:cs="Times New Roman"/>
          <w:sz w:val="24"/>
        </w:rPr>
        <w:t>没有显示出</w:t>
      </w:r>
      <w:r>
        <w:rPr>
          <w:rFonts w:hint="eastAsia" w:ascii="Times New Roman" w:hAnsi="Times New Roman" w:eastAsia="宋体" w:cs="Times New Roman"/>
          <w:sz w:val="24"/>
        </w:rPr>
        <w:t>统计学差异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。见图2-4，表</w:t>
      </w:r>
      <w:r>
        <w:rPr>
          <w:rFonts w:ascii="Times New Roman" w:hAnsi="Times New Roman" w:eastAsia="宋体" w:cs="Times New Roman"/>
          <w:sz w:val="24"/>
        </w:rPr>
        <w:t>2-3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napToGrid w:val="0"/>
        <w:spacing w:line="40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表2-3  各实验组组</w:t>
      </w:r>
      <w:r>
        <w:rPr>
          <w:rFonts w:hint="eastAsia" w:ascii="Times New Roman" w:hAnsi="Times New Roman" w:eastAsia="宋体" w:cs="Times New Roman"/>
          <w:sz w:val="24"/>
        </w:rPr>
        <w:t>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Bp65蛋白表达水平</w:t>
      </w:r>
      <w:r>
        <w:rPr>
          <w:rFonts w:ascii="Times New Roman" w:hAnsi="Times New Roman" w:cs="Times New Roman"/>
          <w:sz w:val="24"/>
        </w:rPr>
        <w:t>比较（</w:t>
      </w:r>
      <w:r>
        <w:rPr>
          <w:rFonts w:ascii="Times New Roman" w:hAnsi="Times New Roman" w:eastAsia="宋体" w:cs="Times New Roman"/>
          <w:i/>
          <w:iCs/>
          <w:sz w:val="24"/>
        </w:rPr>
        <w:fldChar w:fldCharType="begin"/>
      </w:r>
      <w:r>
        <w:rPr>
          <w:rFonts w:ascii="Times New Roman" w:hAnsi="Times New Roman" w:eastAsia="宋体" w:cs="Times New Roman"/>
          <w:i/>
          <w:iCs/>
          <w:sz w:val="24"/>
        </w:rPr>
        <w:instrText xml:space="preserve">EQ \* jc2 \* hps10 \o\ad(\s\up 9(—),x)</w:instrText>
      </w:r>
      <w:r>
        <w:rPr>
          <w:rFonts w:ascii="Times New Roman" w:hAnsi="Times New Roman" w:eastAsia="宋体" w:cs="Times New Roman"/>
          <w:i/>
          <w:iCs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>±</w:t>
      </w:r>
      <w:r>
        <w:rPr>
          <w:rFonts w:ascii="Times New Roman" w:hAnsi="Times New Roman" w:eastAsia="宋体" w:cs="Times New Roman"/>
          <w:i/>
          <w:iCs/>
          <w:sz w:val="24"/>
        </w:rPr>
        <w:t>s</w:t>
      </w:r>
      <w:r>
        <w:rPr>
          <w:rFonts w:ascii="Times New Roman" w:hAnsi="Times New Roman" w:eastAsia="宋体" w:cs="Times New Roman"/>
          <w:iCs/>
          <w:sz w:val="24"/>
        </w:rPr>
        <w:t>）</w:t>
      </w:r>
    </w:p>
    <w:tbl>
      <w:tblPr>
        <w:tblStyle w:val="6"/>
        <w:tblW w:w="965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2415"/>
        <w:gridCol w:w="2415"/>
        <w:gridCol w:w="24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snapToGrid w:val="0"/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组别</w:t>
            </w:r>
          </w:p>
        </w:tc>
        <w:tc>
          <w:tcPr>
            <w:tcW w:w="2415" w:type="dxa"/>
            <w:tcBorders>
              <w:bottom w:val="single" w:color="auto" w:sz="4" w:space="0"/>
            </w:tcBorders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PI3K</w:t>
            </w:r>
          </w:p>
        </w:tc>
        <w:tc>
          <w:tcPr>
            <w:tcW w:w="2415" w:type="dxa"/>
            <w:tcBorders>
              <w:bottom w:val="single" w:color="auto" w:sz="4" w:space="0"/>
            </w:tcBorders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AKT</w:t>
            </w:r>
          </w:p>
        </w:tc>
        <w:tc>
          <w:tcPr>
            <w:tcW w:w="2415" w:type="dxa"/>
            <w:tcBorders>
              <w:bottom w:val="single" w:color="auto" w:sz="4" w:space="0"/>
            </w:tcBorders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NF-</w:t>
            </w:r>
            <w:r>
              <w:rPr>
                <w:rFonts w:ascii="Times New Roman" w:hAnsi="Times New Roman" w:eastAsia="宋体" w:cs="Times New Roman"/>
                <w:sz w:val="24"/>
              </w:rPr>
              <w:t>κ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Bp65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41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正常组</w:t>
            </w:r>
          </w:p>
        </w:tc>
        <w:tc>
          <w:tcPr>
            <w:tcW w:w="241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20.55±6.13</w:t>
            </w:r>
          </w:p>
        </w:tc>
        <w:tc>
          <w:tcPr>
            <w:tcW w:w="241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30.69±17.75</w:t>
            </w:r>
          </w:p>
        </w:tc>
        <w:tc>
          <w:tcPr>
            <w:tcW w:w="241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20.76±6.78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模型组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67.72±17.88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109.28±62.19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113.77±50.35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高剂量黄酮组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28.68±7.67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47.67±17.91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43.83±17.75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低剂量黄酮组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39.13±14.31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acd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41.65±16.46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67.47±20.76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利巴韦林组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42.26±13.86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acdf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42.78±16.28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bcef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62.25±24.67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acef</w:t>
            </w:r>
          </w:p>
        </w:tc>
      </w:tr>
    </w:tbl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a：在与正常组数值的比较，有差异（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&lt;0.05），否则为b；c：与模型组比较，出现差异（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&lt;0.05）；对于给药组而言，与高剂量黄酮组比较，有意义为d（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&lt;0.05），反之为e；与之相类似的是：与低剂量比较，无差异（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&gt;0.05）为f，相反则为g；</w:t>
      </w:r>
    </w:p>
    <w:p/>
    <w:p/>
    <w:p>
      <w:pPr>
        <w:adjustRightInd w:val="0"/>
        <w:snapToGrid w:val="0"/>
        <w:spacing w:line="400" w:lineRule="exact"/>
        <w:jc w:val="left"/>
        <w:outlineLvl w:val="2"/>
        <w:rPr>
          <w:rFonts w:ascii="黑体" w:eastAsia="黑体"/>
          <w:sz w:val="24"/>
        </w:rPr>
      </w:pPr>
      <w:bookmarkStart w:id="27" w:name="_Toc1915598521"/>
      <w:bookmarkStart w:id="28" w:name="_Toc1066389936"/>
      <w:bookmarkStart w:id="29" w:name="_Toc2073405467"/>
      <w:bookmarkStart w:id="30" w:name="_Toc1305884618"/>
      <w:bookmarkStart w:id="31" w:name="_Toc2142280187"/>
      <w:bookmarkStart w:id="32" w:name="_Toc545693879"/>
      <w:bookmarkStart w:id="33" w:name="_Toc867464444"/>
      <w:bookmarkStart w:id="34" w:name="_Toc1786613055"/>
      <w:bookmarkStart w:id="35" w:name="_Toc1048281138"/>
      <w:bookmarkStart w:id="36" w:name="_Toc1842492391"/>
      <w:r>
        <w:rPr>
          <w:rFonts w:hint="eastAsia" w:ascii="黑体" w:eastAsia="黑体"/>
          <w:sz w:val="24"/>
        </w:rPr>
        <w:t>3.</w:t>
      </w:r>
      <w:r>
        <w:rPr>
          <w:rFonts w:ascii="黑体" w:eastAsia="黑体"/>
          <w:sz w:val="24"/>
        </w:rPr>
        <w:t>8</w:t>
      </w:r>
      <w:r>
        <w:rPr>
          <w:rFonts w:hint="eastAsia"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>免疫印迹法测</w:t>
      </w:r>
      <w:r>
        <w:rPr>
          <w:rFonts w:hint="eastAsia" w:ascii="黑体" w:eastAsia="黑体"/>
          <w:sz w:val="24"/>
        </w:rPr>
        <w:t>蛋白</w:t>
      </w:r>
      <w:r>
        <w:rPr>
          <w:rFonts w:ascii="黑体" w:eastAsia="黑体"/>
          <w:sz w:val="24"/>
        </w:rPr>
        <w:t>量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同正常组比较，模型组的PI3K、AKT、NF-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Bp65的表达明显升高（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&lt;0.05）；同模型组比较，给药组的目标蛋白表达均降低（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&lt;0.05）。高低剂量黄酮之间，并</w:t>
      </w:r>
      <w:r>
        <w:rPr>
          <w:rFonts w:ascii="Times New Roman" w:hAnsi="Times New Roman" w:eastAsia="宋体" w:cs="Times New Roman"/>
          <w:sz w:val="24"/>
        </w:rPr>
        <w:t>没有显示出</w:t>
      </w:r>
      <w:r>
        <w:rPr>
          <w:rFonts w:hint="eastAsia" w:ascii="Times New Roman" w:hAnsi="Times New Roman" w:eastAsia="宋体" w:cs="Times New Roman"/>
          <w:sz w:val="24"/>
        </w:rPr>
        <w:t>统计学差异（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&gt;0.05），结果与免疫组化方法接近。见图2-5，表</w:t>
      </w:r>
      <w:r>
        <w:rPr>
          <w:rFonts w:ascii="Times New Roman" w:hAnsi="Times New Roman" w:eastAsia="宋体" w:cs="Times New Roman"/>
          <w:sz w:val="24"/>
        </w:rPr>
        <w:t>2-4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表2-4  各实验组组</w:t>
      </w:r>
      <w:r>
        <w:rPr>
          <w:rFonts w:hint="eastAsia" w:ascii="Times New Roman" w:hAnsi="Times New Roman" w:eastAsia="宋体" w:cs="Times New Roman"/>
          <w:sz w:val="24"/>
        </w:rPr>
        <w:t>PI3K、AKT、NF-</w:t>
      </w:r>
      <w:r>
        <w:rPr>
          <w:rFonts w:ascii="Times New Roman" w:hAnsi="Times New Roman" w:eastAsia="宋体" w:cs="Times New Roman"/>
          <w:sz w:val="24"/>
        </w:rPr>
        <w:t>κ</w:t>
      </w:r>
      <w:r>
        <w:rPr>
          <w:rFonts w:hint="eastAsia" w:ascii="Times New Roman" w:hAnsi="Times New Roman" w:eastAsia="宋体" w:cs="Times New Roman"/>
          <w:sz w:val="24"/>
        </w:rPr>
        <w:t>Bp65蛋白表达水平</w:t>
      </w:r>
      <w:r>
        <w:rPr>
          <w:rFonts w:ascii="Times New Roman" w:hAnsi="Times New Roman" w:cs="Times New Roman"/>
          <w:sz w:val="24"/>
        </w:rPr>
        <w:t>比较（</w:t>
      </w:r>
      <w:r>
        <w:rPr>
          <w:rFonts w:ascii="Times New Roman" w:hAnsi="Times New Roman" w:eastAsia="宋体" w:cs="Times New Roman"/>
          <w:i/>
          <w:iCs/>
          <w:sz w:val="24"/>
        </w:rPr>
        <w:fldChar w:fldCharType="begin"/>
      </w:r>
      <w:r>
        <w:rPr>
          <w:rFonts w:ascii="Times New Roman" w:hAnsi="Times New Roman" w:eastAsia="宋体" w:cs="Times New Roman"/>
          <w:i/>
          <w:iCs/>
          <w:sz w:val="24"/>
        </w:rPr>
        <w:instrText xml:space="preserve">EQ \* jc2 \* hps10 \o\ad(\s\up 9(—),x)</w:instrText>
      </w:r>
      <w:r>
        <w:rPr>
          <w:rFonts w:ascii="Times New Roman" w:hAnsi="Times New Roman" w:eastAsia="宋体" w:cs="Times New Roman"/>
          <w:i/>
          <w:iCs/>
          <w:sz w:val="24"/>
        </w:rPr>
        <w:fldChar w:fldCharType="end"/>
      </w:r>
      <w:r>
        <w:rPr>
          <w:rFonts w:ascii="Times New Roman" w:hAnsi="Times New Roman" w:eastAsia="宋体" w:cs="Times New Roman"/>
          <w:i/>
          <w:sz w:val="24"/>
        </w:rPr>
        <w:t>±</w:t>
      </w:r>
      <w:r>
        <w:rPr>
          <w:rFonts w:ascii="Times New Roman" w:hAnsi="Times New Roman" w:eastAsia="宋体" w:cs="Times New Roman"/>
          <w:i/>
          <w:iCs/>
          <w:sz w:val="24"/>
        </w:rPr>
        <w:t>s</w:t>
      </w:r>
      <w:r>
        <w:rPr>
          <w:rFonts w:ascii="Times New Roman" w:hAnsi="Times New Roman" w:eastAsia="宋体" w:cs="Times New Roman"/>
          <w:iCs/>
          <w:sz w:val="24"/>
        </w:rPr>
        <w:t>）</w:t>
      </w:r>
    </w:p>
    <w:tbl>
      <w:tblPr>
        <w:tblStyle w:val="6"/>
        <w:tblW w:w="965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3"/>
        <w:gridCol w:w="2415"/>
        <w:gridCol w:w="2415"/>
        <w:gridCol w:w="241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snapToGrid w:val="0"/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组别</w:t>
            </w:r>
          </w:p>
        </w:tc>
        <w:tc>
          <w:tcPr>
            <w:tcW w:w="2415" w:type="dxa"/>
            <w:tcBorders>
              <w:bottom w:val="single" w:color="auto" w:sz="4" w:space="0"/>
            </w:tcBorders>
          </w:tcPr>
          <w:p>
            <w:pPr>
              <w:snapToGrid w:val="0"/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PI3K</w:t>
            </w:r>
          </w:p>
        </w:tc>
        <w:tc>
          <w:tcPr>
            <w:tcW w:w="2415" w:type="dxa"/>
            <w:tcBorders>
              <w:bottom w:val="single" w:color="auto" w:sz="4" w:space="0"/>
            </w:tcBorders>
          </w:tcPr>
          <w:p>
            <w:pPr>
              <w:snapToGrid w:val="0"/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AKT</w:t>
            </w:r>
          </w:p>
        </w:tc>
        <w:tc>
          <w:tcPr>
            <w:tcW w:w="2415" w:type="dxa"/>
            <w:tcBorders>
              <w:bottom w:val="single" w:color="auto" w:sz="4" w:space="0"/>
            </w:tcBorders>
          </w:tcPr>
          <w:p>
            <w:pPr>
              <w:snapToGrid w:val="0"/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NF-</w:t>
            </w:r>
            <w:r>
              <w:rPr>
                <w:rFonts w:ascii="Times New Roman" w:hAnsi="Times New Roman" w:eastAsia="宋体" w:cs="Times New Roman"/>
                <w:sz w:val="24"/>
              </w:rPr>
              <w:t>κ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Bp65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1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正常组</w:t>
            </w:r>
          </w:p>
        </w:tc>
        <w:tc>
          <w:tcPr>
            <w:tcW w:w="241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0.64±0.12</w:t>
            </w:r>
          </w:p>
        </w:tc>
        <w:tc>
          <w:tcPr>
            <w:tcW w:w="241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1.49±0.29</w:t>
            </w:r>
          </w:p>
        </w:tc>
        <w:tc>
          <w:tcPr>
            <w:tcW w:w="2415" w:type="dxa"/>
            <w:tcBorders>
              <w:top w:val="single" w:color="auto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1.08±0.53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模型组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1.08±0.13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2.46±1.03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2.34±1.16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高剂量黄酮组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0.72±0.08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1.38±0.34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1.18±0.59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低剂量黄酮组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0.72±0.12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1.47±0.42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1.20±0.60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41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利巴韦林组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0.69±0.11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bcef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1.49±0.23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bcef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ind w:firstLine="42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1.15±0.58</w:t>
            </w:r>
            <w:r>
              <w:rPr>
                <w:rFonts w:hint="eastAsia" w:ascii="Times New Roman" w:hAnsi="Times New Roman" w:eastAsia="宋体" w:cs="Times New Roman"/>
                <w:sz w:val="24"/>
                <w:vertAlign w:val="superscript"/>
              </w:rPr>
              <w:t>bcef</w:t>
            </w:r>
          </w:p>
        </w:tc>
      </w:tr>
    </w:tbl>
    <w:p>
      <w:pPr>
        <w:spacing w:line="400" w:lineRule="exact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a：在与正常组数值的比较，有差异（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&lt;0.05），否则为b；c：与模型组比较，出现差异（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&lt;0.05）；对于给药组而言，与高剂量黄酮组比较，有意义为d（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&lt;0.05），反之为e；与之相类似的是：与低剂量比较，无差异（</w:t>
      </w:r>
      <w:r>
        <w:rPr>
          <w:rFonts w:hint="eastAsia" w:ascii="Times New Roman" w:hAnsi="Times New Roman" w:eastAsia="宋体" w:cs="Times New Roman"/>
          <w:i/>
          <w:iCs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&gt;0.05）为f，相反则为g；</w:t>
      </w:r>
    </w:p>
    <w:p>
      <w:bookmarkStart w:id="37" w:name="_GoBack"/>
      <w:bookmarkEnd w:id="3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517C9"/>
    <w:rsid w:val="0249502E"/>
    <w:rsid w:val="126429D6"/>
    <w:rsid w:val="15AC1C6C"/>
    <w:rsid w:val="17096610"/>
    <w:rsid w:val="19682733"/>
    <w:rsid w:val="1A403105"/>
    <w:rsid w:val="1FBA0287"/>
    <w:rsid w:val="220B19B3"/>
    <w:rsid w:val="223B2E0E"/>
    <w:rsid w:val="26362B41"/>
    <w:rsid w:val="26A610C5"/>
    <w:rsid w:val="28D42A24"/>
    <w:rsid w:val="320378E0"/>
    <w:rsid w:val="3272365B"/>
    <w:rsid w:val="34127440"/>
    <w:rsid w:val="34B955D7"/>
    <w:rsid w:val="355425DE"/>
    <w:rsid w:val="3F396170"/>
    <w:rsid w:val="4254486C"/>
    <w:rsid w:val="42C21FF9"/>
    <w:rsid w:val="4AD77BD8"/>
    <w:rsid w:val="55CF6BD9"/>
    <w:rsid w:val="571F7634"/>
    <w:rsid w:val="57FC151B"/>
    <w:rsid w:val="583517C9"/>
    <w:rsid w:val="5F385942"/>
    <w:rsid w:val="62862F47"/>
    <w:rsid w:val="671800C0"/>
    <w:rsid w:val="71125757"/>
    <w:rsid w:val="71445223"/>
    <w:rsid w:val="723067CA"/>
    <w:rsid w:val="730126F5"/>
    <w:rsid w:val="782E5272"/>
    <w:rsid w:val="7A1779C5"/>
    <w:rsid w:val="7D966E7F"/>
    <w:rsid w:val="7E2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520" w:lineRule="exact"/>
      <w:outlineLvl w:val="0"/>
    </w:pPr>
    <w:rPr>
      <w:rFonts w:eastAsia="黑体" w:asciiTheme="minorAscii" w:hAnsiTheme="minorAscii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20" w:lineRule="exact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20" w:lineRule="exact"/>
      <w:outlineLvl w:val="2"/>
    </w:pPr>
    <w:rPr>
      <w:rFonts w:eastAsia="黑体" w:asciiTheme="minorAscii" w:hAnsiTheme="minorAscii"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2"/>
    <w:qFormat/>
    <w:uiPriority w:val="0"/>
    <w:rPr>
      <w:rFonts w:ascii="+西文正文" w:hAnsi="+西文正文" w:eastAsia="黑体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2021-02-03T14:34:00Z</dcterms:created>
  <dc:creator>user</dc:creator>
  <cp:lastModifiedBy>user</cp:lastModifiedBy>
  <dcterms:modified xsi:type="dcterms:W3CDTF">2021-02-03T14:35:12Z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