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9E7C" w14:textId="70D6BFED" w:rsidR="00E614D9" w:rsidRDefault="007C10B3" w:rsidP="00E614D9">
      <w:pPr>
        <w:jc w:val="center"/>
        <w:rPr>
          <w:lang w:val="en-US"/>
        </w:rPr>
      </w:pPr>
      <w:r>
        <w:rPr>
          <w:i/>
          <w:iCs/>
          <w:lang w:val="en-US"/>
        </w:rPr>
        <w:t xml:space="preserve">CGLO </w:t>
      </w:r>
      <w:r w:rsidR="00E614D9">
        <w:rPr>
          <w:lang w:val="en-US"/>
        </w:rPr>
        <w:t>Modifications and Corrigenda</w:t>
      </w:r>
    </w:p>
    <w:p w14:paraId="2D7E272E" w14:textId="5DE5CF47" w:rsidR="004C74D1" w:rsidRDefault="004C74D1" w:rsidP="004C74D1">
      <w:pPr>
        <w:rPr>
          <w:lang w:val="en-US"/>
        </w:rPr>
      </w:pPr>
      <w:r>
        <w:rPr>
          <w:i/>
          <w:iCs/>
          <w:lang w:val="en-US"/>
        </w:rPr>
        <w:t xml:space="preserve">CGLO </w:t>
      </w:r>
      <w:r>
        <w:rPr>
          <w:lang w:val="en-US"/>
        </w:rPr>
        <w:t>Version 2024.01</w:t>
      </w:r>
    </w:p>
    <w:p w14:paraId="5BB1D8EA" w14:textId="613D9934" w:rsidR="004C74D1" w:rsidRDefault="004C74D1" w:rsidP="004C74D1">
      <w:pPr>
        <w:rPr>
          <w:lang w:val="en-US"/>
        </w:rPr>
      </w:pPr>
      <w:r>
        <w:rPr>
          <w:lang w:val="en-US"/>
        </w:rPr>
        <w:t>January 19, 2024</w:t>
      </w:r>
    </w:p>
    <w:p w14:paraId="5551A2F3" w14:textId="77777777" w:rsidR="00E614D9" w:rsidRDefault="00E614D9" w:rsidP="00E614D9">
      <w:pPr>
        <w:rPr>
          <w:lang w:val="en-US"/>
        </w:rPr>
      </w:pPr>
    </w:p>
    <w:p w14:paraId="7F8AD135" w14:textId="67D37891" w:rsidR="00E614D9" w:rsidRPr="004C74D1" w:rsidRDefault="00E614D9" w:rsidP="00E614D9">
      <w:pPr>
        <w:rPr>
          <w:b/>
          <w:bCs/>
          <w:lang w:val="en-US"/>
        </w:rPr>
      </w:pPr>
      <w:r w:rsidRPr="004C74D1">
        <w:rPr>
          <w:b/>
          <w:bCs/>
          <w:lang w:val="en-US"/>
        </w:rPr>
        <w:t>General modifications made to the</w:t>
      </w:r>
      <w:r w:rsidR="007C10B3" w:rsidRPr="004C74D1">
        <w:rPr>
          <w:b/>
          <w:bCs/>
          <w:lang w:val="en-US"/>
        </w:rPr>
        <w:t xml:space="preserve"> printed</w:t>
      </w:r>
      <w:r w:rsidRPr="004C74D1">
        <w:rPr>
          <w:b/>
          <w:bCs/>
          <w:lang w:val="en-US"/>
        </w:rPr>
        <w:t xml:space="preserve"> </w:t>
      </w:r>
      <w:r w:rsidRPr="004C74D1">
        <w:rPr>
          <w:b/>
          <w:bCs/>
          <w:i/>
          <w:iCs/>
          <w:lang w:val="en-US"/>
        </w:rPr>
        <w:t xml:space="preserve">CGL </w:t>
      </w:r>
      <w:r w:rsidRPr="004C74D1">
        <w:rPr>
          <w:b/>
          <w:bCs/>
          <w:lang w:val="en-US"/>
        </w:rPr>
        <w:t>text</w:t>
      </w:r>
      <w:r w:rsidR="007C10B3" w:rsidRPr="004C74D1">
        <w:rPr>
          <w:b/>
          <w:bCs/>
          <w:lang w:val="en-US"/>
        </w:rPr>
        <w:t>:</w:t>
      </w:r>
    </w:p>
    <w:p w14:paraId="6DCC195D" w14:textId="21565AE8" w:rsidR="008978AD" w:rsidRPr="008978AD" w:rsidRDefault="008978AD" w:rsidP="008978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Section headings</w:t>
      </w:r>
      <w:r w:rsidR="007113E6">
        <w:rPr>
          <w:lang w:val="en-US"/>
        </w:rPr>
        <w:t xml:space="preserve">, e.g. at each new letter of the </w:t>
      </w:r>
      <w:r w:rsidR="007113E6" w:rsidRPr="007F0696">
        <w:rPr>
          <w:i/>
          <w:iCs/>
          <w:lang w:val="en-US"/>
        </w:rPr>
        <w:t>Index Latinus</w:t>
      </w:r>
      <w:r w:rsidR="007113E6">
        <w:rPr>
          <w:lang w:val="en-US"/>
        </w:rPr>
        <w:t>, have been deleted.</w:t>
      </w:r>
    </w:p>
    <w:p w14:paraId="22E79AE7" w14:textId="3C8B6430" w:rsidR="002062EA" w:rsidRDefault="002062EA" w:rsidP="00B52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Consonantal “u” vs. “v”:</w:t>
      </w:r>
    </w:p>
    <w:p w14:paraId="798ED53A" w14:textId="1401470C" w:rsidR="002062EA" w:rsidRPr="009F1058" w:rsidRDefault="002062EA" w:rsidP="009F10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</w:t>
      </w:r>
      <w:r w:rsidR="009117F5">
        <w:rPr>
          <w:lang w:val="en-US"/>
        </w:rPr>
        <w:t xml:space="preserve"> print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Index Latinus</w:t>
      </w:r>
      <w:r>
        <w:rPr>
          <w:lang w:val="en-US"/>
        </w:rPr>
        <w:t>,</w:t>
      </w:r>
      <w:r>
        <w:rPr>
          <w:i/>
          <w:iCs/>
          <w:lang w:val="en-US"/>
        </w:rPr>
        <w:t xml:space="preserve"> </w:t>
      </w:r>
      <w:r w:rsidR="009F1058">
        <w:rPr>
          <w:lang w:val="en-US"/>
        </w:rPr>
        <w:t xml:space="preserve">Goetz distinguished the orthography of ancient quotations from modern meta-text. In ancient quotations he wrote </w:t>
      </w:r>
      <w:r>
        <w:rPr>
          <w:lang w:val="en-US"/>
        </w:rPr>
        <w:t xml:space="preserve">consonantal [w] </w:t>
      </w:r>
      <w:r w:rsidR="009F1058">
        <w:rPr>
          <w:lang w:val="en-US"/>
        </w:rPr>
        <w:t>as</w:t>
      </w:r>
      <w:r>
        <w:rPr>
          <w:lang w:val="en-US"/>
        </w:rPr>
        <w:t xml:space="preserve"> &lt;u&gt;</w:t>
      </w:r>
      <w:r w:rsidR="009F1058">
        <w:rPr>
          <w:lang w:val="en-US"/>
        </w:rPr>
        <w:t xml:space="preserve">, </w:t>
      </w:r>
      <w:r>
        <w:rPr>
          <w:lang w:val="en-US"/>
        </w:rPr>
        <w:t>except for the capital &lt;V&gt;. In italicized text,</w:t>
      </w:r>
      <w:r w:rsidR="009F1058">
        <w:rPr>
          <w:lang w:val="en-US"/>
        </w:rPr>
        <w:t xml:space="preserve"> he wrote</w:t>
      </w:r>
      <w:r>
        <w:rPr>
          <w:lang w:val="en-US"/>
        </w:rPr>
        <w:t xml:space="preserve"> [w] </w:t>
      </w:r>
      <w:r w:rsidR="009F1058">
        <w:rPr>
          <w:lang w:val="en-US"/>
        </w:rPr>
        <w:t xml:space="preserve">as </w:t>
      </w:r>
      <w:r>
        <w:rPr>
          <w:lang w:val="en-US"/>
        </w:rPr>
        <w:t>&lt;v&gt;/&lt;V&gt;.</w:t>
      </w:r>
      <w:r w:rsidR="009F1058">
        <w:rPr>
          <w:lang w:val="en-US"/>
        </w:rPr>
        <w:t xml:space="preserve"> We have tried to maintain this distinction, but to improve searchability have converted all </w:t>
      </w:r>
      <w:r w:rsidR="009117F5" w:rsidRPr="009F1058">
        <w:rPr>
          <w:lang w:val="en-US"/>
        </w:rPr>
        <w:t xml:space="preserve">capital &lt;V&gt;’s </w:t>
      </w:r>
      <w:r w:rsidR="009F1058">
        <w:rPr>
          <w:lang w:val="en-US"/>
        </w:rPr>
        <w:t>in ancient quotations to &lt;</w:t>
      </w:r>
      <w:r w:rsidR="009117F5" w:rsidRPr="009F1058">
        <w:rPr>
          <w:lang w:val="en-US"/>
        </w:rPr>
        <w:t>U</w:t>
      </w:r>
      <w:r w:rsidR="009F1058">
        <w:rPr>
          <w:lang w:val="en-US"/>
        </w:rPr>
        <w:t>&gt;</w:t>
      </w:r>
      <w:r w:rsidR="009117F5" w:rsidRPr="009F1058">
        <w:rPr>
          <w:lang w:val="en-US"/>
        </w:rPr>
        <w:t xml:space="preserve"> (e.g. “Vua” has been changed to</w:t>
      </w:r>
      <w:r w:rsidR="009117F5" w:rsidRPr="009F1058">
        <w:rPr>
          <w:i/>
          <w:iCs/>
          <w:lang w:val="en-US"/>
        </w:rPr>
        <w:t xml:space="preserve"> </w:t>
      </w:r>
      <w:r w:rsidR="009117F5" w:rsidRPr="009F1058">
        <w:rPr>
          <w:lang w:val="en-US"/>
        </w:rPr>
        <w:t>“Uua”, “Vmbria”</w:t>
      </w:r>
      <w:r w:rsidR="009117F5" w:rsidRPr="009F1058">
        <w:rPr>
          <w:i/>
          <w:iCs/>
          <w:lang w:val="en-US"/>
        </w:rPr>
        <w:t xml:space="preserve"> </w:t>
      </w:r>
      <w:r w:rsidR="009117F5" w:rsidRPr="009F1058">
        <w:rPr>
          <w:lang w:val="en-US"/>
        </w:rPr>
        <w:t xml:space="preserve">to “Umbria”). Mistaken instances of &lt;v&gt; in ancient quotations have </w:t>
      </w:r>
      <w:r w:rsidR="007A4666">
        <w:rPr>
          <w:lang w:val="en-US"/>
        </w:rPr>
        <w:t xml:space="preserve">occasionally </w:t>
      </w:r>
      <w:r w:rsidR="009117F5" w:rsidRPr="009F1058">
        <w:rPr>
          <w:lang w:val="en-US"/>
        </w:rPr>
        <w:t>been fixed.</w:t>
      </w:r>
    </w:p>
    <w:p w14:paraId="593AA781" w14:textId="57E8ED9E" w:rsidR="00055956" w:rsidRPr="00B52B7D" w:rsidRDefault="00B52B7D" w:rsidP="002062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changes have yet been made to the </w:t>
      </w:r>
      <w:r w:rsidRPr="00CF250F">
        <w:rPr>
          <w:i/>
          <w:iCs/>
          <w:lang w:val="en-US"/>
        </w:rPr>
        <w:t>Index Graeco-Latinus</w:t>
      </w:r>
      <w:r>
        <w:rPr>
          <w:lang w:val="en-US"/>
        </w:rPr>
        <w:t>, which consistently distinguishes &lt;v&gt; from &lt;u&gt;.</w:t>
      </w:r>
    </w:p>
    <w:p w14:paraId="6753EA9B" w14:textId="19D3DE2E" w:rsidR="00E614D9" w:rsidRDefault="00385A58" w:rsidP="003907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words</w:t>
      </w:r>
      <w:r w:rsidR="00E614D9">
        <w:rPr>
          <w:lang w:val="en-US"/>
        </w:rPr>
        <w:t xml:space="preserve"> divided across </w:t>
      </w:r>
      <w:r>
        <w:rPr>
          <w:lang w:val="en-US"/>
        </w:rPr>
        <w:t xml:space="preserve">two </w:t>
      </w:r>
      <w:r w:rsidR="00E614D9">
        <w:rPr>
          <w:lang w:val="en-US"/>
        </w:rPr>
        <w:t>line</w:t>
      </w:r>
      <w:r>
        <w:rPr>
          <w:lang w:val="en-US"/>
        </w:rPr>
        <w:t>s</w:t>
      </w:r>
      <w:r w:rsidR="00E614D9">
        <w:rPr>
          <w:lang w:val="en-US"/>
        </w:rPr>
        <w:t xml:space="preserve"> or across </w:t>
      </w:r>
      <w:r>
        <w:rPr>
          <w:lang w:val="en-US"/>
        </w:rPr>
        <w:t xml:space="preserve">two </w:t>
      </w:r>
      <w:r w:rsidR="00E614D9">
        <w:rPr>
          <w:lang w:val="en-US"/>
        </w:rPr>
        <w:t xml:space="preserve">pages have been </w:t>
      </w:r>
      <w:r>
        <w:rPr>
          <w:lang w:val="en-US"/>
        </w:rPr>
        <w:t>re</w:t>
      </w:r>
      <w:r w:rsidR="00E614D9">
        <w:rPr>
          <w:lang w:val="en-US"/>
        </w:rPr>
        <w:t>written as one word</w:t>
      </w:r>
      <w:r>
        <w:rPr>
          <w:lang w:val="en-US"/>
        </w:rPr>
        <w:t xml:space="preserve"> without space or hyphen</w:t>
      </w:r>
      <w:r w:rsidR="003907A3">
        <w:rPr>
          <w:lang w:val="en-US"/>
        </w:rPr>
        <w:t>. W</w:t>
      </w:r>
      <w:r w:rsidR="00E614D9">
        <w:rPr>
          <w:lang w:val="en-US"/>
        </w:rPr>
        <w:t>hen divided across two pages, the complete word is usually written on the first page.</w:t>
      </w:r>
      <w:r w:rsidR="003907A3">
        <w:rPr>
          <w:lang w:val="en-US"/>
        </w:rPr>
        <w:t xml:space="preserve"> </w:t>
      </w:r>
    </w:p>
    <w:p w14:paraId="0F138F27" w14:textId="696EBCE1" w:rsidR="00276F5B" w:rsidRPr="00276F5B" w:rsidRDefault="00276F5B" w:rsidP="00276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the </w:t>
      </w:r>
      <w:r w:rsidRPr="0092048E">
        <w:rPr>
          <w:i/>
          <w:iCs/>
          <w:lang w:val="en-US"/>
        </w:rPr>
        <w:t>Index Graeco-Latinus</w:t>
      </w:r>
      <w:r>
        <w:rPr>
          <w:lang w:val="en-US"/>
        </w:rPr>
        <w:t>, lemma words in bold whose beginning has been abbreviated with a hyphen have been systematically expanded to improve searchability (e.g. VII.444 “</w:t>
      </w:r>
      <w:r w:rsidRPr="00336221">
        <w:rPr>
          <w:b/>
          <w:bCs/>
          <w:lang w:val="cpg-Grek-GR"/>
        </w:rPr>
        <w:t xml:space="preserve">ἀείζωον </w:t>
      </w:r>
      <w:r w:rsidRPr="00336221">
        <w:rPr>
          <w:i/>
          <w:iCs/>
          <w:lang w:val="en-US"/>
        </w:rPr>
        <w:t>et</w:t>
      </w:r>
      <w:r w:rsidRPr="00336221">
        <w:rPr>
          <w:b/>
          <w:bCs/>
          <w:lang w:val="en-US"/>
        </w:rPr>
        <w:t xml:space="preserve"> </w:t>
      </w:r>
      <w:r w:rsidRPr="00336221">
        <w:rPr>
          <w:b/>
          <w:bCs/>
          <w:lang w:val="cpg-Grek-GR"/>
        </w:rPr>
        <w:t xml:space="preserve">-ζωος </w:t>
      </w:r>
      <w:r w:rsidRPr="00336221">
        <w:rPr>
          <w:i/>
          <w:iCs/>
          <w:lang w:val="en-US"/>
        </w:rPr>
        <w:t>et</w:t>
      </w:r>
      <w:r w:rsidRPr="00336221">
        <w:rPr>
          <w:b/>
          <w:bCs/>
          <w:lang w:val="en-US"/>
        </w:rPr>
        <w:t xml:space="preserve"> </w:t>
      </w:r>
      <w:r w:rsidRPr="00336221">
        <w:rPr>
          <w:b/>
          <w:bCs/>
          <w:lang w:val="en-US"/>
        </w:rPr>
        <w:noBreakHyphen/>
      </w:r>
      <w:r w:rsidRPr="00336221">
        <w:rPr>
          <w:b/>
          <w:bCs/>
          <w:lang w:val="cpg-Grek-GR"/>
        </w:rPr>
        <w:t>ζως</w:t>
      </w:r>
      <w:r>
        <w:rPr>
          <w:lang w:val="en-US"/>
        </w:rPr>
        <w:t>” appears as “</w:t>
      </w:r>
      <w:r w:rsidRPr="00336221">
        <w:rPr>
          <w:b/>
          <w:bCs/>
          <w:lang w:val="en-US"/>
        </w:rPr>
        <w:t xml:space="preserve">ἀείζωον </w:t>
      </w:r>
      <w:r w:rsidRPr="00336221">
        <w:rPr>
          <w:b/>
          <w:bCs/>
          <w:i/>
          <w:iCs/>
          <w:lang w:val="en-US"/>
        </w:rPr>
        <w:t>et</w:t>
      </w:r>
      <w:r w:rsidRPr="00336221">
        <w:rPr>
          <w:b/>
          <w:bCs/>
          <w:lang w:val="en-US"/>
        </w:rPr>
        <w:t xml:space="preserve"> ἀείζωος </w:t>
      </w:r>
      <w:r w:rsidRPr="00336221">
        <w:rPr>
          <w:b/>
          <w:bCs/>
          <w:i/>
          <w:iCs/>
          <w:lang w:val="en-US"/>
        </w:rPr>
        <w:t>et</w:t>
      </w:r>
      <w:r w:rsidRPr="00336221">
        <w:rPr>
          <w:b/>
          <w:bCs/>
          <w:lang w:val="en-US"/>
        </w:rPr>
        <w:t xml:space="preserve"> ἀείζως</w:t>
      </w:r>
      <w:r w:rsidRPr="00A60B73">
        <w:rPr>
          <w:lang w:val="en-US"/>
        </w:rPr>
        <w:t>”</w:t>
      </w:r>
      <w:r>
        <w:rPr>
          <w:lang w:val="en-US"/>
        </w:rPr>
        <w:t>).</w:t>
      </w:r>
    </w:p>
    <w:p w14:paraId="0A7EE9B4" w14:textId="2E730F02" w:rsidR="005A387A" w:rsidRDefault="005A387A" w:rsidP="00E6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precise length of bold and italic sequences has sometimes been adjusted to </w:t>
      </w:r>
      <w:r w:rsidR="004C74D1">
        <w:rPr>
          <w:lang w:val="en-US"/>
        </w:rPr>
        <w:t>make it easier to distinguish automatically</w:t>
      </w:r>
      <w:r>
        <w:rPr>
          <w:lang w:val="en-US"/>
        </w:rPr>
        <w:t xml:space="preserve"> </w:t>
      </w:r>
      <w:r w:rsidR="004C74D1">
        <w:rPr>
          <w:lang w:val="en-US"/>
        </w:rPr>
        <w:t xml:space="preserve">between </w:t>
      </w:r>
      <w:r>
        <w:rPr>
          <w:lang w:val="en-US"/>
        </w:rPr>
        <w:t>lemma content and cross-reference</w:t>
      </w:r>
      <w:r w:rsidR="004C74D1">
        <w:rPr>
          <w:lang w:val="en-US"/>
        </w:rPr>
        <w:t>s</w:t>
      </w:r>
      <w:r>
        <w:rPr>
          <w:lang w:val="en-US"/>
        </w:rPr>
        <w:t>. More specifically:</w:t>
      </w:r>
    </w:p>
    <w:p w14:paraId="2D4340D3" w14:textId="21DED0EF" w:rsidR="005A387A" w:rsidRDefault="005A387A" w:rsidP="00745B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Parenthetical remarks </w:t>
      </w:r>
      <w:r w:rsidR="004C74D1">
        <w:rPr>
          <w:lang w:val="en-US"/>
        </w:rPr>
        <w:t xml:space="preserve">about a lemma </w:t>
      </w:r>
      <w:r>
        <w:rPr>
          <w:lang w:val="en-US"/>
        </w:rPr>
        <w:t xml:space="preserve">supplying variant readings or other information </w:t>
      </w:r>
      <w:r w:rsidR="007C3AC2">
        <w:rPr>
          <w:lang w:val="en-US"/>
        </w:rPr>
        <w:t xml:space="preserve">are treated differently based on </w:t>
      </w:r>
      <w:r w:rsidR="004C74D1">
        <w:rPr>
          <w:lang w:val="en-US"/>
        </w:rPr>
        <w:t xml:space="preserve">their </w:t>
      </w:r>
      <w:r w:rsidR="007C3AC2">
        <w:rPr>
          <w:lang w:val="en-US"/>
        </w:rPr>
        <w:t>location.</w:t>
      </w:r>
      <w:r w:rsidR="00745B1D">
        <w:rPr>
          <w:lang w:val="en-US"/>
        </w:rPr>
        <w:t xml:space="preserve"> Whenever they are </w:t>
      </w:r>
      <w:r w:rsidR="00745B1D" w:rsidRPr="00745B1D">
        <w:rPr>
          <w:u w:val="single"/>
          <w:lang w:val="en-US"/>
        </w:rPr>
        <w:t>in the middle</w:t>
      </w:r>
      <w:r w:rsidR="00745B1D">
        <w:rPr>
          <w:lang w:val="en-US"/>
        </w:rPr>
        <w:t xml:space="preserve"> of a </w:t>
      </w:r>
      <w:r w:rsidR="007C3AC2">
        <w:rPr>
          <w:lang w:val="en-US"/>
        </w:rPr>
        <w:t xml:space="preserve">multi-word </w:t>
      </w:r>
      <w:r w:rsidR="00745B1D">
        <w:rPr>
          <w:lang w:val="en-US"/>
        </w:rPr>
        <w:t xml:space="preserve">lemma sequence, they have been included within bold, and hence within the &lt;form&gt; tag in XML, </w:t>
      </w:r>
      <w:r>
        <w:rPr>
          <w:lang w:val="en-US"/>
        </w:rPr>
        <w:t xml:space="preserve">even though they are not usually bold in the print text. This </w:t>
      </w:r>
      <w:r>
        <w:rPr>
          <w:lang w:val="en-US"/>
        </w:rPr>
        <w:lastRenderedPageBreak/>
        <w:t xml:space="preserve">includes </w:t>
      </w:r>
      <w:r w:rsidR="004C74D1">
        <w:rPr>
          <w:lang w:val="en-US"/>
        </w:rPr>
        <w:t>“</w:t>
      </w:r>
      <w:r>
        <w:rPr>
          <w:lang w:val="en-US"/>
        </w:rPr>
        <w:t>(?)</w:t>
      </w:r>
      <w:r w:rsidR="004C74D1">
        <w:rPr>
          <w:lang w:val="en-US"/>
        </w:rPr>
        <w:t>”</w:t>
      </w:r>
      <w:r>
        <w:rPr>
          <w:lang w:val="en-US"/>
        </w:rPr>
        <w:t xml:space="preserve"> and </w:t>
      </w:r>
      <w:r w:rsidR="004C74D1">
        <w:rPr>
          <w:lang w:val="en-US"/>
        </w:rPr>
        <w:t>“</w:t>
      </w:r>
      <w:r>
        <w:rPr>
          <w:lang w:val="en-US"/>
        </w:rPr>
        <w:t>(!)</w:t>
      </w:r>
      <w:r w:rsidR="004C74D1">
        <w:rPr>
          <w:lang w:val="en-US"/>
        </w:rPr>
        <w:t>”</w:t>
      </w:r>
      <w:r>
        <w:rPr>
          <w:lang w:val="en-US"/>
        </w:rPr>
        <w:t>.</w:t>
      </w:r>
      <w:r w:rsidR="00745B1D">
        <w:rPr>
          <w:lang w:val="en-US"/>
        </w:rPr>
        <w:t xml:space="preserve"> Parenthetical remarks </w:t>
      </w:r>
      <w:r w:rsidR="00745B1D">
        <w:rPr>
          <w:u w:val="single"/>
          <w:lang w:val="en-US"/>
        </w:rPr>
        <w:t>after</w:t>
      </w:r>
      <w:r w:rsidR="00745B1D">
        <w:rPr>
          <w:lang w:val="en-US"/>
        </w:rPr>
        <w:t xml:space="preserve"> the end of the lemma sequence are </w:t>
      </w:r>
      <w:r w:rsidR="007C3AC2">
        <w:rPr>
          <w:lang w:val="en-US"/>
        </w:rPr>
        <w:t>generally kept</w:t>
      </w:r>
      <w:r w:rsidR="00745B1D">
        <w:rPr>
          <w:lang w:val="en-US"/>
        </w:rPr>
        <w:t xml:space="preserve"> </w:t>
      </w:r>
      <w:r w:rsidR="007C3AC2">
        <w:rPr>
          <w:lang w:val="en-US"/>
        </w:rPr>
        <w:t>unbolded</w:t>
      </w:r>
      <w:r w:rsidR="00745B1D">
        <w:rPr>
          <w:lang w:val="en-US"/>
        </w:rPr>
        <w:t xml:space="preserve">, with the exception of </w:t>
      </w:r>
      <w:r w:rsidR="006F5DE2">
        <w:rPr>
          <w:lang w:val="en-US"/>
        </w:rPr>
        <w:t>“</w:t>
      </w:r>
      <w:r w:rsidR="00745B1D">
        <w:rPr>
          <w:lang w:val="en-US"/>
        </w:rPr>
        <w:t>(?)</w:t>
      </w:r>
      <w:r w:rsidR="006F5DE2">
        <w:rPr>
          <w:lang w:val="en-US"/>
        </w:rPr>
        <w:t>”</w:t>
      </w:r>
      <w:r w:rsidR="00745B1D">
        <w:rPr>
          <w:lang w:val="en-US"/>
        </w:rPr>
        <w:t xml:space="preserve"> and </w:t>
      </w:r>
      <w:r w:rsidR="006F5DE2">
        <w:rPr>
          <w:lang w:val="en-US"/>
        </w:rPr>
        <w:t>“</w:t>
      </w:r>
      <w:r w:rsidR="00745B1D">
        <w:rPr>
          <w:lang w:val="en-US"/>
        </w:rPr>
        <w:t>(!)</w:t>
      </w:r>
      <w:r w:rsidR="006F5DE2">
        <w:rPr>
          <w:lang w:val="en-US"/>
        </w:rPr>
        <w:t>”</w:t>
      </w:r>
      <w:r w:rsidR="00745B1D">
        <w:rPr>
          <w:lang w:val="en-US"/>
        </w:rPr>
        <w:t>.</w:t>
      </w:r>
    </w:p>
    <w:p w14:paraId="7A8C0E43" w14:textId="2C1B90DB" w:rsidR="00745B1D" w:rsidRDefault="00745B1D" w:rsidP="004E10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Italicized </w:t>
      </w:r>
      <w:r>
        <w:rPr>
          <w:i/>
          <w:iCs/>
          <w:lang w:val="en-US"/>
        </w:rPr>
        <w:t xml:space="preserve">et </w:t>
      </w:r>
      <w:r>
        <w:rPr>
          <w:lang w:val="en-US"/>
        </w:rPr>
        <w:t xml:space="preserve">or </w:t>
      </w:r>
      <w:r>
        <w:rPr>
          <w:i/>
          <w:iCs/>
          <w:lang w:val="en-US"/>
        </w:rPr>
        <w:t>vel</w:t>
      </w:r>
      <w:r w:rsidR="004E10EB">
        <w:rPr>
          <w:lang w:val="en-US"/>
        </w:rPr>
        <w:t xml:space="preserve"> within a lemma sequence, used to separate two related or alternative lemma forms, are usually made bold and kept italiciz</w:t>
      </w:r>
      <w:r w:rsidR="006F5DE2">
        <w:rPr>
          <w:lang w:val="en-US"/>
        </w:rPr>
        <w:t>ed</w:t>
      </w:r>
      <w:r w:rsidR="004E10EB">
        <w:rPr>
          <w:lang w:val="en-US"/>
        </w:rPr>
        <w:t xml:space="preserve">. NB: the </w:t>
      </w:r>
      <w:r w:rsidR="007F6824">
        <w:rPr>
          <w:lang w:val="en-US"/>
        </w:rPr>
        <w:t xml:space="preserve">print </w:t>
      </w:r>
      <w:r w:rsidR="004E10EB" w:rsidRPr="008846EC">
        <w:rPr>
          <w:i/>
          <w:iCs/>
          <w:lang w:val="en-US"/>
        </w:rPr>
        <w:t>Index Anglosaxonicus</w:t>
      </w:r>
      <w:r w:rsidR="004E10EB">
        <w:rPr>
          <w:lang w:val="en-US"/>
        </w:rPr>
        <w:t xml:space="preserve"> has several instances of bolded and unitali</w:t>
      </w:r>
      <w:r w:rsidR="006F5DE2">
        <w:rPr>
          <w:lang w:val="en-US"/>
        </w:rPr>
        <w:t>ci</w:t>
      </w:r>
      <w:r w:rsidR="004E10EB">
        <w:rPr>
          <w:lang w:val="en-US"/>
        </w:rPr>
        <w:t xml:space="preserve">zed “uel” within a lemma: e.g. </w:t>
      </w:r>
      <w:r w:rsidR="004E10EB">
        <w:rPr>
          <w:b/>
          <w:bCs/>
          <w:lang w:val="en-US"/>
        </w:rPr>
        <w:t>loh vel da</w:t>
      </w:r>
      <w:r w:rsidR="004E10EB">
        <w:rPr>
          <w:lang w:val="en-US"/>
        </w:rPr>
        <w:t xml:space="preserve"> (VII 703).</w:t>
      </w:r>
      <w:r w:rsidR="007F6824">
        <w:rPr>
          <w:lang w:val="en-US"/>
        </w:rPr>
        <w:t xml:space="preserve"> These have been </w:t>
      </w:r>
      <w:r w:rsidR="003D013F">
        <w:rPr>
          <w:lang w:val="en-US"/>
        </w:rPr>
        <w:t xml:space="preserve">retained as </w:t>
      </w:r>
      <w:r w:rsidR="007B54EB">
        <w:rPr>
          <w:lang w:val="en-US"/>
        </w:rPr>
        <w:t>they are.</w:t>
      </w:r>
    </w:p>
    <w:p w14:paraId="557D8CE8" w14:textId="3D260431" w:rsidR="001F478E" w:rsidRDefault="001F478E" w:rsidP="005A3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Pr="001F478E">
        <w:rPr>
          <w:i/>
          <w:iCs/>
          <w:lang w:val="en-US"/>
        </w:rPr>
        <w:t>V.</w:t>
      </w:r>
      <w:r>
        <w:rPr>
          <w:lang w:val="en-US"/>
        </w:rPr>
        <w:t>” and “</w:t>
      </w:r>
      <w:r w:rsidRPr="001F478E">
        <w:rPr>
          <w:i/>
          <w:iCs/>
          <w:lang w:val="en-US"/>
        </w:rPr>
        <w:t>v.</w:t>
      </w:r>
      <w:r>
        <w:rPr>
          <w:lang w:val="en-US"/>
        </w:rPr>
        <w:t xml:space="preserve">” </w:t>
      </w:r>
      <w:r w:rsidR="00B75F82">
        <w:rPr>
          <w:lang w:val="en-US"/>
        </w:rPr>
        <w:t xml:space="preserve">introducing cross-references have </w:t>
      </w:r>
      <w:r>
        <w:rPr>
          <w:lang w:val="en-US"/>
        </w:rPr>
        <w:t xml:space="preserve">been </w:t>
      </w:r>
      <w:r w:rsidR="00B75F82">
        <w:rPr>
          <w:lang w:val="en-US"/>
        </w:rPr>
        <w:t xml:space="preserve">consistently </w:t>
      </w:r>
      <w:r>
        <w:rPr>
          <w:lang w:val="en-US"/>
        </w:rPr>
        <w:t>italicized</w:t>
      </w:r>
      <w:r w:rsidR="00B75F82">
        <w:rPr>
          <w:lang w:val="en-US"/>
        </w:rPr>
        <w:t>.</w:t>
      </w:r>
    </w:p>
    <w:p w14:paraId="0492F4B2" w14:textId="4BAA0B3A" w:rsidR="005A387A" w:rsidRDefault="005A387A" w:rsidP="005A3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placement of punctuation with respect to the end of an italic sequence varies</w:t>
      </w:r>
      <w:r w:rsidR="00EC7CA7">
        <w:rPr>
          <w:lang w:val="en-US"/>
        </w:rPr>
        <w:t>.</w:t>
      </w:r>
      <w:r>
        <w:rPr>
          <w:lang w:val="en-US"/>
        </w:rPr>
        <w:t xml:space="preserve"> </w:t>
      </w:r>
      <w:r w:rsidR="006F5DE2">
        <w:rPr>
          <w:lang w:val="en-US"/>
        </w:rPr>
        <w:t>A period (“.”)</w:t>
      </w:r>
      <w:r>
        <w:rPr>
          <w:lang w:val="en-US"/>
        </w:rPr>
        <w:t xml:space="preserve"> </w:t>
      </w:r>
      <w:r w:rsidR="006F5DE2">
        <w:rPr>
          <w:lang w:val="en-US"/>
        </w:rPr>
        <w:t>used to indicate abbreviation</w:t>
      </w:r>
      <w:r>
        <w:rPr>
          <w:lang w:val="en-US"/>
        </w:rPr>
        <w:t xml:space="preserve"> (e.g. “cf.”) is</w:t>
      </w:r>
      <w:r w:rsidR="006F5DE2">
        <w:rPr>
          <w:lang w:val="en-US"/>
        </w:rPr>
        <w:t xml:space="preserve"> generally</w:t>
      </w:r>
      <w:r>
        <w:rPr>
          <w:lang w:val="en-US"/>
        </w:rPr>
        <w:t xml:space="preserve"> included within italics, while a separating comma</w:t>
      </w:r>
      <w:r w:rsidR="00BC2DBF">
        <w:rPr>
          <w:lang w:val="en-US"/>
        </w:rPr>
        <w:t xml:space="preserve"> or semicolon</w:t>
      </w:r>
      <w:r>
        <w:rPr>
          <w:lang w:val="en-US"/>
        </w:rPr>
        <w:t xml:space="preserve"> is not. </w:t>
      </w:r>
      <w:r w:rsidR="00BC2DBF">
        <w:rPr>
          <w:lang w:val="en-US"/>
        </w:rPr>
        <w:t>B</w:t>
      </w:r>
      <w:r w:rsidR="00EC7CA7">
        <w:rPr>
          <w:lang w:val="en-US"/>
        </w:rPr>
        <w:t xml:space="preserve">rackets are never italicized, consistent with </w:t>
      </w:r>
      <w:r w:rsidR="00EC7CA7">
        <w:rPr>
          <w:i/>
          <w:iCs/>
          <w:lang w:val="en-US"/>
        </w:rPr>
        <w:t xml:space="preserve">CGL </w:t>
      </w:r>
      <w:r w:rsidR="00EC7CA7">
        <w:rPr>
          <w:lang w:val="en-US"/>
        </w:rPr>
        <w:t>typography.</w:t>
      </w:r>
    </w:p>
    <w:p w14:paraId="4CABF9FA" w14:textId="60160DC4" w:rsidR="00BC2DBF" w:rsidRDefault="00BC2DBF" w:rsidP="002B6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Missing or erroneous punctuation within </w:t>
      </w:r>
      <w:r>
        <w:rPr>
          <w:i/>
          <w:iCs/>
          <w:lang w:val="en-US"/>
        </w:rPr>
        <w:t>CGL</w:t>
      </w:r>
      <w:r>
        <w:rPr>
          <w:lang w:val="en-US"/>
        </w:rPr>
        <w:t>-internal cross-references have been silently corrected</w:t>
      </w:r>
      <w:r w:rsidR="007113E6">
        <w:rPr>
          <w:lang w:val="en-US"/>
        </w:rPr>
        <w:t xml:space="preserve"> wherever found</w:t>
      </w:r>
      <w:r>
        <w:rPr>
          <w:lang w:val="en-US"/>
        </w:rPr>
        <w:t xml:space="preserve">. </w:t>
      </w:r>
      <w:r w:rsidR="009C7A22">
        <w:rPr>
          <w:lang w:val="en-US"/>
        </w:rPr>
        <w:t xml:space="preserve">Typically this involves a missing or erroneous semicolon, comma, or period (e.g. </w:t>
      </w:r>
      <w:r w:rsidR="00C97E1A">
        <w:rPr>
          <w:lang w:val="en-US"/>
        </w:rPr>
        <w:t xml:space="preserve">comma added at </w:t>
      </w:r>
      <w:r w:rsidR="009C7A22">
        <w:rPr>
          <w:lang w:val="en-US"/>
        </w:rPr>
        <w:t xml:space="preserve">VI 13 s.v. </w:t>
      </w:r>
      <w:r w:rsidR="00C97E1A">
        <w:rPr>
          <w:i/>
          <w:iCs/>
          <w:lang w:val="en-US"/>
        </w:rPr>
        <w:t>A</w:t>
      </w:r>
      <w:r w:rsidR="009C7A22">
        <w:rPr>
          <w:i/>
          <w:iCs/>
          <w:lang w:val="en-US"/>
        </w:rPr>
        <w:t>ccessio</w:t>
      </w:r>
      <w:r w:rsidR="009C7A22">
        <w:rPr>
          <w:lang w:val="en-US"/>
        </w:rPr>
        <w:t>: “</w:t>
      </w:r>
      <w:r w:rsidR="009C7A22" w:rsidRPr="00972047">
        <w:rPr>
          <w:lang w:val="en-US"/>
        </w:rPr>
        <w:t>II 310 47</w:t>
      </w:r>
      <w:r w:rsidR="009C7A22">
        <w:rPr>
          <w:lang w:val="en-US"/>
        </w:rPr>
        <w:t xml:space="preserve">” </w:t>
      </w:r>
      <w:r w:rsidR="00C97E1A">
        <w:rPr>
          <w:lang w:val="en-US"/>
        </w:rPr>
        <w:t>-&gt;</w:t>
      </w:r>
      <w:r w:rsidR="009C7A22">
        <w:rPr>
          <w:lang w:val="en-US"/>
        </w:rPr>
        <w:t xml:space="preserve"> “II 310, 47”</w:t>
      </w:r>
      <w:r w:rsidR="00464134">
        <w:rPr>
          <w:lang w:val="en-US"/>
        </w:rPr>
        <w:t xml:space="preserve">; </w:t>
      </w:r>
      <w:r w:rsidR="00C97E1A">
        <w:rPr>
          <w:lang w:val="en-US"/>
        </w:rPr>
        <w:t xml:space="preserve">period changed to </w:t>
      </w:r>
      <w:r w:rsidR="00664CEB">
        <w:rPr>
          <w:lang w:val="en-US"/>
        </w:rPr>
        <w:t>semicolon</w:t>
      </w:r>
      <w:r w:rsidR="00C97E1A">
        <w:rPr>
          <w:lang w:val="en-US"/>
        </w:rPr>
        <w:t xml:space="preserve"> at </w:t>
      </w:r>
      <w:r w:rsidR="00464134">
        <w:rPr>
          <w:lang w:val="en-US"/>
        </w:rPr>
        <w:t>VI 42: “</w:t>
      </w:r>
      <w:r w:rsidR="00464134" w:rsidRPr="007D240C">
        <w:rPr>
          <w:rFonts w:cs="Times New Roman"/>
          <w:szCs w:val="24"/>
          <w:lang w:val="la-Latn" w:bidi="la-Latn"/>
        </w:rPr>
        <w:t>299, 27. 356, 13</w:t>
      </w:r>
      <w:r w:rsidR="00464134">
        <w:rPr>
          <w:rFonts w:cs="Times New Roman"/>
          <w:szCs w:val="24"/>
          <w:lang w:val="la-Latn" w:bidi="la-Latn"/>
        </w:rPr>
        <w:t>” -&gt; “</w:t>
      </w:r>
      <w:r w:rsidR="00464134" w:rsidRPr="007D240C">
        <w:rPr>
          <w:rFonts w:cs="Times New Roman"/>
          <w:szCs w:val="24"/>
          <w:lang w:val="la-Latn" w:bidi="la-Latn"/>
        </w:rPr>
        <w:t>299, 27</w:t>
      </w:r>
      <w:r w:rsidR="00464134">
        <w:rPr>
          <w:rFonts w:cs="Times New Roman"/>
          <w:szCs w:val="24"/>
          <w:lang w:val="la-Latn" w:bidi="la-Latn"/>
        </w:rPr>
        <w:t xml:space="preserve">; </w:t>
      </w:r>
      <w:r w:rsidR="00464134" w:rsidRPr="007D240C">
        <w:rPr>
          <w:rFonts w:cs="Times New Roman"/>
          <w:szCs w:val="24"/>
          <w:lang w:val="la-Latn" w:bidi="la-Latn"/>
        </w:rPr>
        <w:t>356, 13</w:t>
      </w:r>
      <w:r w:rsidR="00464134">
        <w:rPr>
          <w:rFonts w:cs="Times New Roman"/>
          <w:szCs w:val="24"/>
          <w:lang w:val="la-Latn" w:bidi="la-Latn"/>
        </w:rPr>
        <w:t>”</w:t>
      </w:r>
      <w:r w:rsidR="009C7A22">
        <w:rPr>
          <w:rFonts w:cs="Ahorus"/>
          <w:lang w:val="en-US"/>
        </w:rPr>
        <w:t xml:space="preserve">). </w:t>
      </w:r>
      <w:r w:rsidR="00D33BD3">
        <w:rPr>
          <w:rFonts w:cs="Ahorus"/>
          <w:lang w:val="en-US"/>
        </w:rPr>
        <w:t xml:space="preserve">Roman numerals accidentally repeated have also been fixed (e.g. </w:t>
      </w:r>
      <w:r w:rsidR="00D33BD3">
        <w:rPr>
          <w:lang w:val="en-US"/>
        </w:rPr>
        <w:t>VI 88 s.v. Arbor: “</w:t>
      </w:r>
      <w:r w:rsidR="00D33BD3" w:rsidRPr="00FF4E13">
        <w:rPr>
          <w:lang w:val="en-US"/>
        </w:rPr>
        <w:t>III III 538, 26</w:t>
      </w:r>
      <w:r w:rsidR="00D33BD3">
        <w:rPr>
          <w:lang w:val="en-US"/>
        </w:rPr>
        <w:t>” -&gt; “</w:t>
      </w:r>
      <w:r w:rsidR="00D33BD3" w:rsidRPr="00FF4E13">
        <w:rPr>
          <w:lang w:val="en-US"/>
        </w:rPr>
        <w:t>III 538, 26</w:t>
      </w:r>
      <w:r w:rsidR="00D33BD3">
        <w:rPr>
          <w:lang w:val="en-US"/>
        </w:rPr>
        <w:t>”</w:t>
      </w:r>
      <w:r w:rsidR="00D33BD3">
        <w:rPr>
          <w:rFonts w:cs="Ahorus"/>
          <w:lang w:val="en-US"/>
        </w:rPr>
        <w:t xml:space="preserve">). </w:t>
      </w:r>
      <w:r w:rsidR="009C7A22">
        <w:rPr>
          <w:rFonts w:cs="Ahorus"/>
          <w:lang w:val="en-US"/>
        </w:rPr>
        <w:t>These changes are not listed below</w:t>
      </w:r>
      <w:r w:rsidR="007113E6">
        <w:rPr>
          <w:rFonts w:cs="Ahorus"/>
          <w:lang w:val="en-US"/>
        </w:rPr>
        <w:t>, and undetected errors may remain.</w:t>
      </w:r>
    </w:p>
    <w:p w14:paraId="2C3BC642" w14:textId="745C7385" w:rsidR="007113E6" w:rsidRPr="007113E6" w:rsidRDefault="007113E6" w:rsidP="007113E6">
      <w:pPr>
        <w:pStyle w:val="ListParagraph"/>
        <w:numPr>
          <w:ilvl w:val="0"/>
          <w:numId w:val="1"/>
        </w:numPr>
        <w:rPr>
          <w:lang w:val="la-Latn" w:bidi="la-Latn"/>
        </w:rPr>
      </w:pPr>
      <w:r>
        <w:rPr>
          <w:lang w:val="en-US"/>
        </w:rPr>
        <w:t>Missing periods have also been silently added in other contexts for the sake of consistency</w:t>
      </w:r>
      <w:r w:rsidR="00611847">
        <w:rPr>
          <w:lang w:val="en-US"/>
        </w:rPr>
        <w:t xml:space="preserve"> with </w:t>
      </w:r>
      <w:r w:rsidR="00611847">
        <w:rPr>
          <w:i/>
          <w:iCs/>
          <w:lang w:val="en-US"/>
        </w:rPr>
        <w:t xml:space="preserve">CGL </w:t>
      </w:r>
      <w:r w:rsidR="00611847">
        <w:rPr>
          <w:lang w:val="en-US"/>
        </w:rPr>
        <w:t>conventions</w:t>
      </w:r>
      <w:r w:rsidR="000C48A0">
        <w:rPr>
          <w:lang w:val="en-US"/>
        </w:rPr>
        <w:t xml:space="preserve">, especially after abbreviations or to subdivide sections of an entry </w:t>
      </w:r>
      <w:r>
        <w:rPr>
          <w:lang w:val="en-US"/>
        </w:rPr>
        <w:t>(e.g. VI 55 s.v. Althaea: “</w:t>
      </w:r>
      <w:r w:rsidRPr="007113E6">
        <w:rPr>
          <w:i/>
          <w:iCs/>
          <w:lang w:val="en-US" w:bidi="la-Latn"/>
        </w:rPr>
        <w:t>Cf. Pseudap. c.</w:t>
      </w:r>
      <w:r w:rsidRPr="007113E6">
        <w:rPr>
          <w:b/>
          <w:bCs/>
          <w:lang w:val="en-US" w:bidi="la-Latn"/>
        </w:rPr>
        <w:t xml:space="preserve"> </w:t>
      </w:r>
      <w:r w:rsidRPr="007113E6">
        <w:rPr>
          <w:lang w:val="en-US" w:bidi="la-Latn"/>
        </w:rPr>
        <w:t xml:space="preserve">XXXIX </w:t>
      </w:r>
      <w:r w:rsidRPr="007113E6">
        <w:rPr>
          <w:i/>
          <w:lang w:val="en-US" w:bidi="la-Latn"/>
        </w:rPr>
        <w:t>V.</w:t>
      </w:r>
      <w:r w:rsidRPr="007113E6">
        <w:rPr>
          <w:b/>
          <w:bCs/>
          <w:lang w:val="en-US" w:bidi="la-Latn"/>
        </w:rPr>
        <w:t xml:space="preserve"> </w:t>
      </w:r>
      <w:r w:rsidRPr="007113E6">
        <w:rPr>
          <w:lang w:val="en-US" w:bidi="la-Latn"/>
        </w:rPr>
        <w:t>artemisia.</w:t>
      </w:r>
      <w:r>
        <w:rPr>
          <w:lang w:val="en-US" w:bidi="la-Latn"/>
        </w:rPr>
        <w:t>” -&gt; “</w:t>
      </w:r>
      <w:r w:rsidRPr="007113E6">
        <w:rPr>
          <w:i/>
          <w:iCs/>
          <w:lang w:val="la-Latn" w:bidi="la-Latn"/>
        </w:rPr>
        <w:t>Cf. Pseudap. c.</w:t>
      </w:r>
      <w:r w:rsidRPr="007113E6">
        <w:rPr>
          <w:b/>
          <w:bCs/>
          <w:lang w:val="la-Latn" w:bidi="la-Latn"/>
        </w:rPr>
        <w:t xml:space="preserve"> </w:t>
      </w:r>
      <w:r w:rsidRPr="007113E6">
        <w:rPr>
          <w:lang w:val="la-Latn" w:bidi="la-Latn"/>
        </w:rPr>
        <w:t>XXXIX</w:t>
      </w:r>
      <w:r w:rsidRPr="007113E6">
        <w:rPr>
          <w:highlight w:val="yellow"/>
          <w:lang w:val="la-Latn" w:bidi="la-Latn"/>
        </w:rPr>
        <w:t>.</w:t>
      </w:r>
      <w:r w:rsidRPr="007113E6">
        <w:rPr>
          <w:lang w:val="la-Latn" w:bidi="la-Latn"/>
        </w:rPr>
        <w:t xml:space="preserve"> </w:t>
      </w:r>
      <w:r w:rsidRPr="007113E6">
        <w:rPr>
          <w:i/>
          <w:lang w:val="la-Latn" w:bidi="la-Latn"/>
        </w:rPr>
        <w:t>V.</w:t>
      </w:r>
      <w:r w:rsidRPr="007113E6">
        <w:rPr>
          <w:b/>
          <w:bCs/>
          <w:lang w:val="la-Latn" w:bidi="la-Latn"/>
        </w:rPr>
        <w:t xml:space="preserve"> </w:t>
      </w:r>
      <w:r w:rsidRPr="007113E6">
        <w:rPr>
          <w:lang w:val="la-Latn" w:bidi="la-Latn"/>
        </w:rPr>
        <w:t>artemisia.</w:t>
      </w:r>
      <w:r>
        <w:rPr>
          <w:lang w:val="la-Latn" w:bidi="la-Latn"/>
        </w:rPr>
        <w:t>”</w:t>
      </w:r>
      <w:r w:rsidR="00611847">
        <w:rPr>
          <w:lang w:val="la-Latn" w:bidi="la-Latn"/>
        </w:rPr>
        <w:t>; VI 57 s.v. alumnae: “</w:t>
      </w:r>
      <w:r w:rsidR="00611847" w:rsidRPr="00F954A0">
        <w:rPr>
          <w:rFonts w:cs="Times New Roman"/>
          <w:i/>
          <w:iCs/>
          <w:szCs w:val="24"/>
          <w:lang w:bidi="la-Latn"/>
        </w:rPr>
        <w:t>A</w:t>
      </w:r>
      <w:r w:rsidR="00611847" w:rsidRPr="00F954A0">
        <w:rPr>
          <w:rFonts w:cs="Times New Roman"/>
          <w:i/>
          <w:iCs/>
          <w:szCs w:val="24"/>
          <w:lang w:val="la-Latn" w:bidi="la-Latn"/>
        </w:rPr>
        <w:t>S</w:t>
      </w:r>
      <w:r w:rsidR="00611847">
        <w:rPr>
          <w:rFonts w:cs="Times New Roman"/>
          <w:szCs w:val="24"/>
          <w:lang w:val="la-Latn" w:bidi="la-Latn"/>
        </w:rPr>
        <w:t>” -&gt; “</w:t>
      </w:r>
      <w:r w:rsidR="00611847">
        <w:rPr>
          <w:rFonts w:cs="Times New Roman"/>
          <w:i/>
          <w:iCs/>
          <w:szCs w:val="24"/>
          <w:lang w:val="la-Latn" w:bidi="la-Latn"/>
        </w:rPr>
        <w:t>AS</w:t>
      </w:r>
      <w:r w:rsidR="00611847" w:rsidRPr="00611847">
        <w:rPr>
          <w:rFonts w:cs="Times New Roman"/>
          <w:i/>
          <w:iCs/>
          <w:szCs w:val="24"/>
          <w:highlight w:val="yellow"/>
          <w:lang w:val="la-Latn" w:bidi="la-Latn"/>
        </w:rPr>
        <w:t>.</w:t>
      </w:r>
      <w:r w:rsidR="00611847">
        <w:rPr>
          <w:rFonts w:cs="Times New Roman"/>
          <w:szCs w:val="24"/>
          <w:lang w:val="la-Latn" w:bidi="la-Latn"/>
        </w:rPr>
        <w:t>”</w:t>
      </w:r>
      <w:r w:rsidR="00CC6AE3">
        <w:rPr>
          <w:lang w:val="la-Latn" w:bidi="la-Latn"/>
        </w:rPr>
        <w:t>).</w:t>
      </w:r>
    </w:p>
    <w:p w14:paraId="6E6E73E9" w14:textId="1CAC7EC5" w:rsidR="00D96513" w:rsidRDefault="007113E6" w:rsidP="00711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or erroneously added brackets have been silently corrected wherever found</w:t>
      </w:r>
      <w:r w:rsidR="00D96513">
        <w:rPr>
          <w:lang w:val="en-US"/>
        </w:rPr>
        <w:t xml:space="preserve"> (e.g. VI 458 s.v. </w:t>
      </w:r>
      <w:r w:rsidR="00D96513">
        <w:rPr>
          <w:i/>
          <w:iCs/>
          <w:lang w:val="en-US"/>
        </w:rPr>
        <w:t xml:space="preserve">flos </w:t>
      </w:r>
      <w:r w:rsidR="00D96513">
        <w:rPr>
          <w:lang w:val="en-US"/>
        </w:rPr>
        <w:t>ipse: “</w:t>
      </w:r>
      <w:r w:rsidR="00D96513" w:rsidRPr="00D96513">
        <w:rPr>
          <w:lang w:val="en-US"/>
        </w:rPr>
        <w:t>(Ter. Eun. 319: ante uiolentia intercidit lemma ui</w:t>
      </w:r>
      <w:r w:rsidR="00D96513">
        <w:rPr>
          <w:lang w:val="en-US"/>
        </w:rPr>
        <w:t>” corrected to “</w:t>
      </w:r>
      <w:r w:rsidR="00D96513" w:rsidRPr="00D96513">
        <w:rPr>
          <w:lang w:val="en-US"/>
        </w:rPr>
        <w:t>(Ter. Eun. 319: ante uiolentia intercidit lemma ui</w:t>
      </w:r>
      <w:r w:rsidR="00D96513">
        <w:rPr>
          <w:lang w:val="en-US"/>
        </w:rPr>
        <w:t>).”</w:t>
      </w:r>
      <w:r w:rsidR="00276F5B">
        <w:rPr>
          <w:lang w:val="en-US"/>
        </w:rPr>
        <w:t>)</w:t>
      </w:r>
      <w:r w:rsidR="00EA1711">
        <w:rPr>
          <w:lang w:val="en-US"/>
        </w:rPr>
        <w:t>.</w:t>
      </w:r>
    </w:p>
    <w:p w14:paraId="0A5B402B" w14:textId="010B2703" w:rsidR="005A387A" w:rsidRPr="005367CC" w:rsidRDefault="00D15DB8" w:rsidP="002B6A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the </w:t>
      </w:r>
      <w:r w:rsidRPr="008846EC">
        <w:rPr>
          <w:i/>
          <w:iCs/>
          <w:lang w:val="en-US"/>
        </w:rPr>
        <w:t>Index Graeco-Latinus</w:t>
      </w:r>
      <w:r>
        <w:rPr>
          <w:lang w:val="en-US"/>
        </w:rPr>
        <w:t xml:space="preserve"> and </w:t>
      </w:r>
      <w:r w:rsidRPr="008846EC">
        <w:rPr>
          <w:i/>
          <w:iCs/>
          <w:lang w:val="en-US"/>
        </w:rPr>
        <w:t>Index Anglosaxonicus</w:t>
      </w:r>
      <w:r>
        <w:rPr>
          <w:lang w:val="en-US"/>
        </w:rPr>
        <w:t xml:space="preserve">, “hanging” words – </w:t>
      </w:r>
      <w:r w:rsidR="004A3D02" w:rsidRPr="004A3D02">
        <w:rPr>
          <w:lang w:val="en-US"/>
        </w:rPr>
        <w:t xml:space="preserve">dislocated from their logical position because of lack of space at </w:t>
      </w:r>
      <w:r w:rsidR="00C11065">
        <w:rPr>
          <w:lang w:val="en-US"/>
        </w:rPr>
        <w:t xml:space="preserve">line and </w:t>
      </w:r>
      <w:r w:rsidR="004A3D02" w:rsidRPr="004A3D02">
        <w:rPr>
          <w:lang w:val="en-US"/>
        </w:rPr>
        <w:t xml:space="preserve">and </w:t>
      </w:r>
      <w:r w:rsidR="004A3D02" w:rsidRPr="004A3D02">
        <w:rPr>
          <w:lang w:val="en-US"/>
        </w:rPr>
        <w:lastRenderedPageBreak/>
        <w:t xml:space="preserve">printed at the end of a different line after </w:t>
      </w:r>
      <w:r w:rsidR="004A3D02">
        <w:rPr>
          <w:lang w:val="en-US"/>
        </w:rPr>
        <w:t>“</w:t>
      </w:r>
      <w:r w:rsidR="004A3D02" w:rsidRPr="004A3D02">
        <w:rPr>
          <w:lang w:val="en-US"/>
        </w:rPr>
        <w:t>[</w:t>
      </w:r>
      <w:r w:rsidR="004A3D02">
        <w:rPr>
          <w:lang w:val="en-US"/>
        </w:rPr>
        <w:t>“</w:t>
      </w:r>
      <w:r w:rsidR="004A3D02" w:rsidRPr="004A3D02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A3D02">
        <w:rPr>
          <w:lang w:val="en-US"/>
        </w:rPr>
        <w:t>have been moved to their logical position</w:t>
      </w:r>
      <w:r w:rsidR="005367CC">
        <w:rPr>
          <w:lang w:val="en-US"/>
        </w:rPr>
        <w:t>.</w:t>
      </w:r>
    </w:p>
    <w:p w14:paraId="7EC05C55" w14:textId="23E45CA8" w:rsidR="005367CC" w:rsidRPr="003010BA" w:rsidRDefault="005367CC" w:rsidP="002B6A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Footnotes at the bottom of the page – only a few of these occur, and only in the </w:t>
      </w:r>
      <w:r w:rsidRPr="000D1827">
        <w:rPr>
          <w:i/>
          <w:iCs/>
          <w:lang w:val="en-US"/>
        </w:rPr>
        <w:t>Index Graeco-Latinus</w:t>
      </w:r>
      <w:r>
        <w:rPr>
          <w:lang w:val="en-US"/>
        </w:rPr>
        <w:t xml:space="preserve"> –</w:t>
      </w:r>
      <w:r w:rsidR="00C11065">
        <w:rPr>
          <w:lang w:val="en-US"/>
        </w:rPr>
        <w:t xml:space="preserve"> </w:t>
      </w:r>
      <w:r>
        <w:rPr>
          <w:lang w:val="en-US"/>
        </w:rPr>
        <w:t xml:space="preserve">have been deleted, but the </w:t>
      </w:r>
      <w:r w:rsidR="00E11499">
        <w:rPr>
          <w:lang w:val="en-US"/>
        </w:rPr>
        <w:t>in-line superscript</w:t>
      </w:r>
      <w:r>
        <w:rPr>
          <w:lang w:val="en-US"/>
        </w:rPr>
        <w:t xml:space="preserve"> footnote number is preserved in markdown as, e.g. “^1”.</w:t>
      </w:r>
    </w:p>
    <w:p w14:paraId="5EFC5D12" w14:textId="1614AEB4" w:rsidR="003010BA" w:rsidRPr="00336221" w:rsidRDefault="003010BA" w:rsidP="002B6A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Goetz’s orthography has generally been preserved, e.g. “</w:t>
      </w:r>
      <w:r>
        <w:rPr>
          <w:i/>
          <w:iCs/>
          <w:lang w:val="en-US"/>
        </w:rPr>
        <w:t>vel</w:t>
      </w:r>
      <w:r>
        <w:rPr>
          <w:lang w:val="en-US"/>
        </w:rPr>
        <w:t>” when italicized but “uel” in ancient quotations.</w:t>
      </w:r>
    </w:p>
    <w:p w14:paraId="19D9E223" w14:textId="77777777" w:rsidR="00E614D9" w:rsidRDefault="00E614D9" w:rsidP="00841CAA">
      <w:pPr>
        <w:rPr>
          <w:lang w:val="en-US"/>
        </w:rPr>
      </w:pPr>
    </w:p>
    <w:p w14:paraId="5DABB64C" w14:textId="6981E790" w:rsidR="00F92258" w:rsidRDefault="00F974B5" w:rsidP="00841CAA">
      <w:pPr>
        <w:rPr>
          <w:lang w:val="en-US"/>
        </w:rPr>
      </w:pPr>
      <w:r w:rsidRPr="00C11065">
        <w:rPr>
          <w:b/>
          <w:bCs/>
          <w:lang w:val="en-US"/>
        </w:rPr>
        <w:t xml:space="preserve">Specific changes and corrections applied to the </w:t>
      </w:r>
      <w:r w:rsidRPr="00C11065">
        <w:rPr>
          <w:b/>
          <w:bCs/>
          <w:i/>
          <w:iCs/>
          <w:lang w:val="en-US"/>
        </w:rPr>
        <w:t xml:space="preserve">CGLO </w:t>
      </w:r>
      <w:r w:rsidRPr="00C11065">
        <w:rPr>
          <w:b/>
          <w:bCs/>
          <w:lang w:val="en-US"/>
        </w:rPr>
        <w:t>files</w:t>
      </w:r>
    </w:p>
    <w:p w14:paraId="4CF8A301" w14:textId="47F31522" w:rsidR="00FF1EBF" w:rsidRDefault="00FF1EBF" w:rsidP="00FF1EBF">
      <w:pPr>
        <w:rPr>
          <w:lang w:val="en-US"/>
        </w:rPr>
      </w:pPr>
      <w:r>
        <w:rPr>
          <w:lang w:val="en-US"/>
        </w:rPr>
        <w:t>VI</w:t>
      </w:r>
      <w:r w:rsidR="00326804">
        <w:rPr>
          <w:lang w:val="en-US"/>
        </w:rPr>
        <w:t xml:space="preserve"> </w:t>
      </w:r>
      <w:r>
        <w:rPr>
          <w:lang w:val="en-US"/>
        </w:rPr>
        <w:t xml:space="preserve">7 s.v. Abrogo: “238, 26” </w:t>
      </w:r>
      <w:r w:rsidR="006202AF">
        <w:rPr>
          <w:rFonts w:cs="Times New Roman"/>
          <w:lang w:val="en-US"/>
        </w:rPr>
        <w:t>→</w:t>
      </w:r>
      <w:r>
        <w:rPr>
          <w:lang w:val="en-US"/>
        </w:rPr>
        <w:t xml:space="preserve"> “II 238, 16.”</w:t>
      </w:r>
    </w:p>
    <w:p w14:paraId="1F422E35" w14:textId="3B5E4C61" w:rsidR="00326804" w:rsidRDefault="00326804" w:rsidP="00514CE8">
      <w:pPr>
        <w:rPr>
          <w:rFonts w:cs="Times New Roman"/>
          <w:szCs w:val="24"/>
          <w:lang w:val="la-Latn" w:bidi="la-Latn"/>
        </w:rPr>
      </w:pPr>
      <w:r>
        <w:rPr>
          <w:lang w:val="en-US"/>
        </w:rPr>
        <w:t>VI 16 s.v. Acetabulum: “</w:t>
      </w:r>
      <w:r w:rsidRPr="0051788A">
        <w:rPr>
          <w:rFonts w:cs="Times New Roman"/>
          <w:szCs w:val="24"/>
          <w:lang w:val="la-Latn" w:bidi="la-Latn"/>
        </w:rPr>
        <w:t xml:space="preserve">LIII 127.) </w:t>
      </w:r>
      <w:r w:rsidRPr="0051788A">
        <w:rPr>
          <w:rFonts w:cs="Times New Roman"/>
          <w:b/>
          <w:bCs/>
          <w:szCs w:val="24"/>
          <w:lang w:val="la-Latn" w:bidi="la-Latn"/>
        </w:rPr>
        <w:t>acetabulum</w:t>
      </w:r>
      <w:r w:rsidRPr="00326804">
        <w:rPr>
          <w:rFonts w:cs="Times New Roman"/>
          <w:szCs w:val="24"/>
          <w:lang w:val="la-Latn" w:bidi="la-Latn"/>
        </w:rPr>
        <w:t>”</w:t>
      </w:r>
      <w:r>
        <w:rPr>
          <w:rFonts w:cs="Times New Roman"/>
          <w:szCs w:val="24"/>
          <w:lang w:val="la-Latn" w:bidi="la-Latn"/>
        </w:rPr>
        <w:t xml:space="preserve"> </w:t>
      </w:r>
      <w:r w:rsidR="006202AF">
        <w:rPr>
          <w:rFonts w:cs="Times New Roman"/>
          <w:lang w:val="en-US"/>
        </w:rPr>
        <w:t>→</w:t>
      </w:r>
      <w:r>
        <w:rPr>
          <w:rFonts w:cs="Times New Roman"/>
          <w:szCs w:val="24"/>
          <w:lang w:val="la-Latn" w:bidi="la-Latn"/>
        </w:rPr>
        <w:t xml:space="preserve"> “</w:t>
      </w:r>
      <w:r w:rsidRPr="0051788A">
        <w:rPr>
          <w:rFonts w:cs="Times New Roman"/>
          <w:szCs w:val="24"/>
          <w:lang w:val="la-Latn" w:bidi="la-Latn"/>
        </w:rPr>
        <w:t>LIII 127</w:t>
      </w:r>
      <w:r>
        <w:rPr>
          <w:rFonts w:cs="Times New Roman"/>
          <w:szCs w:val="24"/>
          <w:lang w:val="la-Latn" w:bidi="la-Latn"/>
        </w:rPr>
        <w:t>)</w:t>
      </w:r>
      <w:r w:rsidRPr="0051788A">
        <w:rPr>
          <w:rFonts w:cs="Times New Roman"/>
          <w:szCs w:val="24"/>
          <w:lang w:val="la-Latn" w:bidi="la-Latn"/>
        </w:rPr>
        <w:t xml:space="preserve">. </w:t>
      </w:r>
      <w:r w:rsidRPr="0051788A">
        <w:rPr>
          <w:rFonts w:cs="Times New Roman"/>
          <w:b/>
          <w:bCs/>
          <w:szCs w:val="24"/>
          <w:lang w:val="la-Latn" w:bidi="la-Latn"/>
        </w:rPr>
        <w:t>acetabulum</w:t>
      </w:r>
      <w:r w:rsidRPr="00326804">
        <w:rPr>
          <w:rFonts w:cs="Times New Roman"/>
          <w:szCs w:val="24"/>
          <w:lang w:val="la-Latn" w:bidi="la-Latn"/>
        </w:rPr>
        <w:t>”</w:t>
      </w:r>
    </w:p>
    <w:p w14:paraId="28448D62" w14:textId="735BF9A0" w:rsidR="00001B39" w:rsidRPr="00A36A87" w:rsidRDefault="00001B39" w:rsidP="00514CE8">
      <w:pPr>
        <w:rPr>
          <w:rFonts w:cs="Times New Roman"/>
          <w:szCs w:val="24"/>
          <w:lang w:val="la-Latn" w:bidi="la-Latn"/>
        </w:rPr>
      </w:pPr>
      <w:r w:rsidRPr="00A36A87">
        <w:rPr>
          <w:rFonts w:cs="Times New Roman"/>
          <w:szCs w:val="24"/>
          <w:lang w:val="la-Latn" w:bidi="la-Latn"/>
        </w:rPr>
        <w:t>VI 24 s.v. Adipiscor: “</w:t>
      </w:r>
      <w:r w:rsidRPr="00001B39">
        <w:rPr>
          <w:rFonts w:cs="Times New Roman"/>
          <w:szCs w:val="24"/>
          <w:lang w:val="en-US" w:bidi="la-Latn"/>
        </w:rPr>
        <w:t>ἐπιτύγχανει</w:t>
      </w:r>
      <w:r w:rsidRPr="00A36A87">
        <w:rPr>
          <w:rFonts w:cs="Times New Roman"/>
          <w:szCs w:val="24"/>
          <w:lang w:val="la-Latn" w:bidi="la-Latn"/>
        </w:rPr>
        <w:t xml:space="preserve">” </w:t>
      </w:r>
      <w:r w:rsidR="006202AF" w:rsidRPr="00A36A87">
        <w:rPr>
          <w:rFonts w:cs="Times New Roman"/>
          <w:lang w:val="la-Latn"/>
        </w:rPr>
        <w:t>→</w:t>
      </w:r>
      <w:r w:rsidRPr="00A36A87">
        <w:rPr>
          <w:rFonts w:cs="Times New Roman"/>
          <w:szCs w:val="24"/>
          <w:lang w:val="la-Latn" w:bidi="la-Latn"/>
        </w:rPr>
        <w:t xml:space="preserve"> “</w:t>
      </w:r>
      <w:r w:rsidRPr="00001B39">
        <w:rPr>
          <w:rFonts w:cs="Times New Roman"/>
          <w:szCs w:val="24"/>
          <w:lang w:val="en-US" w:bidi="la-Latn"/>
        </w:rPr>
        <w:t>ἐπιτ</w:t>
      </w:r>
      <w:r>
        <w:rPr>
          <w:rFonts w:cs="Times New Roman"/>
          <w:szCs w:val="24"/>
          <w:lang w:bidi="la-Latn"/>
        </w:rPr>
        <w:t>υ</w:t>
      </w:r>
      <w:r w:rsidRPr="00001B39">
        <w:rPr>
          <w:rFonts w:cs="Times New Roman"/>
          <w:szCs w:val="24"/>
          <w:lang w:val="en-US" w:bidi="la-Latn"/>
        </w:rPr>
        <w:t>γχ</w:t>
      </w:r>
      <w:r>
        <w:rPr>
          <w:rFonts w:cs="Times New Roman"/>
          <w:szCs w:val="24"/>
          <w:lang w:bidi="la-Latn"/>
        </w:rPr>
        <w:t>ά</w:t>
      </w:r>
      <w:r w:rsidRPr="00001B39">
        <w:rPr>
          <w:rFonts w:cs="Times New Roman"/>
          <w:szCs w:val="24"/>
          <w:lang w:val="en-US" w:bidi="la-Latn"/>
        </w:rPr>
        <w:t>νει</w:t>
      </w:r>
      <w:r w:rsidRPr="00A36A87">
        <w:rPr>
          <w:rFonts w:cs="Times New Roman"/>
          <w:szCs w:val="24"/>
          <w:lang w:val="la-Latn" w:bidi="la-Latn"/>
        </w:rPr>
        <w:t>”.</w:t>
      </w:r>
    </w:p>
    <w:p w14:paraId="69DD7140" w14:textId="1419C40C" w:rsidR="00881B63" w:rsidRPr="00A36A87" w:rsidRDefault="00881B63" w:rsidP="00514CE8">
      <w:pPr>
        <w:rPr>
          <w:rFonts w:cs="Times New Roman"/>
          <w:szCs w:val="24"/>
          <w:lang w:val="la-Latn" w:bidi="la-Latn"/>
        </w:rPr>
      </w:pPr>
      <w:r w:rsidRPr="00A36A87">
        <w:rPr>
          <w:rFonts w:cs="Times New Roman"/>
          <w:szCs w:val="24"/>
          <w:lang w:val="la-Latn" w:bidi="la-Latn"/>
        </w:rPr>
        <w:t>VI 25 s.v. Aditus: “</w:t>
      </w:r>
      <w:r w:rsidRPr="00881B63">
        <w:rPr>
          <w:rFonts w:cs="Times New Roman"/>
          <w:szCs w:val="24"/>
          <w:lang w:val="en-US" w:bidi="la-Latn"/>
        </w:rPr>
        <w:t>εἰσοδος</w:t>
      </w:r>
      <w:r w:rsidRPr="00A36A87">
        <w:rPr>
          <w:rFonts w:cs="Times New Roman"/>
          <w:szCs w:val="24"/>
          <w:lang w:val="la-Latn" w:bidi="la-Latn"/>
        </w:rPr>
        <w:t xml:space="preserve">” </w:t>
      </w:r>
      <w:r w:rsidR="001A5642" w:rsidRPr="00A36A87">
        <w:rPr>
          <w:rFonts w:cs="Times New Roman"/>
          <w:lang w:val="la-Latn"/>
        </w:rPr>
        <w:t>→</w:t>
      </w:r>
      <w:r w:rsidR="001A5642" w:rsidRPr="00A36A87">
        <w:rPr>
          <w:rFonts w:cs="Times New Roman"/>
          <w:szCs w:val="24"/>
          <w:lang w:val="la-Latn" w:bidi="la-Latn"/>
        </w:rPr>
        <w:t xml:space="preserve"> </w:t>
      </w:r>
      <w:r w:rsidRPr="00A36A87">
        <w:rPr>
          <w:rFonts w:cs="Times New Roman"/>
          <w:szCs w:val="24"/>
          <w:lang w:val="la-Latn" w:bidi="la-Latn"/>
        </w:rPr>
        <w:t>“</w:t>
      </w:r>
      <w:r w:rsidR="00A36A87">
        <w:rPr>
          <w:rFonts w:cs="Times New Roman"/>
          <w:szCs w:val="24"/>
          <w:lang w:val="cpg-Grek-GR" w:bidi="la-Latn"/>
        </w:rPr>
        <w:t>εἴσοδος</w:t>
      </w:r>
      <w:r w:rsidRPr="00A36A87">
        <w:rPr>
          <w:rFonts w:cs="Times New Roman"/>
          <w:szCs w:val="24"/>
          <w:lang w:val="la-Latn" w:bidi="la-Latn"/>
        </w:rPr>
        <w:t>”.</w:t>
      </w:r>
    </w:p>
    <w:p w14:paraId="624065F7" w14:textId="10858EFD" w:rsidR="00786E61" w:rsidRPr="00A36A87" w:rsidRDefault="00786E61" w:rsidP="00514CE8">
      <w:pPr>
        <w:rPr>
          <w:rFonts w:cs="Times New Roman"/>
          <w:szCs w:val="24"/>
          <w:lang w:val="la-Latn" w:bidi="la-Latn"/>
        </w:rPr>
      </w:pPr>
      <w:r w:rsidRPr="00A36A87">
        <w:rPr>
          <w:rFonts w:cs="Times New Roman"/>
          <w:szCs w:val="24"/>
          <w:lang w:val="la-Latn" w:bidi="la-Latn"/>
        </w:rPr>
        <w:t>VI 31 s.v. Aestimator: “</w:t>
      </w:r>
      <w:r w:rsidRPr="00786E61">
        <w:rPr>
          <w:rFonts w:ascii="IFAO-Grec Unicode" w:hAnsi="IFAO-Grec Unicode" w:cs="Times New Roman"/>
          <w:iCs/>
          <w:lang w:val="en-US" w:bidi="el-GR"/>
        </w:rPr>
        <w:t>ναόν</w:t>
      </w:r>
      <w:r w:rsidRPr="00A36A87">
        <w:rPr>
          <w:rFonts w:ascii="IFAO-Grec Unicode" w:hAnsi="IFAO-Grec Unicode" w:cs="Times New Roman"/>
          <w:iCs/>
          <w:lang w:val="la-Latn" w:bidi="el-GR"/>
        </w:rPr>
        <w:t xml:space="preserve"> </w:t>
      </w:r>
      <w:r w:rsidRPr="00786E61">
        <w:rPr>
          <w:rFonts w:ascii="IFAO-Grec Unicode" w:hAnsi="IFAO-Grec Unicode" w:cs="Times New Roman"/>
          <w:iCs/>
          <w:lang w:val="en-US" w:bidi="el-GR"/>
        </w:rPr>
        <w:t>σημαίνει</w:t>
      </w:r>
      <w:r w:rsidRPr="00A36A87">
        <w:rPr>
          <w:rFonts w:ascii="IFAO-Grec Unicode" w:hAnsi="IFAO-Grec Unicode" w:cs="Times New Roman"/>
          <w:iCs/>
          <w:lang w:val="la-Latn" w:bidi="el-GR"/>
        </w:rPr>
        <w:t xml:space="preserve">" </w:t>
      </w:r>
      <w:r w:rsidRPr="00A36A87">
        <w:rPr>
          <w:rFonts w:cs="Times New Roman"/>
          <w:lang w:val="la-Latn"/>
        </w:rPr>
        <w:t>→ “</w:t>
      </w:r>
      <w:r>
        <w:rPr>
          <w:rFonts w:cs="Times New Roman"/>
        </w:rPr>
        <w:t>ναὸν</w:t>
      </w:r>
      <w:r w:rsidRPr="00A36A87">
        <w:rPr>
          <w:rFonts w:cs="Times New Roman"/>
          <w:lang w:val="la-Latn"/>
        </w:rPr>
        <w:t xml:space="preserve"> </w:t>
      </w:r>
      <w:r>
        <w:rPr>
          <w:rFonts w:cs="Times New Roman"/>
        </w:rPr>
        <w:t>σημαίνει</w:t>
      </w:r>
      <w:r w:rsidRPr="00A36A87">
        <w:rPr>
          <w:rFonts w:cs="Times New Roman"/>
          <w:lang w:val="la-Latn"/>
        </w:rPr>
        <w:t>”</w:t>
      </w:r>
    </w:p>
    <w:p w14:paraId="7EDDA1CA" w14:textId="4447E523" w:rsidR="00574A7A" w:rsidRPr="00A36A87" w:rsidRDefault="00574A7A" w:rsidP="00514CE8">
      <w:pPr>
        <w:rPr>
          <w:lang w:val="la-Latn"/>
        </w:rPr>
      </w:pPr>
      <w:r>
        <w:rPr>
          <w:rFonts w:cs="Times New Roman"/>
          <w:szCs w:val="24"/>
          <w:lang w:val="la-Latn" w:bidi="la-Latn"/>
        </w:rPr>
        <w:t>VI 32 s.v. Affinitas: “</w:t>
      </w:r>
      <w:r w:rsidRPr="007D240C">
        <w:rPr>
          <w:rFonts w:cs="Times New Roman"/>
          <w:b/>
          <w:bCs/>
          <w:szCs w:val="24"/>
          <w:lang w:val="la-Latn" w:bidi="la-Latn"/>
        </w:rPr>
        <w:t xml:space="preserve">Affinitas </w:t>
      </w:r>
      <w:r w:rsidRPr="007D240C">
        <w:rPr>
          <w:rFonts w:cs="Times New Roman"/>
          <w:iCs/>
          <w:szCs w:val="24"/>
          <w:lang w:val="la-Latn" w:bidi="la-Latn"/>
        </w:rPr>
        <w:t>(</w:t>
      </w:r>
      <w:r w:rsidRPr="007D240C">
        <w:rPr>
          <w:rFonts w:cs="Times New Roman"/>
          <w:i/>
          <w:iCs/>
          <w:szCs w:val="24"/>
          <w:lang w:val="la-Latn" w:bidi="la-Latn"/>
        </w:rPr>
        <w:t>vel</w:t>
      </w:r>
      <w:r w:rsidRPr="007D240C">
        <w:rPr>
          <w:rFonts w:cs="Times New Roman"/>
          <w:szCs w:val="24"/>
          <w:lang w:val="la-Latn" w:bidi="la-Latn"/>
        </w:rPr>
        <w:t xml:space="preserve"> adf.) </w:t>
      </w:r>
      <w:r w:rsidRPr="007D240C">
        <w:rPr>
          <w:rFonts w:cs="Times New Roman"/>
          <w:szCs w:val="24"/>
          <w:lang w:bidi="el-GR"/>
        </w:rPr>
        <w:t>συγγένεια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 xml:space="preserve">II 7, 32, </w:t>
      </w:r>
      <w:r w:rsidRPr="007D240C">
        <w:rPr>
          <w:rFonts w:cs="Times New Roman"/>
          <w:szCs w:val="24"/>
          <w:lang w:bidi="el-GR"/>
        </w:rPr>
        <w:t>ἀγχιστεία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 xml:space="preserve">II 217, 49. </w:t>
      </w:r>
      <w:r w:rsidRPr="007D240C">
        <w:rPr>
          <w:rFonts w:cs="Times New Roman"/>
          <w:iCs/>
          <w:szCs w:val="24"/>
          <w:lang w:bidi="el-GR"/>
        </w:rPr>
        <w:t>ἐπιγαμβρία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>II 307. 24.</w:t>
      </w:r>
      <w:r>
        <w:rPr>
          <w:rFonts w:cs="Times New Roman"/>
          <w:szCs w:val="24"/>
          <w:lang w:val="la-Latn" w:bidi="la-Latn"/>
        </w:rPr>
        <w:t>” -&gt; “</w:t>
      </w:r>
      <w:r w:rsidRPr="007D240C">
        <w:rPr>
          <w:rFonts w:cs="Times New Roman"/>
          <w:b/>
          <w:bCs/>
          <w:szCs w:val="24"/>
          <w:lang w:val="la-Latn" w:bidi="la-Latn"/>
        </w:rPr>
        <w:t xml:space="preserve">Affinitas </w:t>
      </w:r>
      <w:r w:rsidRPr="007D240C">
        <w:rPr>
          <w:rFonts w:cs="Times New Roman"/>
          <w:iCs/>
          <w:szCs w:val="24"/>
          <w:lang w:val="la-Latn" w:bidi="la-Latn"/>
        </w:rPr>
        <w:t>(</w:t>
      </w:r>
      <w:r w:rsidRPr="007D240C">
        <w:rPr>
          <w:rFonts w:cs="Times New Roman"/>
          <w:i/>
          <w:iCs/>
          <w:szCs w:val="24"/>
          <w:lang w:val="la-Latn" w:bidi="la-Latn"/>
        </w:rPr>
        <w:t>vel</w:t>
      </w:r>
      <w:r w:rsidRPr="007D240C">
        <w:rPr>
          <w:rFonts w:cs="Times New Roman"/>
          <w:szCs w:val="24"/>
          <w:lang w:val="la-Latn" w:bidi="la-Latn"/>
        </w:rPr>
        <w:t xml:space="preserve"> adf.) </w:t>
      </w:r>
      <w:r w:rsidRPr="007D240C">
        <w:rPr>
          <w:rFonts w:cs="Times New Roman"/>
          <w:szCs w:val="24"/>
          <w:lang w:bidi="el-GR"/>
        </w:rPr>
        <w:t>συγγένεια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>II 7, 32</w:t>
      </w:r>
      <w:r>
        <w:rPr>
          <w:rFonts w:cs="Times New Roman"/>
          <w:szCs w:val="24"/>
          <w:lang w:val="la-Latn" w:bidi="la-Latn"/>
        </w:rPr>
        <w:t>.</w:t>
      </w:r>
      <w:r w:rsidRPr="007D240C">
        <w:rPr>
          <w:rFonts w:cs="Times New Roman"/>
          <w:szCs w:val="24"/>
          <w:lang w:val="la-Latn" w:bidi="la-Latn"/>
        </w:rPr>
        <w:t xml:space="preserve"> </w:t>
      </w:r>
      <w:r w:rsidRPr="007D240C">
        <w:rPr>
          <w:rFonts w:cs="Times New Roman"/>
          <w:szCs w:val="24"/>
          <w:lang w:bidi="el-GR"/>
        </w:rPr>
        <w:t>ἀγχιστεία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 xml:space="preserve">II 217, 49. </w:t>
      </w:r>
      <w:r w:rsidRPr="007D240C">
        <w:rPr>
          <w:rFonts w:cs="Times New Roman"/>
          <w:iCs/>
          <w:szCs w:val="24"/>
          <w:lang w:bidi="el-GR"/>
        </w:rPr>
        <w:t>ἐπιγαμβρία</w:t>
      </w:r>
      <w:r w:rsidRPr="00A36A87">
        <w:rPr>
          <w:rFonts w:cs="Times New Roman"/>
          <w:szCs w:val="24"/>
          <w:lang w:val="la-Latn" w:bidi="el-GR"/>
        </w:rPr>
        <w:t xml:space="preserve"> </w:t>
      </w:r>
      <w:r w:rsidRPr="007D240C">
        <w:rPr>
          <w:rFonts w:cs="Times New Roman"/>
          <w:szCs w:val="24"/>
          <w:lang w:val="la-Latn" w:bidi="la-Latn"/>
        </w:rPr>
        <w:t>II 307</w:t>
      </w:r>
      <w:r>
        <w:rPr>
          <w:rFonts w:cs="Times New Roman"/>
          <w:szCs w:val="24"/>
          <w:lang w:val="la-Latn" w:bidi="la-Latn"/>
        </w:rPr>
        <w:t>,</w:t>
      </w:r>
      <w:r w:rsidRPr="007D240C">
        <w:rPr>
          <w:rFonts w:cs="Times New Roman"/>
          <w:szCs w:val="24"/>
          <w:lang w:val="la-Latn" w:bidi="la-Latn"/>
        </w:rPr>
        <w:t xml:space="preserve"> 24.</w:t>
      </w:r>
      <w:r>
        <w:rPr>
          <w:rFonts w:cs="Times New Roman"/>
          <w:szCs w:val="24"/>
          <w:lang w:val="la-Latn" w:bidi="la-Latn"/>
        </w:rPr>
        <w:t>”</w:t>
      </w:r>
    </w:p>
    <w:p w14:paraId="237A2548" w14:textId="3BAE4E7E" w:rsidR="005107AE" w:rsidRPr="00A36A87" w:rsidRDefault="005107AE" w:rsidP="00AC6840">
      <w:pPr>
        <w:rPr>
          <w:lang w:val="la-Latn"/>
        </w:rPr>
      </w:pPr>
      <w:r w:rsidRPr="00A36A87">
        <w:rPr>
          <w:lang w:val="la-Latn"/>
        </w:rPr>
        <w:t>VI 47 s.v. Albani patres: “</w:t>
      </w:r>
      <w:r w:rsidRPr="00A36A87">
        <w:rPr>
          <w:b/>
          <w:bCs/>
          <w:lang w:val="la-Latn"/>
        </w:rPr>
        <w:t>Albani patres</w:t>
      </w:r>
      <w:r w:rsidRPr="00A36A87">
        <w:rPr>
          <w:lang w:val="la-Latn"/>
        </w:rPr>
        <w:t xml:space="preserve"> Albani principes IV 429, 6 (</w:t>
      </w:r>
      <w:r w:rsidRPr="00A36A87">
        <w:rPr>
          <w:i/>
          <w:iCs/>
          <w:lang w:val="la-Latn"/>
        </w:rPr>
        <w:t xml:space="preserve">Verg. Ecl. </w:t>
      </w:r>
      <w:r w:rsidRPr="00A36A87">
        <w:rPr>
          <w:lang w:val="la-Latn"/>
        </w:rPr>
        <w:t>I 7).“ -&gt; “</w:t>
      </w:r>
      <w:r w:rsidRPr="00A36A87">
        <w:rPr>
          <w:b/>
          <w:bCs/>
          <w:lang w:val="la-Latn"/>
        </w:rPr>
        <w:t>Albani patres</w:t>
      </w:r>
      <w:r w:rsidRPr="00A36A87">
        <w:rPr>
          <w:lang w:val="la-Latn"/>
        </w:rPr>
        <w:t xml:space="preserve"> Albani principes IV 429, 6 (</w:t>
      </w:r>
      <w:r w:rsidRPr="00A36A87">
        <w:rPr>
          <w:i/>
          <w:iCs/>
          <w:lang w:val="la-Latn"/>
        </w:rPr>
        <w:t xml:space="preserve">Verg. Aen. </w:t>
      </w:r>
      <w:r w:rsidRPr="00A36A87">
        <w:rPr>
          <w:lang w:val="la-Latn"/>
        </w:rPr>
        <w:t>I 7).</w:t>
      </w:r>
      <w:r w:rsidR="00D62E01" w:rsidRPr="00A36A87">
        <w:rPr>
          <w:lang w:val="la-Latn"/>
        </w:rPr>
        <w:t>“</w:t>
      </w:r>
    </w:p>
    <w:p w14:paraId="60B7781E" w14:textId="22F19E58" w:rsidR="00735F10" w:rsidRPr="00A36A87" w:rsidRDefault="00735F10" w:rsidP="00AC6840">
      <w:pPr>
        <w:rPr>
          <w:lang w:val="la-Latn"/>
        </w:rPr>
      </w:pPr>
      <w:r w:rsidRPr="00A36A87">
        <w:rPr>
          <w:lang w:val="la-Latn"/>
        </w:rPr>
        <w:t>VI 59 s.v. Ambio: -&gt;</w:t>
      </w:r>
      <w:r w:rsidR="00747145" w:rsidRPr="00A36A87">
        <w:rPr>
          <w:lang w:val="la-Latn"/>
        </w:rPr>
        <w:t xml:space="preserve"> “</w:t>
      </w:r>
      <w:r w:rsidR="00747145" w:rsidRPr="00747145">
        <w:rPr>
          <w:rFonts w:ascii="IFAO-Grec Unicode" w:eastAsia="Yu Mincho" w:hAnsi="IFAO-Grec Unicode" w:cs="Times New Roman"/>
          <w:b/>
          <w:bCs/>
          <w:noProof w:val="0"/>
          <w:szCs w:val="24"/>
          <w:lang w:val="la-Latn" w:eastAsia="ja-JP" w:bidi="la-Latn"/>
        </w:rPr>
        <w:t xml:space="preserve">ambit </w:t>
      </w:r>
      <w:r w:rsidR="00747145" w:rsidRPr="00747145">
        <w:rPr>
          <w:rFonts w:ascii="IFAO-Grec Unicode" w:eastAsia="Yu Mincho" w:hAnsi="IFAO-Grec Unicode" w:cs="Times New Roman"/>
          <w:noProof w:val="0"/>
          <w:szCs w:val="24"/>
          <w:lang w:val="el-GR" w:eastAsia="ja-JP" w:bidi="el-GR"/>
        </w:rPr>
        <w:t>περιέρχετα</w:t>
      </w:r>
      <w:r w:rsidR="00747145" w:rsidRPr="00747145">
        <w:rPr>
          <w:rFonts w:ascii="IFAO-Grec Unicode" w:eastAsia="Yu Mincho" w:hAnsi="IFAO-Grec Unicode" w:cs="Times New Roman"/>
          <w:noProof w:val="0"/>
          <w:szCs w:val="24"/>
          <w:lang w:val="la-Latn" w:eastAsia="ja-JP" w:bidi="la-Latn"/>
        </w:rPr>
        <w:t xml:space="preserve">-. </w:t>
      </w:r>
      <w:r w:rsidR="00747145" w:rsidRPr="00747145">
        <w:rPr>
          <w:rFonts w:ascii="IFAO-Grec Unicode" w:eastAsia="Yu Mincho" w:hAnsi="IFAO-Grec Unicode" w:cs="Times New Roman"/>
          <w:noProof w:val="0"/>
          <w:szCs w:val="24"/>
          <w:lang w:val="el-GR" w:eastAsia="ja-JP" w:bidi="el-GR"/>
        </w:rPr>
        <w:t>κολακεύει</w:t>
      </w:r>
      <w:r w:rsidR="00747145" w:rsidRPr="00A36A87">
        <w:rPr>
          <w:rFonts w:ascii="IFAO-Grec Unicode" w:eastAsia="Yu Mincho" w:hAnsi="IFAO-Grec Unicode" w:cs="Times New Roman"/>
          <w:noProof w:val="0"/>
          <w:szCs w:val="24"/>
          <w:lang w:val="la-Latn" w:eastAsia="ja-JP" w:bidi="el-GR"/>
        </w:rPr>
        <w:t>" -&gt;</w:t>
      </w:r>
      <w:r w:rsidRPr="00A36A87">
        <w:rPr>
          <w:lang w:val="la-Latn"/>
        </w:rPr>
        <w:t xml:space="preserve"> “</w:t>
      </w:r>
      <w:r w:rsidRPr="00A36A87">
        <w:rPr>
          <w:b/>
          <w:bCs/>
          <w:lang w:val="la-Latn"/>
        </w:rPr>
        <w:t>ambit</w:t>
      </w:r>
      <w:r w:rsidRPr="00A36A87">
        <w:rPr>
          <w:lang w:val="la-Latn"/>
        </w:rPr>
        <w:t xml:space="preserve"> </w:t>
      </w:r>
      <w:r w:rsidRPr="00735F10">
        <w:rPr>
          <w:lang w:val="en-US"/>
        </w:rPr>
        <w:t>περιέρχεται</w:t>
      </w:r>
      <w:r w:rsidRPr="00A36A87">
        <w:rPr>
          <w:lang w:val="la-Latn"/>
        </w:rPr>
        <w:t xml:space="preserve">, </w:t>
      </w:r>
      <w:r w:rsidRPr="00735F10">
        <w:rPr>
          <w:lang w:val="en-US"/>
        </w:rPr>
        <w:t>κολακεύει</w:t>
      </w:r>
      <w:r w:rsidRPr="00A36A87">
        <w:rPr>
          <w:lang w:val="la-Latn"/>
        </w:rPr>
        <w:t xml:space="preserve"> II 16, 6”</w:t>
      </w:r>
    </w:p>
    <w:p w14:paraId="4212C5CF" w14:textId="73F72E18" w:rsidR="00C22E84" w:rsidRPr="00A36A87" w:rsidRDefault="00C22E84" w:rsidP="00AC6840">
      <w:r w:rsidRPr="00A36A87">
        <w:t>VI 62 s.v. Amictorium: “erorre” -&gt; “errore”</w:t>
      </w:r>
    </w:p>
    <w:p w14:paraId="43E7C0C3" w14:textId="3A59D1F4" w:rsidR="00B43856" w:rsidRPr="00A36A87" w:rsidRDefault="00B43856" w:rsidP="00AC6840">
      <w:r w:rsidRPr="00A36A87">
        <w:t>VI 97 s.v. Arrodo: “</w:t>
      </w:r>
      <w:r w:rsidRPr="00B43856">
        <w:rPr>
          <w:lang w:val="en-US"/>
        </w:rPr>
        <w:t>ἀπονέμω</w:t>
      </w:r>
      <w:r w:rsidRPr="00A36A87">
        <w:t xml:space="preserve"> </w:t>
      </w:r>
      <w:r w:rsidRPr="00B43856">
        <w:rPr>
          <w:lang w:val="en-US"/>
        </w:rPr>
        <w:t>ἐμαυτ</w:t>
      </w:r>
      <w:r>
        <w:t>ῳ</w:t>
      </w:r>
      <w:r w:rsidRPr="00A36A87">
        <w:t>“ -&gt; “</w:t>
      </w:r>
      <w:r w:rsidRPr="00B43856">
        <w:rPr>
          <w:lang w:val="en-US"/>
        </w:rPr>
        <w:t>ἀπονέμω</w:t>
      </w:r>
      <w:r w:rsidRPr="00A36A87">
        <w:t xml:space="preserve"> </w:t>
      </w:r>
      <w:r w:rsidRPr="00B43856">
        <w:rPr>
          <w:lang w:val="en-US"/>
        </w:rPr>
        <w:t>ἐμαυτῷ</w:t>
      </w:r>
      <w:r w:rsidRPr="00A36A87">
        <w:t>”</w:t>
      </w:r>
    </w:p>
    <w:p w14:paraId="5D078F7E" w14:textId="5BF930BC" w:rsidR="00EE296C" w:rsidRPr="00A36A87" w:rsidRDefault="00EE296C" w:rsidP="00AC6840">
      <w:r w:rsidRPr="00A36A87">
        <w:t>VI 207 s.v. Charadrion: “</w:t>
      </w:r>
      <w:r w:rsidRPr="00EE296C">
        <w:rPr>
          <w:lang w:val="en-US"/>
        </w:rPr>
        <w:t>τυλάς</w:t>
      </w:r>
      <w:r w:rsidRPr="00A36A87">
        <w:t xml:space="preserve"> </w:t>
      </w:r>
      <w:r w:rsidRPr="00EE296C">
        <w:rPr>
          <w:lang w:val="en-US"/>
        </w:rPr>
        <w:t>ἡ</w:t>
      </w:r>
      <w:r w:rsidRPr="00A36A87">
        <w:t xml:space="preserve"> </w:t>
      </w:r>
      <w:r w:rsidRPr="00EE296C">
        <w:rPr>
          <w:lang w:val="en-US"/>
        </w:rPr>
        <w:t>ᾠδ</w:t>
      </w:r>
      <w:r w:rsidR="004107F6">
        <w:t>ό</w:t>
      </w:r>
      <w:r w:rsidRPr="00EE296C">
        <w:rPr>
          <w:lang w:val="en-US"/>
        </w:rPr>
        <w:t>ς</w:t>
      </w:r>
      <w:r w:rsidRPr="00A36A87">
        <w:t xml:space="preserve"> </w:t>
      </w:r>
      <w:r w:rsidRPr="00EE296C">
        <w:rPr>
          <w:lang w:val="en-US"/>
        </w:rPr>
        <w:t>ὄρνεον</w:t>
      </w:r>
      <w:r w:rsidRPr="00A36A87">
        <w:t>” -&gt; “</w:t>
      </w:r>
      <w:r w:rsidRPr="00EE296C">
        <w:rPr>
          <w:lang w:val="en-US"/>
        </w:rPr>
        <w:t>τυλάς</w:t>
      </w:r>
      <w:r w:rsidRPr="00A36A87">
        <w:t xml:space="preserve"> </w:t>
      </w:r>
      <w:r w:rsidRPr="00EE296C">
        <w:rPr>
          <w:lang w:val="en-US"/>
        </w:rPr>
        <w:t>ἡ</w:t>
      </w:r>
      <w:r w:rsidRPr="00A36A87">
        <w:t xml:space="preserve"> </w:t>
      </w:r>
      <w:r w:rsidRPr="00EE296C">
        <w:rPr>
          <w:lang w:val="en-US"/>
        </w:rPr>
        <w:t>ᾠδὸς</w:t>
      </w:r>
      <w:r w:rsidRPr="00A36A87">
        <w:t xml:space="preserve"> </w:t>
      </w:r>
      <w:r w:rsidRPr="00EE296C">
        <w:rPr>
          <w:lang w:val="en-US"/>
        </w:rPr>
        <w:t>ὄρνεον</w:t>
      </w:r>
      <w:r w:rsidRPr="00A36A87">
        <w:t xml:space="preserve">” </w:t>
      </w:r>
    </w:p>
    <w:p w14:paraId="0D70D1B1" w14:textId="11D609CD" w:rsidR="00CA7B95" w:rsidRPr="00A36A87" w:rsidRDefault="00CA7B95" w:rsidP="00AC6840">
      <w:r w:rsidRPr="00A36A87">
        <w:t>VI 234 s.v. Colurnum: “</w:t>
      </w:r>
      <w:r w:rsidR="00DE370B" w:rsidRPr="00CA7B95">
        <w:rPr>
          <w:lang w:val="en-US"/>
        </w:rPr>
        <w:t>κραν</w:t>
      </w:r>
      <w:r w:rsidR="00DE370B">
        <w:rPr>
          <w:rFonts w:cs="Times New Roman"/>
        </w:rPr>
        <w:t>ε̈́</w:t>
      </w:r>
      <w:r w:rsidR="00DE370B">
        <w:t>ι</w:t>
      </w:r>
      <w:r w:rsidR="00DE370B" w:rsidRPr="00CA7B95">
        <w:rPr>
          <w:lang w:val="en-US"/>
        </w:rPr>
        <w:t>νον</w:t>
      </w:r>
      <w:r w:rsidRPr="00A36A87">
        <w:t>” -&gt; “</w:t>
      </w:r>
      <w:r w:rsidRPr="00CA7B95">
        <w:rPr>
          <w:lang w:val="en-US"/>
        </w:rPr>
        <w:t>κρανέϊνον</w:t>
      </w:r>
      <w:r w:rsidRPr="00A36A87">
        <w:t>”</w:t>
      </w:r>
    </w:p>
    <w:p w14:paraId="6418D5E6" w14:textId="78DD840C" w:rsidR="007F4014" w:rsidRDefault="007F4014" w:rsidP="007F4014">
      <w:pPr>
        <w:rPr>
          <w:lang w:val="it-IT"/>
        </w:rPr>
      </w:pPr>
      <w:r>
        <w:rPr>
          <w:lang w:val="en-US"/>
        </w:rPr>
        <w:t>VI 328 s.v. : “</w:t>
      </w:r>
      <w:r w:rsidR="00EB3945" w:rsidRPr="00A36A87">
        <w:rPr>
          <w:lang w:val="en-US"/>
        </w:rPr>
        <w:t>cl</w:t>
      </w:r>
      <w:r w:rsidRPr="007F4014">
        <w:rPr>
          <w:lang w:val="it-IT"/>
        </w:rPr>
        <w:t>isciscere</w:t>
      </w:r>
      <w:r>
        <w:rPr>
          <w:lang w:val="it-IT"/>
        </w:rPr>
        <w:t>” -&gt; “dis</w:t>
      </w:r>
      <w:r w:rsidR="00E7184A">
        <w:rPr>
          <w:lang w:val="it-IT"/>
        </w:rPr>
        <w:t>cis</w:t>
      </w:r>
      <w:r>
        <w:rPr>
          <w:lang w:val="it-IT"/>
        </w:rPr>
        <w:t>cere”.</w:t>
      </w:r>
    </w:p>
    <w:p w14:paraId="1D914C95" w14:textId="25C3A7B8" w:rsidR="001060F5" w:rsidRDefault="001060F5" w:rsidP="001060F5">
      <w:pPr>
        <w:rPr>
          <w:lang w:val="it-IT"/>
        </w:rPr>
      </w:pPr>
      <w:r>
        <w:rPr>
          <w:lang w:val="it-IT"/>
        </w:rPr>
        <w:t>VI 340 s.v. Dictatio: “</w:t>
      </w:r>
      <w:r w:rsidRPr="001060F5">
        <w:rPr>
          <w:lang w:val="it-IT"/>
        </w:rPr>
        <w:t>ὐπηγορία</w:t>
      </w:r>
      <w:r>
        <w:rPr>
          <w:lang w:val="it-IT"/>
        </w:rPr>
        <w:t>” -&gt; “</w:t>
      </w:r>
      <w:r w:rsidRPr="001060F5">
        <w:rPr>
          <w:iCs/>
          <w:lang w:val="it-IT"/>
        </w:rPr>
        <w:t>ὑπηγορία</w:t>
      </w:r>
      <w:r>
        <w:rPr>
          <w:lang w:val="it-IT"/>
        </w:rPr>
        <w:t>”</w:t>
      </w:r>
    </w:p>
    <w:p w14:paraId="40911701" w14:textId="766331FF" w:rsidR="0083007E" w:rsidRPr="0083007E" w:rsidRDefault="0083007E" w:rsidP="001060F5">
      <w:pPr>
        <w:rPr>
          <w:b/>
          <w:bCs/>
          <w:lang w:val="en-US"/>
        </w:rPr>
      </w:pPr>
      <w:r>
        <w:rPr>
          <w:lang w:val="it-IT"/>
        </w:rPr>
        <w:t>VI 350 s.v. Discrepo: “</w:t>
      </w:r>
      <w:r w:rsidRPr="0083007E">
        <w:rPr>
          <w:b/>
          <w:bCs/>
          <w:lang w:val="it-IT"/>
        </w:rPr>
        <w:t>discrepat</w:t>
      </w:r>
      <w:r w:rsidRPr="0083007E">
        <w:rPr>
          <w:lang w:val="it-IT"/>
        </w:rPr>
        <w:t xml:space="preserve"> ἀπᾳδει</w:t>
      </w:r>
      <w:r>
        <w:rPr>
          <w:lang w:val="it-IT"/>
        </w:rPr>
        <w:t>” -&gt; “</w:t>
      </w:r>
      <w:r w:rsidRPr="0083007E">
        <w:rPr>
          <w:b/>
          <w:bCs/>
          <w:lang w:val="it-IT"/>
        </w:rPr>
        <w:t>discrepat</w:t>
      </w:r>
      <w:r w:rsidRPr="0083007E">
        <w:rPr>
          <w:lang w:val="it-IT"/>
        </w:rPr>
        <w:t xml:space="preserve"> ἀπ</w:t>
      </w:r>
      <w:r w:rsidR="00DA0865">
        <w:t>ᾴ</w:t>
      </w:r>
      <w:r w:rsidRPr="0083007E">
        <w:rPr>
          <w:lang w:val="it-IT"/>
        </w:rPr>
        <w:t>δει</w:t>
      </w:r>
      <w:r>
        <w:rPr>
          <w:lang w:val="it-IT"/>
        </w:rPr>
        <w:t>”</w:t>
      </w:r>
    </w:p>
    <w:p w14:paraId="44756E2D" w14:textId="1A3CA45C" w:rsidR="00514CE8" w:rsidRDefault="00514CE8" w:rsidP="00514CE8">
      <w:pPr>
        <w:rPr>
          <w:lang w:val="en-US"/>
        </w:rPr>
      </w:pPr>
      <w:r>
        <w:rPr>
          <w:lang w:val="en-US"/>
        </w:rPr>
        <w:t xml:space="preserve">VI 366 s.v. dragontea: “II 625, 52” </w:t>
      </w:r>
      <w:r w:rsidR="00C63571">
        <w:rPr>
          <w:lang w:val="en-US"/>
        </w:rPr>
        <w:t>-&gt;</w:t>
      </w:r>
      <w:r>
        <w:rPr>
          <w:lang w:val="en-US"/>
        </w:rPr>
        <w:t xml:space="preserve"> “III 625, 52”</w:t>
      </w:r>
    </w:p>
    <w:p w14:paraId="0D4D77A6" w14:textId="0348C941" w:rsidR="007F7C36" w:rsidRPr="00514CE8" w:rsidRDefault="007F7C36" w:rsidP="007F7C36">
      <w:pPr>
        <w:rPr>
          <w:lang w:val="en-US"/>
        </w:rPr>
      </w:pPr>
      <w:r>
        <w:rPr>
          <w:lang w:val="en-US"/>
        </w:rPr>
        <w:t xml:space="preserve">VI 465: the sequence of </w:t>
      </w:r>
      <w:r w:rsidR="00FC2562">
        <w:rPr>
          <w:lang w:val="en-US"/>
        </w:rPr>
        <w:t>four cross</w:t>
      </w:r>
      <w:r>
        <w:rPr>
          <w:lang w:val="en-US"/>
        </w:rPr>
        <w:t>-references “</w:t>
      </w:r>
      <w:r w:rsidRPr="00A36A87">
        <w:rPr>
          <w:rFonts w:asciiTheme="majorBidi" w:hAnsiTheme="majorBidi" w:cstheme="majorBidi"/>
          <w:b/>
          <w:bCs/>
          <w:lang w:val="en-US"/>
        </w:rPr>
        <w:t xml:space="preserve">Fostori </w:t>
      </w:r>
      <w:r w:rsidRPr="00A36A87">
        <w:rPr>
          <w:rFonts w:asciiTheme="majorBidi" w:hAnsiTheme="majorBidi" w:cstheme="majorBidi"/>
          <w:i/>
          <w:lang w:val="en-US"/>
        </w:rPr>
        <w:t>v.</w:t>
      </w:r>
      <w:r w:rsidRPr="00A36A87">
        <w:rPr>
          <w:rFonts w:asciiTheme="majorBidi" w:hAnsiTheme="majorBidi" w:cstheme="majorBidi"/>
          <w:lang w:val="en-US"/>
        </w:rPr>
        <w:t xml:space="preserve"> fartor</w:t>
      </w:r>
      <w:r w:rsidRPr="0067536B">
        <w:rPr>
          <w:rFonts w:asciiTheme="majorBidi" w:hAnsiTheme="majorBidi" w:cstheme="majorBidi"/>
          <w:lang w:val="it-IT"/>
        </w:rPr>
        <w:t xml:space="preserve">, </w:t>
      </w:r>
      <w:r w:rsidRPr="00A36A87">
        <w:rPr>
          <w:rFonts w:asciiTheme="majorBidi" w:hAnsiTheme="majorBidi" w:cstheme="majorBidi"/>
          <w:b/>
          <w:bCs/>
          <w:lang w:val="en-US"/>
        </w:rPr>
        <w:t xml:space="preserve">Fostulla </w:t>
      </w:r>
      <w:r w:rsidRPr="00A36A87">
        <w:rPr>
          <w:rFonts w:asciiTheme="majorBidi" w:hAnsiTheme="majorBidi" w:cstheme="majorBidi"/>
          <w:i/>
          <w:lang w:val="en-US"/>
        </w:rPr>
        <w:t>v.</w:t>
      </w:r>
      <w:r w:rsidRPr="00A36A87">
        <w:rPr>
          <w:rFonts w:asciiTheme="majorBidi" w:hAnsiTheme="majorBidi" w:cstheme="majorBidi"/>
          <w:lang w:val="en-US"/>
        </w:rPr>
        <w:t xml:space="preserve"> pustula. </w:t>
      </w:r>
      <w:r w:rsidRPr="00A36A87">
        <w:rPr>
          <w:rFonts w:asciiTheme="majorBidi" w:hAnsiTheme="majorBidi" w:cstheme="majorBidi"/>
          <w:b/>
          <w:bCs/>
          <w:lang w:val="en-US"/>
        </w:rPr>
        <w:t xml:space="preserve">Fotauit </w:t>
      </w:r>
      <w:r w:rsidRPr="00A36A87">
        <w:rPr>
          <w:rFonts w:asciiTheme="majorBidi" w:hAnsiTheme="majorBidi" w:cstheme="majorBidi"/>
          <w:i/>
          <w:lang w:val="en-US"/>
        </w:rPr>
        <w:t>v.</w:t>
      </w:r>
      <w:r w:rsidRPr="00A36A87">
        <w:rPr>
          <w:rFonts w:asciiTheme="majorBidi" w:hAnsiTheme="majorBidi" w:cstheme="majorBidi"/>
          <w:lang w:val="en-US"/>
        </w:rPr>
        <w:t xml:space="preserve"> futauit</w:t>
      </w:r>
      <w:r w:rsidRPr="0067536B">
        <w:rPr>
          <w:rFonts w:asciiTheme="majorBidi" w:hAnsiTheme="majorBidi" w:cstheme="majorBidi"/>
          <w:lang w:val="fr-FR"/>
        </w:rPr>
        <w:t xml:space="preserve">, </w:t>
      </w:r>
      <w:r w:rsidRPr="00A36A87">
        <w:rPr>
          <w:rFonts w:asciiTheme="majorBidi" w:hAnsiTheme="majorBidi" w:cstheme="majorBidi"/>
          <w:b/>
          <w:bCs/>
          <w:lang w:val="en-US"/>
        </w:rPr>
        <w:t xml:space="preserve">Fotilis </w:t>
      </w:r>
      <w:r w:rsidRPr="00A36A87">
        <w:rPr>
          <w:rFonts w:asciiTheme="majorBidi" w:hAnsiTheme="majorBidi" w:cstheme="majorBidi"/>
          <w:i/>
          <w:lang w:val="en-US"/>
        </w:rPr>
        <w:t>v.</w:t>
      </w:r>
      <w:r w:rsidRPr="00A36A87">
        <w:rPr>
          <w:rFonts w:asciiTheme="majorBidi" w:hAnsiTheme="majorBidi" w:cstheme="majorBidi"/>
          <w:lang w:val="en-US"/>
        </w:rPr>
        <w:t xml:space="preserve"> futtilis.“ ha</w:t>
      </w:r>
      <w:r w:rsidR="00FC2562" w:rsidRPr="00A36A87">
        <w:rPr>
          <w:rFonts w:asciiTheme="majorBidi" w:hAnsiTheme="majorBidi" w:cstheme="majorBidi"/>
          <w:lang w:val="en-US"/>
        </w:rPr>
        <w:t>s</w:t>
      </w:r>
      <w:r w:rsidRPr="00A36A87">
        <w:rPr>
          <w:rFonts w:asciiTheme="majorBidi" w:hAnsiTheme="majorBidi" w:cstheme="majorBidi"/>
          <w:lang w:val="en-US"/>
        </w:rPr>
        <w:t xml:space="preserve"> been split up </w:t>
      </w:r>
      <w:r w:rsidR="00FC2562" w:rsidRPr="00A36A87">
        <w:rPr>
          <w:rFonts w:asciiTheme="majorBidi" w:hAnsiTheme="majorBidi" w:cstheme="majorBidi"/>
          <w:lang w:val="en-US"/>
        </w:rPr>
        <w:t>into</w:t>
      </w:r>
      <w:r w:rsidRPr="00A36A87">
        <w:rPr>
          <w:rFonts w:asciiTheme="majorBidi" w:hAnsiTheme="majorBidi" w:cstheme="majorBidi"/>
          <w:lang w:val="en-US"/>
        </w:rPr>
        <w:t xml:space="preserve"> four lines with changed punctuation.</w:t>
      </w:r>
    </w:p>
    <w:p w14:paraId="0655F067" w14:textId="43E7C255" w:rsidR="00C63571" w:rsidRPr="00D9764D" w:rsidRDefault="00C63571" w:rsidP="00F018E2">
      <w:pPr>
        <w:rPr>
          <w:lang w:val="en-US"/>
        </w:rPr>
      </w:pPr>
      <w:r>
        <w:rPr>
          <w:lang w:val="en-US"/>
        </w:rPr>
        <w:t xml:space="preserve">VI 474 s.v. </w:t>
      </w:r>
      <w:r w:rsidRPr="004C3A61">
        <w:rPr>
          <w:lang w:val="en-US"/>
        </w:rPr>
        <w:t>fulgur</w:t>
      </w:r>
      <w:r>
        <w:rPr>
          <w:lang w:val="en-US"/>
        </w:rPr>
        <w:t>: “</w:t>
      </w:r>
      <w:r w:rsidRPr="00D9764D">
        <w:rPr>
          <w:lang w:val="en-US"/>
        </w:rPr>
        <w:t>*cod. Ambros. B* 31 *sup.; cf. a b c* IV</w:t>
      </w:r>
    </w:p>
    <w:p w14:paraId="1EB23AA1" w14:textId="6B068BEE" w:rsidR="00C63571" w:rsidRPr="00C63571" w:rsidRDefault="00C63571" w:rsidP="00F018E2">
      <w:pPr>
        <w:rPr>
          <w:lang w:val="en-US"/>
        </w:rPr>
      </w:pPr>
      <w:r w:rsidRPr="00D9764D">
        <w:rPr>
          <w:lang w:val="en-US"/>
        </w:rPr>
        <w:lastRenderedPageBreak/>
        <w:t>240, 12).</w:t>
      </w:r>
      <w:r>
        <w:rPr>
          <w:lang w:val="en-US"/>
        </w:rPr>
        <w:t>” -&gt; “</w:t>
      </w:r>
      <w:r w:rsidRPr="00C63571">
        <w:rPr>
          <w:lang w:val="en-US"/>
        </w:rPr>
        <w:t>*cod. Ambros. B* 31 *sup.; cf. a b c* IV</w:t>
      </w:r>
    </w:p>
    <w:p w14:paraId="36800642" w14:textId="77777777" w:rsidR="00C63571" w:rsidRPr="00A36A87" w:rsidRDefault="00C63571" w:rsidP="00C63571">
      <w:r w:rsidRPr="00A36A87">
        <w:t>240, 12.”</w:t>
      </w:r>
    </w:p>
    <w:p w14:paraId="53CAFE75" w14:textId="23B1055B" w:rsidR="003500D9" w:rsidRPr="00A36A87" w:rsidRDefault="003500D9" w:rsidP="00C63571">
      <w:r w:rsidRPr="00A36A87">
        <w:t>VI 477 s.v. funus et ferias: “(dicantur *vel* dicebantur) = V 105, 23 dicuntur).” -&gt; “(dicantur *vel* dicebantur) = V 105, 23 dicuntur.”</w:t>
      </w:r>
    </w:p>
    <w:p w14:paraId="406CD18F" w14:textId="04C2DFB0" w:rsidR="00623AF6" w:rsidRDefault="00623AF6" w:rsidP="00623AF6">
      <w:pPr>
        <w:rPr>
          <w:lang w:val="en-US"/>
        </w:rPr>
      </w:pPr>
      <w:r>
        <w:rPr>
          <w:lang w:val="en-US"/>
        </w:rPr>
        <w:t>VI 494 s.v. Glaro: “</w:t>
      </w:r>
      <w:r w:rsidRPr="00623AF6">
        <w:rPr>
          <w:lang w:val="en-US"/>
        </w:rPr>
        <w:t>Cearon).</w:t>
      </w:r>
      <w:r>
        <w:rPr>
          <w:lang w:val="en-US"/>
        </w:rPr>
        <w:t>” -&gt; “</w:t>
      </w:r>
      <w:r w:rsidRPr="00623AF6">
        <w:rPr>
          <w:lang w:val="en-US"/>
        </w:rPr>
        <w:t>Cearon.</w:t>
      </w:r>
      <w:r>
        <w:rPr>
          <w:lang w:val="en-US"/>
        </w:rPr>
        <w:t>”</w:t>
      </w:r>
    </w:p>
    <w:p w14:paraId="067C705A" w14:textId="5834B158" w:rsidR="00A92568" w:rsidRDefault="00A92568" w:rsidP="00623AF6">
      <w:pPr>
        <w:rPr>
          <w:lang w:val="en-US"/>
        </w:rPr>
      </w:pPr>
      <w:r>
        <w:rPr>
          <w:lang w:val="en-US"/>
        </w:rPr>
        <w:t>VI 537 s.v. Ideoque: “</w:t>
      </w:r>
      <w:r w:rsidRPr="00A92568">
        <w:rPr>
          <w:lang w:val="en-US"/>
        </w:rPr>
        <w:t>δἰ ὅπερ</w:t>
      </w:r>
      <w:r>
        <w:rPr>
          <w:lang w:val="en-US"/>
        </w:rPr>
        <w:t>” -&gt; “</w:t>
      </w:r>
      <w:r w:rsidRPr="00A92568">
        <w:rPr>
          <w:lang w:val="en-US"/>
        </w:rPr>
        <w:t>δ</w:t>
      </w:r>
      <w:r>
        <w:t>ι</w:t>
      </w:r>
      <w:r w:rsidRPr="00A36A87">
        <w:rPr>
          <w:lang w:val="en-US"/>
        </w:rPr>
        <w:t>’</w:t>
      </w:r>
      <w:r w:rsidRPr="00A92568">
        <w:rPr>
          <w:lang w:val="en-US"/>
        </w:rPr>
        <w:t xml:space="preserve"> ὅπερ</w:t>
      </w:r>
      <w:r>
        <w:rPr>
          <w:lang w:val="en-US"/>
        </w:rPr>
        <w:t>”</w:t>
      </w:r>
    </w:p>
    <w:p w14:paraId="53D4E09E" w14:textId="353153E9" w:rsidR="006A73D0" w:rsidRDefault="00E635B7" w:rsidP="00E635B7">
      <w:pPr>
        <w:rPr>
          <w:lang w:val="en-US"/>
        </w:rPr>
      </w:pPr>
      <w:r>
        <w:rPr>
          <w:lang w:val="en-US"/>
        </w:rPr>
        <w:t>VI 667 s.v. Macula: “</w:t>
      </w:r>
      <w:r w:rsidRPr="007336E9">
        <w:rPr>
          <w:lang w:val="en-US"/>
        </w:rPr>
        <w:t>σπῖλος I 435, 45</w:t>
      </w:r>
      <w:r>
        <w:rPr>
          <w:lang w:val="en-US"/>
        </w:rPr>
        <w:t xml:space="preserve">” </w:t>
      </w:r>
      <w:r w:rsidR="00C63571">
        <w:rPr>
          <w:lang w:val="en-US"/>
        </w:rPr>
        <w:t>-&gt;</w:t>
      </w:r>
      <w:r>
        <w:rPr>
          <w:lang w:val="en-US"/>
        </w:rPr>
        <w:t xml:space="preserve"> “</w:t>
      </w:r>
      <w:r w:rsidR="002A19A4" w:rsidRPr="007336E9">
        <w:rPr>
          <w:lang w:val="en-US"/>
        </w:rPr>
        <w:t xml:space="preserve">σπῖλος </w:t>
      </w:r>
      <w:r>
        <w:rPr>
          <w:lang w:val="en-US"/>
        </w:rPr>
        <w:t>II 435, 45”</w:t>
      </w:r>
    </w:p>
    <w:p w14:paraId="5DBBCAC6" w14:textId="02049954" w:rsidR="003D684C" w:rsidRDefault="003D684C" w:rsidP="003D684C">
      <w:pPr>
        <w:rPr>
          <w:lang w:val="en-US"/>
        </w:rPr>
      </w:pPr>
      <w:r>
        <w:rPr>
          <w:lang w:val="en-US"/>
        </w:rPr>
        <w:t>VI 738 s.v. Nidus: “</w:t>
      </w:r>
      <w:r w:rsidRPr="00841CAA">
        <w:rPr>
          <w:lang w:val="en-US"/>
        </w:rPr>
        <w:t>καλιά I 337, 24</w:t>
      </w:r>
      <w:r>
        <w:rPr>
          <w:lang w:val="en-US"/>
        </w:rPr>
        <w:t xml:space="preserve">” </w:t>
      </w:r>
      <w:r w:rsidR="00C63571">
        <w:rPr>
          <w:lang w:val="en-US"/>
        </w:rPr>
        <w:t>-&gt;</w:t>
      </w:r>
      <w:r>
        <w:rPr>
          <w:lang w:val="en-US"/>
        </w:rPr>
        <w:t xml:space="preserve"> “</w:t>
      </w:r>
      <w:r w:rsidR="002A19A4" w:rsidRPr="00841CAA">
        <w:rPr>
          <w:lang w:val="en-US"/>
        </w:rPr>
        <w:t xml:space="preserve">καλιά </w:t>
      </w:r>
      <w:r>
        <w:rPr>
          <w:lang w:val="en-US"/>
        </w:rPr>
        <w:t>II 337, 24”</w:t>
      </w:r>
    </w:p>
    <w:p w14:paraId="7D741EC2" w14:textId="13A1A860" w:rsidR="00F45748" w:rsidRPr="00A36A87" w:rsidRDefault="00F45748" w:rsidP="00F45748">
      <w:pPr>
        <w:rPr>
          <w:lang w:val="en-US"/>
        </w:rPr>
      </w:pPr>
      <w:r>
        <w:rPr>
          <w:lang w:val="en-US"/>
        </w:rPr>
        <w:t xml:space="preserve">VII 30 s.v. Orbita: </w:t>
      </w:r>
      <w:r w:rsidRPr="00A36A87">
        <w:rPr>
          <w:lang w:val="en-US"/>
        </w:rPr>
        <w:t>“</w:t>
      </w:r>
      <w:r w:rsidRPr="00F45748">
        <w:rPr>
          <w:lang w:val="en-US"/>
        </w:rPr>
        <w:t>όσμή</w:t>
      </w:r>
      <w:r w:rsidRPr="00A36A87">
        <w:rPr>
          <w:lang w:val="en-US"/>
        </w:rPr>
        <w:t>”</w:t>
      </w:r>
      <w:r>
        <w:rPr>
          <w:lang w:val="en-US"/>
        </w:rPr>
        <w:t xml:space="preserve"> -&gt; </w:t>
      </w:r>
      <w:r w:rsidRPr="00A36A87">
        <w:rPr>
          <w:lang w:val="en-US"/>
        </w:rPr>
        <w:t>“</w:t>
      </w:r>
      <w:r>
        <w:t>ὀσμή</w:t>
      </w:r>
      <w:r w:rsidRPr="00A36A87">
        <w:rPr>
          <w:lang w:val="en-US"/>
        </w:rPr>
        <w:t>”</w:t>
      </w:r>
    </w:p>
    <w:p w14:paraId="56A7BE48" w14:textId="25139837" w:rsidR="00933537" w:rsidRPr="00A36A87" w:rsidRDefault="00933537" w:rsidP="00F45748">
      <w:pPr>
        <w:rPr>
          <w:lang w:val="en-US"/>
        </w:rPr>
      </w:pPr>
      <w:r w:rsidRPr="00A36A87">
        <w:rPr>
          <w:lang w:val="en-US"/>
        </w:rPr>
        <w:t>VII 85. s.v. Phoebea lampas: “</w:t>
      </w:r>
      <w:r w:rsidRPr="00A36A87">
        <w:rPr>
          <w:b/>
          <w:bCs/>
          <w:lang w:val="en-US"/>
        </w:rPr>
        <w:t>Febea</w:t>
      </w:r>
      <w:r w:rsidR="004E45B0" w:rsidRPr="00A36A87">
        <w:rPr>
          <w:b/>
          <w:bCs/>
          <w:lang w:val="en-US"/>
        </w:rPr>
        <w:t xml:space="preserve"> </w:t>
      </w:r>
      <w:r w:rsidR="004E45B0" w:rsidRPr="00A36A87">
        <w:rPr>
          <w:i/>
          <w:iCs/>
          <w:lang w:val="en-US"/>
        </w:rPr>
        <w:t>u</w:t>
      </w:r>
      <w:r w:rsidRPr="00A36A87">
        <w:rPr>
          <w:i/>
          <w:iCs/>
          <w:lang w:val="en-US"/>
        </w:rPr>
        <w:t>el</w:t>
      </w:r>
      <w:r w:rsidRPr="00A36A87">
        <w:rPr>
          <w:lang w:val="en-US"/>
        </w:rPr>
        <w:t xml:space="preserve"> fibea)” -&gt; “</w:t>
      </w:r>
      <w:r w:rsidRPr="00A36A87">
        <w:rPr>
          <w:b/>
          <w:bCs/>
          <w:lang w:val="en-US"/>
        </w:rPr>
        <w:t>Febea</w:t>
      </w:r>
      <w:r w:rsidRPr="00A36A87">
        <w:rPr>
          <w:lang w:val="en-US"/>
        </w:rPr>
        <w:t xml:space="preserve"> (</w:t>
      </w:r>
      <w:r w:rsidRPr="00A36A87">
        <w:rPr>
          <w:i/>
          <w:iCs/>
          <w:lang w:val="en-US"/>
        </w:rPr>
        <w:t>vel</w:t>
      </w:r>
      <w:r w:rsidRPr="00A36A87">
        <w:rPr>
          <w:lang w:val="en-US"/>
        </w:rPr>
        <w:t xml:space="preserve"> fibea)”</w:t>
      </w:r>
    </w:p>
    <w:p w14:paraId="5BE9D27E" w14:textId="7328971A" w:rsidR="00D35FD6" w:rsidRDefault="00D35FD6" w:rsidP="003D684C">
      <w:pPr>
        <w:rPr>
          <w:lang w:val="en-US"/>
        </w:rPr>
      </w:pPr>
      <w:r>
        <w:rPr>
          <w:lang w:val="en-US"/>
        </w:rPr>
        <w:t>VII 191 s.v. Refero: “</w:t>
      </w:r>
      <w:r w:rsidRPr="00D35FD6">
        <w:rPr>
          <w:lang w:val="en-US"/>
        </w:rPr>
        <w:t>reducti sunt V V 142, 45</w:t>
      </w:r>
      <w:r>
        <w:rPr>
          <w:lang w:val="en-US"/>
        </w:rPr>
        <w:t>” -&gt; “</w:t>
      </w:r>
      <w:r w:rsidRPr="00D35FD6">
        <w:rPr>
          <w:lang w:val="en-US"/>
        </w:rPr>
        <w:t>reducti sunt V 142, 45.</w:t>
      </w:r>
      <w:r>
        <w:rPr>
          <w:lang w:val="en-US"/>
        </w:rPr>
        <w:t>”</w:t>
      </w:r>
    </w:p>
    <w:p w14:paraId="48425427" w14:textId="6F023D4B" w:rsidR="00EE296C" w:rsidRPr="00A36A87" w:rsidRDefault="00642BC7" w:rsidP="00642BC7">
      <w:pPr>
        <w:rPr>
          <w:lang w:val="en-US"/>
        </w:rPr>
      </w:pPr>
      <w:r>
        <w:rPr>
          <w:lang w:val="en-US"/>
        </w:rPr>
        <w:t>VII 197</w:t>
      </w:r>
      <w:r w:rsidR="00016B1F">
        <w:rPr>
          <w:lang w:val="en-US"/>
        </w:rPr>
        <w:t>:</w:t>
      </w:r>
      <w:r>
        <w:rPr>
          <w:lang w:val="en-US"/>
        </w:rPr>
        <w:t xml:space="preserve"> the </w:t>
      </w:r>
      <w:r w:rsidR="00497040">
        <w:rPr>
          <w:lang w:val="en-US"/>
        </w:rPr>
        <w:t xml:space="preserve">one-line </w:t>
      </w:r>
      <w:r>
        <w:rPr>
          <w:lang w:val="en-US"/>
        </w:rPr>
        <w:t>sequence “</w:t>
      </w:r>
      <w:r w:rsidRPr="00642BC7">
        <w:rPr>
          <w:b/>
          <w:bCs/>
          <w:lang w:val="en-US" w:bidi="la-Latn"/>
        </w:rPr>
        <w:t xml:space="preserve">Rendis </w:t>
      </w:r>
      <w:r w:rsidRPr="00642BC7">
        <w:rPr>
          <w:i/>
          <w:lang w:val="en-US" w:bidi="la-Latn"/>
        </w:rPr>
        <w:t>v.</w:t>
      </w:r>
      <w:r w:rsidRPr="00642BC7">
        <w:rPr>
          <w:lang w:val="en-US" w:bidi="la-Latn"/>
        </w:rPr>
        <w:t xml:space="preserve"> reses. </w:t>
      </w:r>
      <w:r w:rsidRPr="00642BC7">
        <w:rPr>
          <w:b/>
          <w:bCs/>
          <w:lang w:val="en-US" w:bidi="la-Latn"/>
        </w:rPr>
        <w:t xml:space="preserve">Renego </w:t>
      </w:r>
      <w:r w:rsidRPr="00642BC7">
        <w:rPr>
          <w:i/>
          <w:lang w:val="en-US" w:bidi="la-Latn"/>
        </w:rPr>
        <w:t>v.</w:t>
      </w:r>
      <w:r w:rsidRPr="00642BC7">
        <w:rPr>
          <w:lang w:val="en-US" w:bidi="la-Latn"/>
        </w:rPr>
        <w:t xml:space="preserve"> renuo</w:t>
      </w:r>
      <w:r>
        <w:rPr>
          <w:lang w:val="en-US" w:bidi="la-Latn"/>
        </w:rPr>
        <w:t>”</w:t>
      </w:r>
      <w:r w:rsidRPr="00A36A87">
        <w:rPr>
          <w:lang w:val="en-US"/>
        </w:rPr>
        <w:t xml:space="preserve"> has been split onto two lines.</w:t>
      </w:r>
    </w:p>
    <w:p w14:paraId="04783FBE" w14:textId="50D7D243" w:rsidR="008A6C2D" w:rsidRDefault="008A6C2D" w:rsidP="008A6C2D">
      <w:pPr>
        <w:rPr>
          <w:lang w:val="en-US" w:bidi="la-Latn"/>
        </w:rPr>
      </w:pPr>
      <w:r w:rsidRPr="00A36A87">
        <w:rPr>
          <w:lang w:val="en-US"/>
        </w:rPr>
        <w:t>VII 218</w:t>
      </w:r>
      <w:r w:rsidR="00016B1F" w:rsidRPr="00A36A87">
        <w:rPr>
          <w:lang w:val="en-US"/>
        </w:rPr>
        <w:t>:</w:t>
      </w:r>
      <w:r w:rsidRPr="00A36A87">
        <w:rPr>
          <w:lang w:val="en-US"/>
        </w:rPr>
        <w:t xml:space="preserve"> the one-line sequence </w:t>
      </w:r>
      <w:r>
        <w:rPr>
          <w:lang w:val="en-US"/>
        </w:rPr>
        <w:t>“</w:t>
      </w:r>
      <w:r w:rsidRPr="00A36A87">
        <w:rPr>
          <w:b/>
          <w:bCs/>
          <w:lang w:val="en-US" w:bidi="la-Latn"/>
        </w:rPr>
        <w:t xml:space="preserve">Rupta </w:t>
      </w:r>
      <w:r w:rsidRPr="00A36A87">
        <w:rPr>
          <w:i/>
          <w:lang w:val="en-US" w:bidi="la-Latn"/>
        </w:rPr>
        <w:t>v.</w:t>
      </w:r>
      <w:r w:rsidRPr="00A36A87">
        <w:rPr>
          <w:lang w:val="en-US" w:bidi="la-Latn"/>
        </w:rPr>
        <w:t xml:space="preserve"> crupta.</w:t>
      </w:r>
      <w:r w:rsidRPr="00A36A87">
        <w:rPr>
          <w:lang w:val="en-US"/>
        </w:rPr>
        <w:t xml:space="preserve"> </w:t>
      </w:r>
      <w:r w:rsidRPr="00A36A87">
        <w:rPr>
          <w:b/>
          <w:bCs/>
          <w:lang w:val="en-US" w:bidi="la-Latn"/>
        </w:rPr>
        <w:t xml:space="preserve">Ruptio </w:t>
      </w:r>
      <w:r w:rsidRPr="00A36A87">
        <w:rPr>
          <w:i/>
          <w:lang w:val="en-US" w:bidi="la-Latn"/>
        </w:rPr>
        <w:t>v.</w:t>
      </w:r>
      <w:r w:rsidRPr="00A36A87">
        <w:rPr>
          <w:lang w:val="en-US" w:bidi="la-Latn"/>
        </w:rPr>
        <w:t xml:space="preserve"> syrrexis.</w:t>
      </w:r>
      <w:r>
        <w:rPr>
          <w:lang w:val="en-US" w:bidi="la-Latn"/>
        </w:rPr>
        <w:t>” has been split onto two lines.</w:t>
      </w:r>
    </w:p>
    <w:p w14:paraId="0164233C" w14:textId="7D461D1B" w:rsidR="00016B1F" w:rsidRDefault="00016B1F" w:rsidP="008A6C2D">
      <w:pPr>
        <w:rPr>
          <w:lang w:val="en-US" w:bidi="la-Latn"/>
        </w:rPr>
      </w:pPr>
      <w:r>
        <w:rPr>
          <w:lang w:val="en-US" w:bidi="la-Latn"/>
        </w:rPr>
        <w:t>VII 334</w:t>
      </w:r>
      <w:r w:rsidRPr="00016B1F">
        <w:rPr>
          <w:lang w:val="en-US" w:bidi="la-Latn"/>
        </w:rPr>
        <w:t xml:space="preserve">: new line added before </w:t>
      </w:r>
      <w:r w:rsidRPr="00016B1F">
        <w:rPr>
          <w:b/>
          <w:bCs/>
          <w:lang w:val="en-US" w:bidi="la-Latn"/>
        </w:rPr>
        <w:t>Tasio</w:t>
      </w:r>
      <w:r>
        <w:rPr>
          <w:lang w:val="en-US" w:bidi="la-Latn"/>
        </w:rPr>
        <w:t>.</w:t>
      </w:r>
    </w:p>
    <w:p w14:paraId="3A6B269D" w14:textId="2AFCED97" w:rsidR="00016B1F" w:rsidRDefault="00016B1F" w:rsidP="00016B1F">
      <w:pPr>
        <w:rPr>
          <w:lang w:val="en-US" w:bidi="la-Latn"/>
        </w:rPr>
      </w:pPr>
      <w:r>
        <w:rPr>
          <w:lang w:val="en-US" w:bidi="la-Latn"/>
        </w:rPr>
        <w:t xml:space="preserve">VII 353: the one-line sequence </w:t>
      </w:r>
      <w:r w:rsidR="00401C64">
        <w:rPr>
          <w:lang w:val="en-US" w:bidi="la-Latn"/>
        </w:rPr>
        <w:t>“</w:t>
      </w:r>
      <w:r w:rsidRPr="00016B1F">
        <w:rPr>
          <w:b/>
          <w:bCs/>
          <w:lang w:val="en-US" w:bidi="la-Latn"/>
        </w:rPr>
        <w:t>Tolare</w:t>
      </w:r>
      <w:r>
        <w:rPr>
          <w:b/>
          <w:bCs/>
          <w:lang w:val="en-US" w:bidi="la-Latn"/>
        </w:rPr>
        <w:t xml:space="preserve"> </w:t>
      </w:r>
      <w:r w:rsidRPr="00016B1F">
        <w:rPr>
          <w:i/>
          <w:iCs/>
          <w:lang w:val="en-US" w:bidi="la-Latn"/>
        </w:rPr>
        <w:t>v.</w:t>
      </w:r>
      <w:r w:rsidRPr="00016B1F">
        <w:rPr>
          <w:lang w:val="en-US" w:bidi="la-Latn"/>
        </w:rPr>
        <w:t xml:space="preserve"> toral</w:t>
      </w:r>
      <w:r>
        <w:rPr>
          <w:lang w:val="en-US" w:bidi="la-Latn"/>
        </w:rPr>
        <w:t xml:space="preserve">; </w:t>
      </w:r>
      <w:r w:rsidRPr="00016B1F">
        <w:rPr>
          <w:b/>
          <w:bCs/>
          <w:lang w:val="en-US" w:bidi="la-Latn"/>
        </w:rPr>
        <w:t>Tolarius</w:t>
      </w:r>
      <w:r w:rsidRPr="00016B1F">
        <w:rPr>
          <w:lang w:val="en-US" w:bidi="la-Latn"/>
        </w:rPr>
        <w:t xml:space="preserve"> </w:t>
      </w:r>
      <w:r w:rsidRPr="00016B1F">
        <w:rPr>
          <w:i/>
          <w:iCs/>
          <w:lang w:val="en-US" w:bidi="la-Latn"/>
        </w:rPr>
        <w:t>v.</w:t>
      </w:r>
      <w:r w:rsidRPr="00016B1F">
        <w:rPr>
          <w:lang w:val="en-US" w:bidi="la-Latn"/>
        </w:rPr>
        <w:t xml:space="preserve"> toranus.</w:t>
      </w:r>
      <w:r w:rsidR="00401C64">
        <w:rPr>
          <w:lang w:val="en-US" w:bidi="la-Latn"/>
        </w:rPr>
        <w:t>” has been split into two lines.</w:t>
      </w:r>
    </w:p>
    <w:p w14:paraId="0D90EFF3" w14:textId="389BAA1E" w:rsidR="00DD3B2A" w:rsidRPr="0078202B" w:rsidRDefault="00DD3B2A" w:rsidP="0078202B">
      <w:pPr>
        <w:rPr>
          <w:lang w:val="en-US" w:bidi="la-Latn"/>
        </w:rPr>
      </w:pPr>
      <w:r>
        <w:rPr>
          <w:lang w:val="en-US" w:bidi="la-Latn"/>
        </w:rPr>
        <w:t xml:space="preserve">VII 389: </w:t>
      </w:r>
      <w:r w:rsidR="00CD2BAD">
        <w:rPr>
          <w:lang w:val="en-US" w:bidi="la-Latn"/>
        </w:rPr>
        <w:t>the one-line sequence “</w:t>
      </w:r>
      <w:r w:rsidR="00CD2BAD">
        <w:rPr>
          <w:b/>
          <w:bCs/>
          <w:lang w:val="en-US" w:bidi="la-Latn"/>
        </w:rPr>
        <w:t xml:space="preserve">Vacerra </w:t>
      </w:r>
      <w:r w:rsidR="00CD2BAD">
        <w:rPr>
          <w:i/>
          <w:iCs/>
          <w:lang w:val="en-US" w:bidi="la-Latn"/>
        </w:rPr>
        <w:t xml:space="preserve">v. </w:t>
      </w:r>
      <w:r w:rsidR="00CD2BAD">
        <w:rPr>
          <w:lang w:val="en-US" w:bidi="la-Latn"/>
        </w:rPr>
        <w:t xml:space="preserve">uecera; </w:t>
      </w:r>
      <w:r w:rsidRPr="00CD2BAD">
        <w:rPr>
          <w:b/>
          <w:bCs/>
          <w:lang w:val="en-US" w:bidi="la-Latn"/>
        </w:rPr>
        <w:t>Vaces</w:t>
      </w:r>
      <w:r w:rsidRPr="00DD3B2A">
        <w:rPr>
          <w:lang w:val="en-US" w:bidi="la-Latn"/>
        </w:rPr>
        <w:t xml:space="preserve"> </w:t>
      </w:r>
      <w:r w:rsidRPr="00CD2BAD">
        <w:rPr>
          <w:i/>
          <w:iCs/>
          <w:lang w:val="en-US" w:bidi="la-Latn"/>
        </w:rPr>
        <w:t>v.</w:t>
      </w:r>
      <w:r w:rsidRPr="00DD3B2A">
        <w:rPr>
          <w:lang w:val="en-US" w:bidi="la-Latn"/>
        </w:rPr>
        <w:t xml:space="preserve"> uarix.</w:t>
      </w:r>
      <w:r w:rsidR="00CD2BAD">
        <w:rPr>
          <w:lang w:val="en-US" w:bidi="la-Latn"/>
        </w:rPr>
        <w:t xml:space="preserve">” has been split into </w:t>
      </w:r>
      <w:r w:rsidR="00CD2BAD" w:rsidRPr="0078202B">
        <w:rPr>
          <w:lang w:val="en-US" w:bidi="la-Latn"/>
        </w:rPr>
        <w:t>two lines.</w:t>
      </w:r>
    </w:p>
    <w:p w14:paraId="52CCA2D0" w14:textId="0FEC23E6" w:rsidR="00AC6840" w:rsidRDefault="00AC6840" w:rsidP="0078202B">
      <w:pPr>
        <w:rPr>
          <w:rFonts w:cs="Times New Roman"/>
          <w:szCs w:val="24"/>
          <w:lang w:val="en-US" w:bidi="la-Latn"/>
        </w:rPr>
      </w:pPr>
      <w:r w:rsidRPr="0078202B">
        <w:rPr>
          <w:lang w:val="en-US"/>
        </w:rPr>
        <w:t xml:space="preserve">VII 441: comma added between </w:t>
      </w:r>
      <w:r w:rsidR="00E218EB">
        <w:t>ἄριστος</w:t>
      </w:r>
      <w:r w:rsidR="00E218EB" w:rsidRPr="00A36A87">
        <w:rPr>
          <w:lang w:val="en-US"/>
        </w:rPr>
        <w:t xml:space="preserve"> and </w:t>
      </w:r>
      <w:r w:rsidR="00E218EB">
        <w:t>κρείττων</w:t>
      </w:r>
      <w:r w:rsidR="00E218EB" w:rsidRPr="00A36A87">
        <w:rPr>
          <w:lang w:val="en-US"/>
        </w:rPr>
        <w:t xml:space="preserve"> </w:t>
      </w:r>
      <w:r w:rsidRPr="0078202B">
        <w:rPr>
          <w:lang w:val="en-US"/>
        </w:rPr>
        <w:t>“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ut </w:t>
      </w:r>
      <w:r w:rsidRPr="0078202B">
        <w:rPr>
          <w:rFonts w:cs="Times New Roman"/>
          <w:iCs/>
          <w:szCs w:val="24"/>
          <w:lang w:val="en-US" w:bidi="el-GR"/>
        </w:rPr>
        <w:t>βελτίων</w:t>
      </w:r>
      <w:r w:rsidRPr="0078202B">
        <w:rPr>
          <w:rFonts w:cs="Times New Roman"/>
          <w:szCs w:val="24"/>
          <w:lang w:val="en-US" w:bidi="la-Latn"/>
        </w:rPr>
        <w:t>,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bookmarkStart w:id="0" w:name="_Hlk153341435"/>
      <w:r w:rsidRPr="0078202B">
        <w:rPr>
          <w:rFonts w:cs="Times New Roman"/>
          <w:iCs/>
          <w:szCs w:val="24"/>
          <w:lang w:val="en-US" w:bidi="el-GR"/>
        </w:rPr>
        <w:t>ἄριστος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bookmarkEnd w:id="0"/>
      <w:r w:rsidRPr="0078202B">
        <w:rPr>
          <w:rFonts w:cs="Times New Roman"/>
          <w:iCs/>
          <w:szCs w:val="24"/>
          <w:lang w:val="en-US" w:bidi="el-GR"/>
        </w:rPr>
        <w:t>κρείττων</w:t>
      </w:r>
      <w:r w:rsidRPr="0078202B">
        <w:rPr>
          <w:rFonts w:cs="Times New Roman"/>
          <w:szCs w:val="24"/>
          <w:lang w:val="en-US" w:bidi="la-Latn"/>
        </w:rPr>
        <w:t>,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r w:rsidRPr="0078202B">
        <w:rPr>
          <w:rFonts w:cs="Times New Roman"/>
          <w:iCs/>
          <w:szCs w:val="24"/>
          <w:lang w:val="en-US" w:bidi="el-GR"/>
        </w:rPr>
        <w:t>κράτιστος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cet.</w:t>
      </w:r>
      <w:r w:rsidRPr="0078202B">
        <w:rPr>
          <w:rFonts w:cs="Times New Roman"/>
          <w:szCs w:val="24"/>
          <w:lang w:val="en-US" w:bidi="la-Latn"/>
        </w:rPr>
        <w:t>” -&gt; “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ut </w:t>
      </w:r>
      <w:r w:rsidRPr="0078202B">
        <w:rPr>
          <w:rFonts w:cs="Times New Roman"/>
          <w:iCs/>
          <w:szCs w:val="24"/>
          <w:lang w:val="en-US" w:bidi="el-GR"/>
        </w:rPr>
        <w:t>βελτίων</w:t>
      </w:r>
      <w:r w:rsidRPr="0078202B">
        <w:rPr>
          <w:rFonts w:cs="Times New Roman"/>
          <w:szCs w:val="24"/>
          <w:lang w:val="en-US" w:bidi="la-Latn"/>
        </w:rPr>
        <w:t>,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r w:rsidRPr="0078202B">
        <w:rPr>
          <w:rFonts w:cs="Times New Roman"/>
          <w:iCs/>
          <w:szCs w:val="24"/>
          <w:lang w:val="en-US" w:bidi="el-GR"/>
        </w:rPr>
        <w:t>ἄριστος</w:t>
      </w:r>
      <w:r w:rsidRPr="0078202B">
        <w:rPr>
          <w:rFonts w:cs="Times New Roman"/>
          <w:iCs/>
          <w:szCs w:val="24"/>
          <w:highlight w:val="yellow"/>
          <w:lang w:val="en-US" w:bidi="el-GR"/>
        </w:rPr>
        <w:t>,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r w:rsidRPr="0078202B">
        <w:rPr>
          <w:rFonts w:cs="Times New Roman"/>
          <w:iCs/>
          <w:szCs w:val="24"/>
          <w:lang w:val="en-US" w:bidi="el-GR"/>
        </w:rPr>
        <w:t>κρείττων</w:t>
      </w:r>
      <w:r w:rsidRPr="0078202B">
        <w:rPr>
          <w:rFonts w:cs="Times New Roman"/>
          <w:szCs w:val="24"/>
          <w:lang w:val="en-US" w:bidi="la-Latn"/>
        </w:rPr>
        <w:t>,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</w:t>
      </w:r>
      <w:r w:rsidRPr="0078202B">
        <w:rPr>
          <w:rFonts w:cs="Times New Roman"/>
          <w:iCs/>
          <w:szCs w:val="24"/>
          <w:lang w:val="en-US" w:bidi="el-GR"/>
        </w:rPr>
        <w:t>κράτιστος</w:t>
      </w:r>
      <w:r w:rsidRPr="0078202B">
        <w:rPr>
          <w:rFonts w:cs="Times New Roman"/>
          <w:i/>
          <w:iCs/>
          <w:szCs w:val="24"/>
          <w:lang w:val="en-US" w:bidi="la-Latn"/>
        </w:rPr>
        <w:t xml:space="preserve"> cet.</w:t>
      </w:r>
      <w:r w:rsidRPr="0078202B">
        <w:rPr>
          <w:rFonts w:cs="Times New Roman"/>
          <w:szCs w:val="24"/>
          <w:lang w:val="en-US" w:bidi="la-Latn"/>
        </w:rPr>
        <w:t>”</w:t>
      </w:r>
    </w:p>
    <w:p w14:paraId="58B9B7F8" w14:textId="1C2D6DEC" w:rsidR="009711AD" w:rsidRPr="00A36A87" w:rsidRDefault="009711AD" w:rsidP="009711AD">
      <w:pPr>
        <w:rPr>
          <w:rFonts w:cs="Times New Roman"/>
          <w:bCs/>
          <w:iCs/>
          <w:szCs w:val="24"/>
          <w:lang w:val="en-US" w:bidi="la-Latn"/>
        </w:rPr>
      </w:pPr>
      <w:r>
        <w:rPr>
          <w:rFonts w:cs="Times New Roman"/>
          <w:szCs w:val="24"/>
          <w:lang w:val="en-US" w:bidi="la-Latn"/>
        </w:rPr>
        <w:t>VII 442: supralinear Greek letters have been converted to suprascript letters using the markdown code “^”: “</w:t>
      </w:r>
      <w:r w:rsidRPr="009711AD">
        <w:rPr>
          <w:rFonts w:cs="Times New Roman"/>
          <w:b/>
          <w:szCs w:val="24"/>
          <w:lang w:val="la-Latn" w:bidi="la-Latn"/>
        </w:rPr>
        <w:t>*</w:t>
      </w:r>
      <w:r w:rsidRPr="009711AD">
        <w:rPr>
          <w:rFonts w:cs="Times New Roman"/>
          <w:b/>
          <w:szCs w:val="24"/>
          <w:lang w:bidi="la-Latn"/>
        </w:rPr>
        <w:t>ἀγκυλοκτομπω</w:t>
      </w:r>
      <w:r w:rsidRPr="009711AD">
        <w:rPr>
          <w:rFonts w:cs="Times New Roman"/>
          <w:szCs w:val="24"/>
          <w:lang w:val="la-Latn" w:bidi="la-Latn"/>
        </w:rPr>
        <w:t xml:space="preserve"> </w:t>
      </w:r>
      <w:r w:rsidRPr="009711AD">
        <w:rPr>
          <w:rFonts w:cs="Times New Roman"/>
          <w:i/>
          <w:iCs/>
          <w:szCs w:val="24"/>
          <w:lang w:val="la-Latn" w:bidi="la-Latn"/>
        </w:rPr>
        <w:t xml:space="preserve">h. e. </w:t>
      </w:r>
      <w:r w:rsidRPr="009711AD">
        <w:rPr>
          <w:rFonts w:cs="Times New Roman"/>
          <w:bCs/>
          <w:iCs/>
          <w:szCs w:val="24"/>
          <w:lang w:bidi="la-Latn"/>
        </w:rPr>
        <w:t>ἀγκυλοκ</w:t>
      </w:r>
      <w:r w:rsidRPr="00A36A87">
        <w:rPr>
          <w:rFonts w:cs="Times New Roman"/>
          <w:bCs/>
          <w:iCs/>
          <w:szCs w:val="24"/>
          <w:lang w:val="en-US" w:bidi="la-Latn"/>
        </w:rPr>
        <w:t>^</w:t>
      </w:r>
      <w:r>
        <w:rPr>
          <w:rFonts w:cs="Times New Roman"/>
          <w:bCs/>
          <w:iCs/>
          <w:szCs w:val="24"/>
          <w:lang w:bidi="la-Latn"/>
        </w:rPr>
        <w:t>τ</w:t>
      </w:r>
      <w:r w:rsidRPr="009711AD">
        <w:rPr>
          <w:rFonts w:cs="Times New Roman"/>
          <w:bCs/>
          <w:iCs/>
          <w:szCs w:val="24"/>
          <w:lang w:bidi="la-Latn"/>
        </w:rPr>
        <w:t>ο</w:t>
      </w:r>
      <w:r w:rsidRPr="00A36A87">
        <w:rPr>
          <w:rFonts w:cs="Times New Roman"/>
          <w:bCs/>
          <w:iCs/>
          <w:szCs w:val="24"/>
          <w:lang w:val="en-US" w:bidi="la-Latn"/>
        </w:rPr>
        <w:t>^</w:t>
      </w:r>
      <w:r>
        <w:rPr>
          <w:rFonts w:cs="Times New Roman"/>
          <w:bCs/>
          <w:iCs/>
          <w:szCs w:val="24"/>
          <w:lang w:bidi="la-Latn"/>
        </w:rPr>
        <w:t>μ</w:t>
      </w:r>
      <w:r w:rsidRPr="009711AD">
        <w:rPr>
          <w:rFonts w:cs="Times New Roman"/>
          <w:bCs/>
          <w:iCs/>
          <w:szCs w:val="24"/>
          <w:lang w:bidi="la-Latn"/>
        </w:rPr>
        <w:t>πω</w:t>
      </w:r>
      <w:r w:rsidRPr="00A36A87">
        <w:rPr>
          <w:rFonts w:cs="Times New Roman"/>
          <w:bCs/>
          <w:iCs/>
          <w:szCs w:val="24"/>
          <w:lang w:val="en-US" w:bidi="la-Latn"/>
        </w:rPr>
        <w:t>“.</w:t>
      </w:r>
    </w:p>
    <w:p w14:paraId="7BC7E1F2" w14:textId="28D09C3C" w:rsidR="00FF38FA" w:rsidRDefault="007763C6" w:rsidP="009711AD">
      <w:pPr>
        <w:rPr>
          <w:rFonts w:cs="Times New Roman"/>
          <w:szCs w:val="24"/>
          <w:lang w:val="la-Latn" w:bidi="la-Latn"/>
        </w:rPr>
      </w:pPr>
      <w:r>
        <w:rPr>
          <w:rFonts w:cs="Times New Roman"/>
          <w:szCs w:val="24"/>
          <w:lang w:val="en-US" w:bidi="la-Latn"/>
        </w:rPr>
        <w:t>VII 443: missing spiritus lenis “</w:t>
      </w:r>
      <w:r w:rsidRPr="00C0243E">
        <w:rPr>
          <w:rFonts w:cs="Times New Roman"/>
          <w:b/>
          <w:szCs w:val="24"/>
          <w:lang w:val="la-Latn" w:bidi="la-Latn"/>
        </w:rPr>
        <w:t>*</w:t>
      </w:r>
      <w:r w:rsidRPr="00C0243E">
        <w:rPr>
          <w:rFonts w:cs="Times New Roman"/>
          <w:b/>
          <w:bCs/>
          <w:szCs w:val="24"/>
          <w:lang w:val="el-GR" w:bidi="la-Latn"/>
        </w:rPr>
        <w:t>Α</w:t>
      </w:r>
      <w:r w:rsidRPr="00C0243E">
        <w:rPr>
          <w:rFonts w:cs="Times New Roman"/>
          <w:b/>
          <w:szCs w:val="24"/>
          <w:lang w:bidi="el-GR"/>
        </w:rPr>
        <w:t>γχίσειος</w:t>
      </w:r>
      <w:r w:rsidRPr="00C0243E">
        <w:rPr>
          <w:rFonts w:cs="Times New Roman"/>
          <w:b/>
          <w:szCs w:val="24"/>
          <w:lang w:val="la-Latn" w:bidi="la-Latn"/>
        </w:rPr>
        <w:t xml:space="preserve"> </w:t>
      </w:r>
      <w:r w:rsidRPr="00C0243E">
        <w:rPr>
          <w:rFonts w:cs="Times New Roman"/>
          <w:szCs w:val="24"/>
          <w:lang w:val="la-Latn" w:bidi="la-Latn"/>
        </w:rPr>
        <w:t>Anchiseos</w:t>
      </w:r>
      <w:r>
        <w:rPr>
          <w:rFonts w:cs="Times New Roman"/>
          <w:szCs w:val="24"/>
          <w:lang w:val="la-Latn" w:bidi="la-Latn"/>
        </w:rPr>
        <w:t>” -&gt; “</w:t>
      </w:r>
      <w:r w:rsidRPr="007763C6">
        <w:rPr>
          <w:rFonts w:cs="Times New Roman"/>
          <w:szCs w:val="24"/>
          <w:lang w:val="la-Latn" w:bidi="la-Latn"/>
        </w:rPr>
        <w:t>*Ἀγχίσειος** Anchiseos.</w:t>
      </w:r>
      <w:r>
        <w:rPr>
          <w:rFonts w:cs="Times New Roman"/>
          <w:szCs w:val="24"/>
          <w:lang w:val="la-Latn" w:bidi="la-Latn"/>
        </w:rPr>
        <w:t>"</w:t>
      </w:r>
    </w:p>
    <w:p w14:paraId="5D82825C" w14:textId="3CA5EB6E" w:rsidR="007611BB" w:rsidRDefault="007611BB" w:rsidP="007611BB">
      <w:pPr>
        <w:rPr>
          <w:rFonts w:cs="Times New Roman"/>
          <w:szCs w:val="24"/>
          <w:lang w:val="la-Latn" w:bidi="la-Latn"/>
        </w:rPr>
      </w:pPr>
      <w:r>
        <w:rPr>
          <w:rFonts w:cs="Times New Roman"/>
          <w:szCs w:val="24"/>
          <w:lang w:val="en-US" w:bidi="la-Latn"/>
        </w:rPr>
        <w:t>VII 444: missing spiritus lenus and accent “</w:t>
      </w:r>
      <w:r w:rsidRPr="007611BB">
        <w:rPr>
          <w:rFonts w:cs="Times New Roman"/>
          <w:b/>
          <w:bCs/>
          <w:szCs w:val="24"/>
          <w:lang w:bidi="la-Latn"/>
        </w:rPr>
        <w:t>Αδωνις</w:t>
      </w:r>
      <w:r w:rsidRPr="007611BB">
        <w:rPr>
          <w:rFonts w:cs="Times New Roman"/>
          <w:b/>
          <w:bCs/>
          <w:szCs w:val="24"/>
          <w:lang w:val="la-Latn" w:bidi="la-Latn"/>
        </w:rPr>
        <w:t xml:space="preserve"> </w:t>
      </w:r>
      <w:r w:rsidRPr="007611BB">
        <w:rPr>
          <w:rFonts w:cs="Times New Roman"/>
          <w:szCs w:val="24"/>
          <w:lang w:val="la-Latn" w:bidi="la-Latn"/>
        </w:rPr>
        <w:t>Adonis.</w:t>
      </w:r>
      <w:r>
        <w:rPr>
          <w:rFonts w:cs="Times New Roman"/>
          <w:szCs w:val="24"/>
          <w:lang w:val="la-Latn" w:bidi="la-Latn"/>
        </w:rPr>
        <w:t>” -&gt; “</w:t>
      </w:r>
      <w:r>
        <w:rPr>
          <w:rFonts w:cs="Times New Roman"/>
          <w:b/>
          <w:bCs/>
          <w:szCs w:val="24"/>
          <w:lang w:bidi="la-Latn"/>
        </w:rPr>
        <w:t>Ἄ</w:t>
      </w:r>
      <w:r w:rsidRPr="007611BB">
        <w:rPr>
          <w:rFonts w:cs="Times New Roman"/>
          <w:b/>
          <w:bCs/>
          <w:szCs w:val="24"/>
          <w:lang w:bidi="la-Latn"/>
        </w:rPr>
        <w:t>δωνις</w:t>
      </w:r>
      <w:r w:rsidRPr="007611BB">
        <w:rPr>
          <w:rFonts w:cs="Times New Roman"/>
          <w:b/>
          <w:bCs/>
          <w:szCs w:val="24"/>
          <w:lang w:val="la-Latn" w:bidi="la-Latn"/>
        </w:rPr>
        <w:t xml:space="preserve"> </w:t>
      </w:r>
      <w:r w:rsidRPr="007611BB">
        <w:rPr>
          <w:rFonts w:cs="Times New Roman"/>
          <w:szCs w:val="24"/>
          <w:lang w:val="la-Latn" w:bidi="la-Latn"/>
        </w:rPr>
        <w:t>Adonis.</w:t>
      </w:r>
      <w:r>
        <w:rPr>
          <w:rFonts w:cs="Times New Roman"/>
          <w:szCs w:val="24"/>
          <w:lang w:val="la-Latn" w:bidi="la-Latn"/>
        </w:rPr>
        <w:t>”</w:t>
      </w:r>
    </w:p>
    <w:p w14:paraId="5A8F6575" w14:textId="323E22D7" w:rsidR="007E5962" w:rsidRPr="007E5962" w:rsidRDefault="007E5962" w:rsidP="007E5962">
      <w:pPr>
        <w:rPr>
          <w:rFonts w:cs="Times New Roman"/>
          <w:szCs w:val="24"/>
          <w:lang w:val="en-US" w:bidi="la-Latn"/>
        </w:rPr>
      </w:pPr>
      <w:r>
        <w:rPr>
          <w:rFonts w:cs="Times New Roman"/>
          <w:szCs w:val="24"/>
          <w:lang w:val="en-US" w:bidi="la-Latn"/>
        </w:rPr>
        <w:t>VII 447: acute accent changed to spiritus lenis “</w:t>
      </w:r>
      <w:r w:rsidRPr="007E5962">
        <w:rPr>
          <w:rFonts w:cs="Times New Roman"/>
          <w:b/>
          <w:bCs/>
          <w:szCs w:val="24"/>
          <w:lang w:val="el-GR" w:bidi="la-Latn"/>
        </w:rPr>
        <w:t>ὰκανθίς</w:t>
      </w:r>
      <w:r>
        <w:rPr>
          <w:rFonts w:cs="Times New Roman"/>
          <w:szCs w:val="24"/>
          <w:lang w:val="en-US" w:bidi="la-Latn"/>
        </w:rPr>
        <w:t>” -&gt; “</w:t>
      </w:r>
      <w:r w:rsidRPr="007E5962">
        <w:rPr>
          <w:rFonts w:cs="Times New Roman"/>
          <w:b/>
          <w:bCs/>
          <w:szCs w:val="24"/>
          <w:lang w:bidi="la-Latn"/>
        </w:rPr>
        <w:t>ἀκανθίς</w:t>
      </w:r>
      <w:r>
        <w:rPr>
          <w:rFonts w:cs="Times New Roman"/>
          <w:szCs w:val="24"/>
          <w:lang w:val="en-US" w:bidi="la-Latn"/>
        </w:rPr>
        <w:t>”</w:t>
      </w:r>
    </w:p>
    <w:p w14:paraId="00BECC75" w14:textId="30B81B09" w:rsidR="00A36FB5" w:rsidRPr="00A36A87" w:rsidRDefault="00A36FB5" w:rsidP="00A36FB5">
      <w:pPr>
        <w:rPr>
          <w:rFonts w:cs="Times New Roman"/>
          <w:szCs w:val="24"/>
          <w:lang w:val="en-US" w:bidi="la-Latn"/>
        </w:rPr>
      </w:pPr>
      <w:r>
        <w:rPr>
          <w:rFonts w:cs="Times New Roman"/>
          <w:szCs w:val="24"/>
          <w:lang w:val="en-US" w:bidi="la-Latn"/>
        </w:rPr>
        <w:t>VII 451: space added before hyphen “</w:t>
      </w:r>
      <w:r w:rsidRPr="00A36FB5">
        <w:rPr>
          <w:rFonts w:cs="Times New Roman"/>
          <w:b/>
          <w:bCs/>
          <w:szCs w:val="24"/>
          <w:lang w:bidi="la-Latn"/>
        </w:rPr>
        <w:t>ἀλώπηξ</w:t>
      </w:r>
      <w:r w:rsidRPr="00A36A87">
        <w:rPr>
          <w:rFonts w:cs="Times New Roman"/>
          <w:b/>
          <w:bCs/>
          <w:szCs w:val="24"/>
          <w:lang w:val="en-US" w:bidi="la-Latn"/>
        </w:rPr>
        <w:t xml:space="preserve"> </w:t>
      </w:r>
      <w:r w:rsidRPr="00A36A87">
        <w:rPr>
          <w:rFonts w:cs="Times New Roman"/>
          <w:szCs w:val="24"/>
          <w:lang w:val="en-US" w:bidi="la-Latn"/>
        </w:rPr>
        <w:t>vulpecula, vulpes, -</w:t>
      </w:r>
      <w:r w:rsidRPr="00A36FB5">
        <w:rPr>
          <w:rFonts w:cs="Times New Roman"/>
          <w:szCs w:val="24"/>
          <w:lang w:bidi="la-Latn"/>
        </w:rPr>
        <w:t>θήλεια</w:t>
      </w:r>
      <w:r w:rsidRPr="00A36A87">
        <w:rPr>
          <w:rFonts w:cs="Times New Roman"/>
          <w:szCs w:val="24"/>
          <w:lang w:val="en-US" w:bidi="la-Latn"/>
        </w:rPr>
        <w:t xml:space="preserve"> vulpecula“ -&gt; </w:t>
      </w:r>
      <w:r>
        <w:rPr>
          <w:rFonts w:cs="Times New Roman"/>
          <w:szCs w:val="24"/>
          <w:lang w:val="en-US" w:bidi="la-Latn"/>
        </w:rPr>
        <w:t>“</w:t>
      </w:r>
      <w:r w:rsidRPr="00A36FB5">
        <w:rPr>
          <w:rFonts w:cs="Times New Roman"/>
          <w:b/>
          <w:bCs/>
          <w:szCs w:val="24"/>
          <w:lang w:bidi="la-Latn"/>
        </w:rPr>
        <w:t>ἀλώπηξ</w:t>
      </w:r>
      <w:r w:rsidRPr="00A36A87">
        <w:rPr>
          <w:rFonts w:cs="Times New Roman"/>
          <w:b/>
          <w:bCs/>
          <w:szCs w:val="24"/>
          <w:lang w:val="en-US" w:bidi="la-Latn"/>
        </w:rPr>
        <w:t xml:space="preserve"> </w:t>
      </w:r>
      <w:r w:rsidRPr="00A36A87">
        <w:rPr>
          <w:rFonts w:cs="Times New Roman"/>
          <w:szCs w:val="24"/>
          <w:lang w:val="en-US" w:bidi="la-Latn"/>
        </w:rPr>
        <w:t xml:space="preserve">vulpecula, vulpes, - </w:t>
      </w:r>
      <w:r w:rsidRPr="00A36FB5">
        <w:rPr>
          <w:rFonts w:cs="Times New Roman"/>
          <w:szCs w:val="24"/>
          <w:lang w:bidi="la-Latn"/>
        </w:rPr>
        <w:t>θήλεια</w:t>
      </w:r>
      <w:r w:rsidRPr="00A36A87">
        <w:rPr>
          <w:rFonts w:cs="Times New Roman"/>
          <w:szCs w:val="24"/>
          <w:lang w:val="en-US" w:bidi="la-Latn"/>
        </w:rPr>
        <w:t xml:space="preserve"> vulpecula“</w:t>
      </w:r>
    </w:p>
    <w:p w14:paraId="1640C9F4" w14:textId="32B65A9A" w:rsidR="007E5962" w:rsidRPr="00A36FB5" w:rsidRDefault="007E5962" w:rsidP="00A36FB5">
      <w:pPr>
        <w:rPr>
          <w:rFonts w:cs="Times New Roman"/>
          <w:szCs w:val="24"/>
          <w:lang w:val="en-US" w:bidi="la-Latn"/>
        </w:rPr>
      </w:pPr>
    </w:p>
    <w:p w14:paraId="093A78D2" w14:textId="72CFDF48" w:rsidR="007611BB" w:rsidRPr="007611BB" w:rsidRDefault="007611BB" w:rsidP="007611BB">
      <w:pPr>
        <w:rPr>
          <w:rFonts w:cs="Times New Roman"/>
          <w:szCs w:val="24"/>
          <w:lang w:val="en-US" w:bidi="la-Latn"/>
        </w:rPr>
      </w:pPr>
    </w:p>
    <w:p w14:paraId="79E0F800" w14:textId="77777777" w:rsidR="007763C6" w:rsidRPr="007763C6" w:rsidRDefault="007763C6" w:rsidP="009711AD">
      <w:pPr>
        <w:rPr>
          <w:rFonts w:cs="Times New Roman"/>
          <w:szCs w:val="24"/>
          <w:lang w:val="en-US" w:bidi="la-Latn"/>
        </w:rPr>
      </w:pPr>
    </w:p>
    <w:p w14:paraId="49BE87F7" w14:textId="0F8EEA45" w:rsidR="008A6C2D" w:rsidRDefault="008A6C2D" w:rsidP="00642BC7">
      <w:pPr>
        <w:rPr>
          <w:lang w:val="en-US"/>
        </w:rPr>
      </w:pPr>
    </w:p>
    <w:p w14:paraId="10D734CE" w14:textId="77777777" w:rsidR="0067025A" w:rsidRDefault="0067025A" w:rsidP="003D684C">
      <w:pPr>
        <w:rPr>
          <w:lang w:val="en-US"/>
        </w:rPr>
      </w:pPr>
    </w:p>
    <w:p w14:paraId="2D6E3BD4" w14:textId="4189CBCF" w:rsidR="0067025A" w:rsidRDefault="0067025A" w:rsidP="00841CAA">
      <w:pPr>
        <w:rPr>
          <w:b/>
          <w:bCs/>
          <w:lang w:val="en-US"/>
        </w:rPr>
      </w:pPr>
      <w:r>
        <w:rPr>
          <w:b/>
          <w:bCs/>
          <w:lang w:val="en-US"/>
        </w:rPr>
        <w:t>Passages corrected with some uncertainty</w:t>
      </w:r>
    </w:p>
    <w:p w14:paraId="03EC0F28" w14:textId="77777777" w:rsidR="0067025A" w:rsidRDefault="0067025A" w:rsidP="0067025A">
      <w:pPr>
        <w:rPr>
          <w:lang w:val="en-US"/>
        </w:rPr>
      </w:pPr>
      <w:r>
        <w:rPr>
          <w:lang w:val="en-US"/>
        </w:rPr>
        <w:t>VI 492 s.v. Gigantomachia: “</w:t>
      </w:r>
      <w:r w:rsidRPr="00662606">
        <w:rPr>
          <w:lang w:val="en-US"/>
        </w:rPr>
        <w:t>(*Euseb. eccl. hist.* I 1 V 419, 40 = 428,</w:t>
      </w:r>
      <w:r>
        <w:rPr>
          <w:lang w:val="en-US"/>
        </w:rPr>
        <w:t xml:space="preserve"> </w:t>
      </w:r>
      <w:r w:rsidRPr="00662606">
        <w:rPr>
          <w:lang w:val="en-US"/>
        </w:rPr>
        <w:t>20.</w:t>
      </w:r>
      <w:r>
        <w:rPr>
          <w:lang w:val="en-US"/>
        </w:rPr>
        <w:t>” -&gt; “</w:t>
      </w:r>
      <w:r w:rsidRPr="00662606">
        <w:rPr>
          <w:lang w:val="en-US"/>
        </w:rPr>
        <w:t>(*Euseb. eccl. hist.* I 1</w:t>
      </w:r>
      <w:r>
        <w:rPr>
          <w:lang w:val="en-US"/>
        </w:rPr>
        <w:t>)</w:t>
      </w:r>
      <w:r w:rsidRPr="00662606">
        <w:rPr>
          <w:lang w:val="en-US"/>
        </w:rPr>
        <w:t xml:space="preserve"> V 419, 40 = 428,</w:t>
      </w:r>
      <w:r>
        <w:rPr>
          <w:lang w:val="en-US"/>
        </w:rPr>
        <w:t xml:space="preserve"> </w:t>
      </w:r>
      <w:r w:rsidRPr="00662606">
        <w:rPr>
          <w:lang w:val="en-US"/>
        </w:rPr>
        <w:t>20.</w:t>
      </w:r>
      <w:r>
        <w:rPr>
          <w:lang w:val="en-US"/>
        </w:rPr>
        <w:t>”</w:t>
      </w:r>
    </w:p>
    <w:p w14:paraId="242A4028" w14:textId="7593DC12" w:rsidR="0067025A" w:rsidRPr="0067025A" w:rsidRDefault="0067025A" w:rsidP="0067025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Why Euseb. eccl. hist. I 1?</w:t>
      </w:r>
    </w:p>
    <w:p w14:paraId="29A7F69D" w14:textId="77777777" w:rsidR="0067025A" w:rsidRDefault="0067025A" w:rsidP="00841CAA">
      <w:pPr>
        <w:rPr>
          <w:b/>
          <w:bCs/>
          <w:lang w:val="en-US"/>
        </w:rPr>
      </w:pPr>
    </w:p>
    <w:p w14:paraId="62E007CA" w14:textId="78F9FE91" w:rsidR="00810CAA" w:rsidRDefault="00D9764D" w:rsidP="00841C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Erroneous or uncertain passages in </w:t>
      </w:r>
      <w:r>
        <w:rPr>
          <w:b/>
          <w:bCs/>
          <w:i/>
          <w:iCs/>
          <w:lang w:val="en-US"/>
        </w:rPr>
        <w:t xml:space="preserve">CGL </w:t>
      </w:r>
      <w:r>
        <w:rPr>
          <w:b/>
          <w:bCs/>
          <w:lang w:val="en-US"/>
        </w:rPr>
        <w:t>left uncorrected</w:t>
      </w:r>
    </w:p>
    <w:p w14:paraId="609995B9" w14:textId="66149D48" w:rsidR="00C63571" w:rsidRDefault="00DB7EDC">
      <w:pPr>
        <w:rPr>
          <w:lang w:val="en-US"/>
        </w:rPr>
      </w:pPr>
      <w:r>
        <w:rPr>
          <w:lang w:val="en-US"/>
        </w:rPr>
        <w:t>VI 71: “</w:t>
      </w:r>
      <w:r w:rsidRPr="00DB7EDC">
        <w:rPr>
          <w:lang w:val="en-US"/>
        </w:rPr>
        <w:t>**Anima uegetatiua** ψυχὴ φυτική III 279, 39 (*unde?* .</w:t>
      </w:r>
      <w:r>
        <w:rPr>
          <w:lang w:val="en-US"/>
        </w:rPr>
        <w:t>”</w:t>
      </w:r>
    </w:p>
    <w:p w14:paraId="406D75BA" w14:textId="4A088128" w:rsidR="00AD639C" w:rsidRPr="00D9764D" w:rsidRDefault="00AD639C" w:rsidP="00AD639C">
      <w:pPr>
        <w:rPr>
          <w:lang w:val="en-US"/>
        </w:rPr>
      </w:pPr>
      <w:r>
        <w:rPr>
          <w:lang w:val="en-US"/>
        </w:rPr>
        <w:t>VI 566 s.v. Induco: “</w:t>
      </w:r>
      <w:r w:rsidRPr="00AD639C">
        <w:rPr>
          <w:b/>
          <w:bCs/>
          <w:lang w:val="en-US"/>
        </w:rPr>
        <w:t xml:space="preserve">induxit </w:t>
      </w:r>
      <w:r w:rsidRPr="00AD639C">
        <w:rPr>
          <w:lang w:val="en-US"/>
        </w:rPr>
        <w:t>ἐχάραξεν III 121, 38 = 225, 35 646, 2</w:t>
      </w:r>
      <w:r>
        <w:rPr>
          <w:lang w:val="en-US"/>
        </w:rPr>
        <w:t>”; a semicolon is missing before 646, 2 but there is also something wrong with the cross-reference.</w:t>
      </w:r>
    </w:p>
    <w:sectPr w:rsidR="00AD639C" w:rsidRPr="00D9764D" w:rsidSect="007263E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56B2" w14:textId="77777777" w:rsidR="007263E3" w:rsidRPr="00F614A2" w:rsidRDefault="007263E3" w:rsidP="00E02AB7">
      <w:pPr>
        <w:spacing w:line="240" w:lineRule="auto"/>
      </w:pPr>
      <w:r>
        <w:separator/>
      </w:r>
    </w:p>
  </w:endnote>
  <w:endnote w:type="continuationSeparator" w:id="0">
    <w:p w14:paraId="6D6B9292" w14:textId="77777777" w:rsidR="007263E3" w:rsidRPr="00F614A2" w:rsidRDefault="007263E3" w:rsidP="00E02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Ahorus">
    <w:altName w:val="Ahorus"/>
    <w:panose1 w:val="00000400000000000000"/>
    <w:charset w:val="00"/>
    <w:family w:val="auto"/>
    <w:pitch w:val="variable"/>
    <w:sig w:usb0="00000A87" w:usb1="00000000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6A25" w14:textId="77777777" w:rsidR="007263E3" w:rsidRPr="00F614A2" w:rsidRDefault="007263E3" w:rsidP="00E02AB7">
      <w:pPr>
        <w:spacing w:line="240" w:lineRule="auto"/>
      </w:pPr>
      <w:r>
        <w:separator/>
      </w:r>
    </w:p>
  </w:footnote>
  <w:footnote w:type="continuationSeparator" w:id="0">
    <w:p w14:paraId="31B66290" w14:textId="77777777" w:rsidR="007263E3" w:rsidRPr="00F614A2" w:rsidRDefault="007263E3" w:rsidP="00E02A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1C11"/>
    <w:multiLevelType w:val="hybridMultilevel"/>
    <w:tmpl w:val="BB9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56AB0"/>
    <w:multiLevelType w:val="hybridMultilevel"/>
    <w:tmpl w:val="4FF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39235">
    <w:abstractNumId w:val="1"/>
  </w:num>
  <w:num w:numId="2" w16cid:durableId="136664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BA"/>
    <w:rsid w:val="00001B39"/>
    <w:rsid w:val="00001B4A"/>
    <w:rsid w:val="00003DEE"/>
    <w:rsid w:val="00007CA9"/>
    <w:rsid w:val="00013256"/>
    <w:rsid w:val="000169F3"/>
    <w:rsid w:val="00016B1F"/>
    <w:rsid w:val="00023663"/>
    <w:rsid w:val="000260D0"/>
    <w:rsid w:val="000265C6"/>
    <w:rsid w:val="00030453"/>
    <w:rsid w:val="00033F70"/>
    <w:rsid w:val="000373B4"/>
    <w:rsid w:val="00043674"/>
    <w:rsid w:val="00043E77"/>
    <w:rsid w:val="00045325"/>
    <w:rsid w:val="00050DD7"/>
    <w:rsid w:val="00055956"/>
    <w:rsid w:val="00056995"/>
    <w:rsid w:val="00056CB6"/>
    <w:rsid w:val="00056E99"/>
    <w:rsid w:val="000576EB"/>
    <w:rsid w:val="00064328"/>
    <w:rsid w:val="00064EAF"/>
    <w:rsid w:val="00065117"/>
    <w:rsid w:val="000664E6"/>
    <w:rsid w:val="00070C80"/>
    <w:rsid w:val="00071793"/>
    <w:rsid w:val="00082FC7"/>
    <w:rsid w:val="00086540"/>
    <w:rsid w:val="00090C99"/>
    <w:rsid w:val="00091E40"/>
    <w:rsid w:val="00092A3B"/>
    <w:rsid w:val="00093F0C"/>
    <w:rsid w:val="000A0FF8"/>
    <w:rsid w:val="000A3170"/>
    <w:rsid w:val="000A41C6"/>
    <w:rsid w:val="000B196A"/>
    <w:rsid w:val="000B32CC"/>
    <w:rsid w:val="000B411C"/>
    <w:rsid w:val="000B7DFF"/>
    <w:rsid w:val="000C03B1"/>
    <w:rsid w:val="000C48A0"/>
    <w:rsid w:val="000C5E67"/>
    <w:rsid w:val="000D0235"/>
    <w:rsid w:val="000D0767"/>
    <w:rsid w:val="000D1827"/>
    <w:rsid w:val="000D3DB9"/>
    <w:rsid w:val="000D5ADF"/>
    <w:rsid w:val="000D6BD7"/>
    <w:rsid w:val="000D727A"/>
    <w:rsid w:val="000D77AD"/>
    <w:rsid w:val="000E0B6F"/>
    <w:rsid w:val="000E27C5"/>
    <w:rsid w:val="000F027A"/>
    <w:rsid w:val="000F0771"/>
    <w:rsid w:val="000F0E00"/>
    <w:rsid w:val="000F27EA"/>
    <w:rsid w:val="000F584C"/>
    <w:rsid w:val="0010104F"/>
    <w:rsid w:val="001028AD"/>
    <w:rsid w:val="00102CF1"/>
    <w:rsid w:val="00103CC6"/>
    <w:rsid w:val="001060F5"/>
    <w:rsid w:val="00107FFA"/>
    <w:rsid w:val="0011122F"/>
    <w:rsid w:val="0012086F"/>
    <w:rsid w:val="00125EF2"/>
    <w:rsid w:val="00126AC3"/>
    <w:rsid w:val="001278C6"/>
    <w:rsid w:val="001345DA"/>
    <w:rsid w:val="001354E7"/>
    <w:rsid w:val="0013555B"/>
    <w:rsid w:val="00141239"/>
    <w:rsid w:val="00143BF7"/>
    <w:rsid w:val="00144802"/>
    <w:rsid w:val="0014605F"/>
    <w:rsid w:val="00146FF3"/>
    <w:rsid w:val="00150018"/>
    <w:rsid w:val="00151816"/>
    <w:rsid w:val="00152FBB"/>
    <w:rsid w:val="001533F1"/>
    <w:rsid w:val="0015415B"/>
    <w:rsid w:val="00160FC7"/>
    <w:rsid w:val="0016766D"/>
    <w:rsid w:val="001728EA"/>
    <w:rsid w:val="00173067"/>
    <w:rsid w:val="0017663F"/>
    <w:rsid w:val="00177BD3"/>
    <w:rsid w:val="00181A08"/>
    <w:rsid w:val="00181DB3"/>
    <w:rsid w:val="00183309"/>
    <w:rsid w:val="001864BE"/>
    <w:rsid w:val="00186DF8"/>
    <w:rsid w:val="00192BFF"/>
    <w:rsid w:val="0019364A"/>
    <w:rsid w:val="0019375F"/>
    <w:rsid w:val="001A268F"/>
    <w:rsid w:val="001A5642"/>
    <w:rsid w:val="001B1FAE"/>
    <w:rsid w:val="001B46A6"/>
    <w:rsid w:val="001B4FDB"/>
    <w:rsid w:val="001B6966"/>
    <w:rsid w:val="001B6EBD"/>
    <w:rsid w:val="001B7885"/>
    <w:rsid w:val="001C053C"/>
    <w:rsid w:val="001C27E4"/>
    <w:rsid w:val="001E6D90"/>
    <w:rsid w:val="001F0098"/>
    <w:rsid w:val="001F478E"/>
    <w:rsid w:val="001F7DF9"/>
    <w:rsid w:val="00202D85"/>
    <w:rsid w:val="002062EA"/>
    <w:rsid w:val="0021170C"/>
    <w:rsid w:val="00215AE4"/>
    <w:rsid w:val="00217890"/>
    <w:rsid w:val="002238C4"/>
    <w:rsid w:val="002314A3"/>
    <w:rsid w:val="0023182B"/>
    <w:rsid w:val="002325C6"/>
    <w:rsid w:val="00232824"/>
    <w:rsid w:val="002328FC"/>
    <w:rsid w:val="00233758"/>
    <w:rsid w:val="0023576B"/>
    <w:rsid w:val="00247544"/>
    <w:rsid w:val="00252200"/>
    <w:rsid w:val="00253A2F"/>
    <w:rsid w:val="002557A1"/>
    <w:rsid w:val="00262DA5"/>
    <w:rsid w:val="00265142"/>
    <w:rsid w:val="00274846"/>
    <w:rsid w:val="0027579E"/>
    <w:rsid w:val="00275A57"/>
    <w:rsid w:val="00276F5B"/>
    <w:rsid w:val="00282245"/>
    <w:rsid w:val="00282842"/>
    <w:rsid w:val="00286350"/>
    <w:rsid w:val="002873E4"/>
    <w:rsid w:val="00292B3A"/>
    <w:rsid w:val="002A005F"/>
    <w:rsid w:val="002A19A4"/>
    <w:rsid w:val="002A1DEC"/>
    <w:rsid w:val="002A2EA9"/>
    <w:rsid w:val="002A4F04"/>
    <w:rsid w:val="002A6A2A"/>
    <w:rsid w:val="002B503E"/>
    <w:rsid w:val="002B5670"/>
    <w:rsid w:val="002B6A43"/>
    <w:rsid w:val="002B7EDE"/>
    <w:rsid w:val="002C13E0"/>
    <w:rsid w:val="002C2133"/>
    <w:rsid w:val="002C2269"/>
    <w:rsid w:val="002C5341"/>
    <w:rsid w:val="002C6735"/>
    <w:rsid w:val="002C7020"/>
    <w:rsid w:val="002C7490"/>
    <w:rsid w:val="002D1C7A"/>
    <w:rsid w:val="002D261C"/>
    <w:rsid w:val="002D28D6"/>
    <w:rsid w:val="002D4671"/>
    <w:rsid w:val="002D510C"/>
    <w:rsid w:val="002D5EC4"/>
    <w:rsid w:val="002D70CC"/>
    <w:rsid w:val="002D721D"/>
    <w:rsid w:val="002E4144"/>
    <w:rsid w:val="002F40A1"/>
    <w:rsid w:val="002F4B97"/>
    <w:rsid w:val="002F7145"/>
    <w:rsid w:val="003010BA"/>
    <w:rsid w:val="00302D60"/>
    <w:rsid w:val="00302ED2"/>
    <w:rsid w:val="00303ADF"/>
    <w:rsid w:val="003076E9"/>
    <w:rsid w:val="00317AAD"/>
    <w:rsid w:val="003223FB"/>
    <w:rsid w:val="003234D1"/>
    <w:rsid w:val="003239CA"/>
    <w:rsid w:val="00324224"/>
    <w:rsid w:val="00326804"/>
    <w:rsid w:val="003314C4"/>
    <w:rsid w:val="00336221"/>
    <w:rsid w:val="00336AA6"/>
    <w:rsid w:val="00340E15"/>
    <w:rsid w:val="003434E2"/>
    <w:rsid w:val="003500D9"/>
    <w:rsid w:val="00350A09"/>
    <w:rsid w:val="003540B5"/>
    <w:rsid w:val="003564AF"/>
    <w:rsid w:val="00357799"/>
    <w:rsid w:val="003614ED"/>
    <w:rsid w:val="003628C3"/>
    <w:rsid w:val="00363465"/>
    <w:rsid w:val="00365C7C"/>
    <w:rsid w:val="00366CBF"/>
    <w:rsid w:val="00370190"/>
    <w:rsid w:val="003717DA"/>
    <w:rsid w:val="00372B60"/>
    <w:rsid w:val="00372BBF"/>
    <w:rsid w:val="00372FC1"/>
    <w:rsid w:val="003758E9"/>
    <w:rsid w:val="003775DD"/>
    <w:rsid w:val="00383AE4"/>
    <w:rsid w:val="00385A58"/>
    <w:rsid w:val="003907A3"/>
    <w:rsid w:val="003912A8"/>
    <w:rsid w:val="003914ED"/>
    <w:rsid w:val="00392472"/>
    <w:rsid w:val="003A0D40"/>
    <w:rsid w:val="003A144F"/>
    <w:rsid w:val="003A214A"/>
    <w:rsid w:val="003A2599"/>
    <w:rsid w:val="003A25D4"/>
    <w:rsid w:val="003A3982"/>
    <w:rsid w:val="003A6EBE"/>
    <w:rsid w:val="003B05D6"/>
    <w:rsid w:val="003B1974"/>
    <w:rsid w:val="003B3947"/>
    <w:rsid w:val="003B3E32"/>
    <w:rsid w:val="003B4070"/>
    <w:rsid w:val="003B4DBF"/>
    <w:rsid w:val="003B5787"/>
    <w:rsid w:val="003C1BEA"/>
    <w:rsid w:val="003C78EB"/>
    <w:rsid w:val="003D013F"/>
    <w:rsid w:val="003D53DB"/>
    <w:rsid w:val="003D6132"/>
    <w:rsid w:val="003D684C"/>
    <w:rsid w:val="003E18D0"/>
    <w:rsid w:val="003E2313"/>
    <w:rsid w:val="003E3216"/>
    <w:rsid w:val="003E5B94"/>
    <w:rsid w:val="003F0299"/>
    <w:rsid w:val="003F67E7"/>
    <w:rsid w:val="00401C64"/>
    <w:rsid w:val="00403192"/>
    <w:rsid w:val="0040329F"/>
    <w:rsid w:val="004052CA"/>
    <w:rsid w:val="00405A44"/>
    <w:rsid w:val="00406218"/>
    <w:rsid w:val="0040624B"/>
    <w:rsid w:val="004107F6"/>
    <w:rsid w:val="0041446C"/>
    <w:rsid w:val="004155EF"/>
    <w:rsid w:val="00422737"/>
    <w:rsid w:val="00424C31"/>
    <w:rsid w:val="00426948"/>
    <w:rsid w:val="00430C7D"/>
    <w:rsid w:val="004315B1"/>
    <w:rsid w:val="00432C5C"/>
    <w:rsid w:val="00432EB7"/>
    <w:rsid w:val="00434E7F"/>
    <w:rsid w:val="00435F9B"/>
    <w:rsid w:val="00445919"/>
    <w:rsid w:val="004532FC"/>
    <w:rsid w:val="00453D68"/>
    <w:rsid w:val="00463040"/>
    <w:rsid w:val="0046388A"/>
    <w:rsid w:val="00464134"/>
    <w:rsid w:val="00466125"/>
    <w:rsid w:val="004709F5"/>
    <w:rsid w:val="00473C3C"/>
    <w:rsid w:val="0047608E"/>
    <w:rsid w:val="004825F8"/>
    <w:rsid w:val="004834D9"/>
    <w:rsid w:val="0048573E"/>
    <w:rsid w:val="004910D1"/>
    <w:rsid w:val="00492885"/>
    <w:rsid w:val="00494294"/>
    <w:rsid w:val="004959B3"/>
    <w:rsid w:val="00497040"/>
    <w:rsid w:val="00497646"/>
    <w:rsid w:val="004A3D02"/>
    <w:rsid w:val="004A4C93"/>
    <w:rsid w:val="004B063D"/>
    <w:rsid w:val="004B0EFC"/>
    <w:rsid w:val="004B14E4"/>
    <w:rsid w:val="004B67C3"/>
    <w:rsid w:val="004C121C"/>
    <w:rsid w:val="004C1A82"/>
    <w:rsid w:val="004C3A61"/>
    <w:rsid w:val="004C74D1"/>
    <w:rsid w:val="004D1B73"/>
    <w:rsid w:val="004E10EB"/>
    <w:rsid w:val="004E15F5"/>
    <w:rsid w:val="004E399D"/>
    <w:rsid w:val="004E45B0"/>
    <w:rsid w:val="004E650D"/>
    <w:rsid w:val="004E6C28"/>
    <w:rsid w:val="004F240D"/>
    <w:rsid w:val="004F469E"/>
    <w:rsid w:val="005000F5"/>
    <w:rsid w:val="005107AE"/>
    <w:rsid w:val="0051169E"/>
    <w:rsid w:val="00511F84"/>
    <w:rsid w:val="00514CE8"/>
    <w:rsid w:val="005155F5"/>
    <w:rsid w:val="00520CF6"/>
    <w:rsid w:val="00521662"/>
    <w:rsid w:val="005233EC"/>
    <w:rsid w:val="005245D0"/>
    <w:rsid w:val="00530CC1"/>
    <w:rsid w:val="00532A0A"/>
    <w:rsid w:val="00532AC8"/>
    <w:rsid w:val="00533998"/>
    <w:rsid w:val="0053496F"/>
    <w:rsid w:val="005367CC"/>
    <w:rsid w:val="0056455B"/>
    <w:rsid w:val="00565610"/>
    <w:rsid w:val="0057098B"/>
    <w:rsid w:val="00570C19"/>
    <w:rsid w:val="00574A7A"/>
    <w:rsid w:val="00580BE2"/>
    <w:rsid w:val="00581B9D"/>
    <w:rsid w:val="005821A5"/>
    <w:rsid w:val="00586B15"/>
    <w:rsid w:val="00592377"/>
    <w:rsid w:val="005953F8"/>
    <w:rsid w:val="00596091"/>
    <w:rsid w:val="0059614E"/>
    <w:rsid w:val="005A387A"/>
    <w:rsid w:val="005B466F"/>
    <w:rsid w:val="005B49C6"/>
    <w:rsid w:val="005B64D4"/>
    <w:rsid w:val="005C1CF6"/>
    <w:rsid w:val="005C3310"/>
    <w:rsid w:val="005C36C8"/>
    <w:rsid w:val="005C3C7A"/>
    <w:rsid w:val="005C653C"/>
    <w:rsid w:val="005D13F3"/>
    <w:rsid w:val="005D6530"/>
    <w:rsid w:val="005E1D94"/>
    <w:rsid w:val="005E1EF6"/>
    <w:rsid w:val="005E2136"/>
    <w:rsid w:val="005E77DC"/>
    <w:rsid w:val="005F018B"/>
    <w:rsid w:val="005F1A72"/>
    <w:rsid w:val="005F36D9"/>
    <w:rsid w:val="00601DAA"/>
    <w:rsid w:val="006053BA"/>
    <w:rsid w:val="00611847"/>
    <w:rsid w:val="0061323A"/>
    <w:rsid w:val="006202AF"/>
    <w:rsid w:val="006217F0"/>
    <w:rsid w:val="00623520"/>
    <w:rsid w:val="00623AF6"/>
    <w:rsid w:val="00631078"/>
    <w:rsid w:val="006312BF"/>
    <w:rsid w:val="00633612"/>
    <w:rsid w:val="0063517C"/>
    <w:rsid w:val="00635509"/>
    <w:rsid w:val="006377A6"/>
    <w:rsid w:val="00640640"/>
    <w:rsid w:val="00640E92"/>
    <w:rsid w:val="006418D0"/>
    <w:rsid w:val="00641E6C"/>
    <w:rsid w:val="006426B0"/>
    <w:rsid w:val="00642BC7"/>
    <w:rsid w:val="00643D9C"/>
    <w:rsid w:val="00646110"/>
    <w:rsid w:val="006471BA"/>
    <w:rsid w:val="00654EE1"/>
    <w:rsid w:val="00657187"/>
    <w:rsid w:val="00657216"/>
    <w:rsid w:val="00660929"/>
    <w:rsid w:val="00662606"/>
    <w:rsid w:val="00664CEB"/>
    <w:rsid w:val="00665718"/>
    <w:rsid w:val="006667DF"/>
    <w:rsid w:val="0067025A"/>
    <w:rsid w:val="00672A43"/>
    <w:rsid w:val="00674B63"/>
    <w:rsid w:val="0067555B"/>
    <w:rsid w:val="00676994"/>
    <w:rsid w:val="006819E8"/>
    <w:rsid w:val="006841C8"/>
    <w:rsid w:val="00685AA0"/>
    <w:rsid w:val="00686391"/>
    <w:rsid w:val="00691F19"/>
    <w:rsid w:val="0069270A"/>
    <w:rsid w:val="006943E4"/>
    <w:rsid w:val="0069790D"/>
    <w:rsid w:val="00697BFF"/>
    <w:rsid w:val="006A0142"/>
    <w:rsid w:val="006A1DED"/>
    <w:rsid w:val="006A1E66"/>
    <w:rsid w:val="006A3649"/>
    <w:rsid w:val="006A57EF"/>
    <w:rsid w:val="006A73D0"/>
    <w:rsid w:val="006B4139"/>
    <w:rsid w:val="006B67F4"/>
    <w:rsid w:val="006B7907"/>
    <w:rsid w:val="006B7EC1"/>
    <w:rsid w:val="006C035D"/>
    <w:rsid w:val="006C2001"/>
    <w:rsid w:val="006C41E3"/>
    <w:rsid w:val="006C5E7E"/>
    <w:rsid w:val="006C74C4"/>
    <w:rsid w:val="006D22B5"/>
    <w:rsid w:val="006D30BF"/>
    <w:rsid w:val="006D4B7C"/>
    <w:rsid w:val="006E417D"/>
    <w:rsid w:val="006E68B4"/>
    <w:rsid w:val="006E6C15"/>
    <w:rsid w:val="006E7948"/>
    <w:rsid w:val="006F0E0E"/>
    <w:rsid w:val="006F1B00"/>
    <w:rsid w:val="006F3B60"/>
    <w:rsid w:val="006F5DE2"/>
    <w:rsid w:val="006F7545"/>
    <w:rsid w:val="006F7E3A"/>
    <w:rsid w:val="00706855"/>
    <w:rsid w:val="00706E06"/>
    <w:rsid w:val="007073A6"/>
    <w:rsid w:val="007113E6"/>
    <w:rsid w:val="00711C13"/>
    <w:rsid w:val="00712B03"/>
    <w:rsid w:val="007140F9"/>
    <w:rsid w:val="00714A4A"/>
    <w:rsid w:val="00715318"/>
    <w:rsid w:val="00715458"/>
    <w:rsid w:val="00721091"/>
    <w:rsid w:val="0072155B"/>
    <w:rsid w:val="00722CC5"/>
    <w:rsid w:val="0072369A"/>
    <w:rsid w:val="007256E3"/>
    <w:rsid w:val="00725936"/>
    <w:rsid w:val="007263E3"/>
    <w:rsid w:val="007266D4"/>
    <w:rsid w:val="00732271"/>
    <w:rsid w:val="007336E9"/>
    <w:rsid w:val="00733DE8"/>
    <w:rsid w:val="007343A4"/>
    <w:rsid w:val="0073508E"/>
    <w:rsid w:val="00735F10"/>
    <w:rsid w:val="00736256"/>
    <w:rsid w:val="007366A0"/>
    <w:rsid w:val="0074026B"/>
    <w:rsid w:val="007406D7"/>
    <w:rsid w:val="00740EED"/>
    <w:rsid w:val="00743758"/>
    <w:rsid w:val="0074485E"/>
    <w:rsid w:val="00745B1D"/>
    <w:rsid w:val="00746613"/>
    <w:rsid w:val="00747145"/>
    <w:rsid w:val="00753BBB"/>
    <w:rsid w:val="00753C07"/>
    <w:rsid w:val="00755367"/>
    <w:rsid w:val="00756EE5"/>
    <w:rsid w:val="007611BB"/>
    <w:rsid w:val="00762352"/>
    <w:rsid w:val="007651EA"/>
    <w:rsid w:val="00771F54"/>
    <w:rsid w:val="0077344B"/>
    <w:rsid w:val="007734D3"/>
    <w:rsid w:val="007741EB"/>
    <w:rsid w:val="00774F88"/>
    <w:rsid w:val="007763C6"/>
    <w:rsid w:val="00776830"/>
    <w:rsid w:val="007807F4"/>
    <w:rsid w:val="0078202B"/>
    <w:rsid w:val="00782A14"/>
    <w:rsid w:val="00782C08"/>
    <w:rsid w:val="00783E12"/>
    <w:rsid w:val="00786E61"/>
    <w:rsid w:val="007914F5"/>
    <w:rsid w:val="0079489C"/>
    <w:rsid w:val="007967A6"/>
    <w:rsid w:val="007A1170"/>
    <w:rsid w:val="007A4666"/>
    <w:rsid w:val="007B4D17"/>
    <w:rsid w:val="007B54EB"/>
    <w:rsid w:val="007B6CA5"/>
    <w:rsid w:val="007C10B3"/>
    <w:rsid w:val="007C22C3"/>
    <w:rsid w:val="007C3935"/>
    <w:rsid w:val="007C3AC2"/>
    <w:rsid w:val="007C3C37"/>
    <w:rsid w:val="007C4974"/>
    <w:rsid w:val="007C54F6"/>
    <w:rsid w:val="007D06B4"/>
    <w:rsid w:val="007D4733"/>
    <w:rsid w:val="007D4F4C"/>
    <w:rsid w:val="007D61E2"/>
    <w:rsid w:val="007D69D8"/>
    <w:rsid w:val="007E1A4E"/>
    <w:rsid w:val="007E1D43"/>
    <w:rsid w:val="007E5962"/>
    <w:rsid w:val="007E5A6E"/>
    <w:rsid w:val="007E73BB"/>
    <w:rsid w:val="007F0696"/>
    <w:rsid w:val="007F09E3"/>
    <w:rsid w:val="007F22DD"/>
    <w:rsid w:val="007F2EA8"/>
    <w:rsid w:val="007F4014"/>
    <w:rsid w:val="007F5A73"/>
    <w:rsid w:val="007F6824"/>
    <w:rsid w:val="007F7C36"/>
    <w:rsid w:val="00802CD8"/>
    <w:rsid w:val="008035AE"/>
    <w:rsid w:val="0080526B"/>
    <w:rsid w:val="0080550C"/>
    <w:rsid w:val="0080684E"/>
    <w:rsid w:val="008071B2"/>
    <w:rsid w:val="00810CAA"/>
    <w:rsid w:val="00816D86"/>
    <w:rsid w:val="00817759"/>
    <w:rsid w:val="008247BD"/>
    <w:rsid w:val="008249E0"/>
    <w:rsid w:val="00825929"/>
    <w:rsid w:val="00826B4D"/>
    <w:rsid w:val="0083007E"/>
    <w:rsid w:val="00835EB1"/>
    <w:rsid w:val="00836E1A"/>
    <w:rsid w:val="00837738"/>
    <w:rsid w:val="00837B32"/>
    <w:rsid w:val="00841314"/>
    <w:rsid w:val="00841CAA"/>
    <w:rsid w:val="008441A4"/>
    <w:rsid w:val="00846799"/>
    <w:rsid w:val="0085277D"/>
    <w:rsid w:val="00852EDC"/>
    <w:rsid w:val="0085784D"/>
    <w:rsid w:val="00857929"/>
    <w:rsid w:val="00857FA9"/>
    <w:rsid w:val="00863FE3"/>
    <w:rsid w:val="00865497"/>
    <w:rsid w:val="00867574"/>
    <w:rsid w:val="00872544"/>
    <w:rsid w:val="0087347E"/>
    <w:rsid w:val="00873A74"/>
    <w:rsid w:val="008741F1"/>
    <w:rsid w:val="00876709"/>
    <w:rsid w:val="00881B63"/>
    <w:rsid w:val="00884294"/>
    <w:rsid w:val="008846EC"/>
    <w:rsid w:val="00887B5E"/>
    <w:rsid w:val="008953A4"/>
    <w:rsid w:val="008978AD"/>
    <w:rsid w:val="008A3208"/>
    <w:rsid w:val="008A35B2"/>
    <w:rsid w:val="008A65B6"/>
    <w:rsid w:val="008A6C2D"/>
    <w:rsid w:val="008A782E"/>
    <w:rsid w:val="008B18D8"/>
    <w:rsid w:val="008B19DB"/>
    <w:rsid w:val="008B33E8"/>
    <w:rsid w:val="008B383D"/>
    <w:rsid w:val="008C2D69"/>
    <w:rsid w:val="008C53A7"/>
    <w:rsid w:val="008C6091"/>
    <w:rsid w:val="008C6743"/>
    <w:rsid w:val="008C6C9A"/>
    <w:rsid w:val="008D1218"/>
    <w:rsid w:val="008D3783"/>
    <w:rsid w:val="008D3FD6"/>
    <w:rsid w:val="008D5851"/>
    <w:rsid w:val="008D6FA2"/>
    <w:rsid w:val="008E274A"/>
    <w:rsid w:val="008E556D"/>
    <w:rsid w:val="008E6220"/>
    <w:rsid w:val="008E74B6"/>
    <w:rsid w:val="008F5F8F"/>
    <w:rsid w:val="008F68AE"/>
    <w:rsid w:val="008F7950"/>
    <w:rsid w:val="009007FC"/>
    <w:rsid w:val="0090117C"/>
    <w:rsid w:val="00903E5C"/>
    <w:rsid w:val="009056F9"/>
    <w:rsid w:val="0090585F"/>
    <w:rsid w:val="00905B41"/>
    <w:rsid w:val="00907F3F"/>
    <w:rsid w:val="00910132"/>
    <w:rsid w:val="009117F5"/>
    <w:rsid w:val="00912FF9"/>
    <w:rsid w:val="00914F24"/>
    <w:rsid w:val="00915F32"/>
    <w:rsid w:val="00917646"/>
    <w:rsid w:val="0092048E"/>
    <w:rsid w:val="00921DBB"/>
    <w:rsid w:val="009231DC"/>
    <w:rsid w:val="00926019"/>
    <w:rsid w:val="009319A8"/>
    <w:rsid w:val="00933537"/>
    <w:rsid w:val="00942E80"/>
    <w:rsid w:val="009449FD"/>
    <w:rsid w:val="00945C2F"/>
    <w:rsid w:val="0095167A"/>
    <w:rsid w:val="00954080"/>
    <w:rsid w:val="00957039"/>
    <w:rsid w:val="009623ED"/>
    <w:rsid w:val="009707ED"/>
    <w:rsid w:val="0097102D"/>
    <w:rsid w:val="009711AD"/>
    <w:rsid w:val="00972047"/>
    <w:rsid w:val="00974C62"/>
    <w:rsid w:val="00976F55"/>
    <w:rsid w:val="00983D14"/>
    <w:rsid w:val="00985ABF"/>
    <w:rsid w:val="0098653E"/>
    <w:rsid w:val="00987B19"/>
    <w:rsid w:val="00992E46"/>
    <w:rsid w:val="00994872"/>
    <w:rsid w:val="009A4010"/>
    <w:rsid w:val="009A6997"/>
    <w:rsid w:val="009B32EB"/>
    <w:rsid w:val="009B3969"/>
    <w:rsid w:val="009B4071"/>
    <w:rsid w:val="009B512F"/>
    <w:rsid w:val="009B545F"/>
    <w:rsid w:val="009B72EC"/>
    <w:rsid w:val="009B7E0E"/>
    <w:rsid w:val="009C26E2"/>
    <w:rsid w:val="009C3BFA"/>
    <w:rsid w:val="009C3EC0"/>
    <w:rsid w:val="009C7A22"/>
    <w:rsid w:val="009D3454"/>
    <w:rsid w:val="009D60FF"/>
    <w:rsid w:val="009D7350"/>
    <w:rsid w:val="009E014C"/>
    <w:rsid w:val="009E02EE"/>
    <w:rsid w:val="009E1968"/>
    <w:rsid w:val="009E315E"/>
    <w:rsid w:val="009E3841"/>
    <w:rsid w:val="009E75D7"/>
    <w:rsid w:val="009F0238"/>
    <w:rsid w:val="009F0C3D"/>
    <w:rsid w:val="009F1058"/>
    <w:rsid w:val="009F23C3"/>
    <w:rsid w:val="009F36CD"/>
    <w:rsid w:val="00A01C0C"/>
    <w:rsid w:val="00A02CED"/>
    <w:rsid w:val="00A02D10"/>
    <w:rsid w:val="00A04F99"/>
    <w:rsid w:val="00A118E3"/>
    <w:rsid w:val="00A13804"/>
    <w:rsid w:val="00A16CFE"/>
    <w:rsid w:val="00A17003"/>
    <w:rsid w:val="00A17DA5"/>
    <w:rsid w:val="00A22767"/>
    <w:rsid w:val="00A22A7E"/>
    <w:rsid w:val="00A2530C"/>
    <w:rsid w:val="00A25845"/>
    <w:rsid w:val="00A261C9"/>
    <w:rsid w:val="00A32F49"/>
    <w:rsid w:val="00A33F08"/>
    <w:rsid w:val="00A369BB"/>
    <w:rsid w:val="00A36A87"/>
    <w:rsid w:val="00A36FB5"/>
    <w:rsid w:val="00A374ED"/>
    <w:rsid w:val="00A45AED"/>
    <w:rsid w:val="00A4688F"/>
    <w:rsid w:val="00A4741A"/>
    <w:rsid w:val="00A47E72"/>
    <w:rsid w:val="00A5045F"/>
    <w:rsid w:val="00A51598"/>
    <w:rsid w:val="00A525AB"/>
    <w:rsid w:val="00A5660B"/>
    <w:rsid w:val="00A60B73"/>
    <w:rsid w:val="00A60C27"/>
    <w:rsid w:val="00A61956"/>
    <w:rsid w:val="00A64275"/>
    <w:rsid w:val="00A642D3"/>
    <w:rsid w:val="00A81EC1"/>
    <w:rsid w:val="00A92568"/>
    <w:rsid w:val="00A94EC7"/>
    <w:rsid w:val="00AA2CD7"/>
    <w:rsid w:val="00AA4B6E"/>
    <w:rsid w:val="00AA5457"/>
    <w:rsid w:val="00AA559A"/>
    <w:rsid w:val="00AB045D"/>
    <w:rsid w:val="00AB0E31"/>
    <w:rsid w:val="00AB16A1"/>
    <w:rsid w:val="00AC06CC"/>
    <w:rsid w:val="00AC1BC5"/>
    <w:rsid w:val="00AC612A"/>
    <w:rsid w:val="00AC61EC"/>
    <w:rsid w:val="00AC6840"/>
    <w:rsid w:val="00AC6C4D"/>
    <w:rsid w:val="00AD2504"/>
    <w:rsid w:val="00AD639C"/>
    <w:rsid w:val="00AE0439"/>
    <w:rsid w:val="00AE133F"/>
    <w:rsid w:val="00AE1C0F"/>
    <w:rsid w:val="00AE6A9A"/>
    <w:rsid w:val="00AE7CD2"/>
    <w:rsid w:val="00AF79C8"/>
    <w:rsid w:val="00B00060"/>
    <w:rsid w:val="00B035B1"/>
    <w:rsid w:val="00B1015B"/>
    <w:rsid w:val="00B125F0"/>
    <w:rsid w:val="00B155C6"/>
    <w:rsid w:val="00B17019"/>
    <w:rsid w:val="00B17EF5"/>
    <w:rsid w:val="00B23FE3"/>
    <w:rsid w:val="00B2756D"/>
    <w:rsid w:val="00B27CD4"/>
    <w:rsid w:val="00B30F09"/>
    <w:rsid w:val="00B320CF"/>
    <w:rsid w:val="00B333EC"/>
    <w:rsid w:val="00B3373E"/>
    <w:rsid w:val="00B33AC4"/>
    <w:rsid w:val="00B3572A"/>
    <w:rsid w:val="00B43856"/>
    <w:rsid w:val="00B44CAF"/>
    <w:rsid w:val="00B460FE"/>
    <w:rsid w:val="00B4704E"/>
    <w:rsid w:val="00B50131"/>
    <w:rsid w:val="00B52B7D"/>
    <w:rsid w:val="00B5581E"/>
    <w:rsid w:val="00B57F95"/>
    <w:rsid w:val="00B635F3"/>
    <w:rsid w:val="00B6380C"/>
    <w:rsid w:val="00B74240"/>
    <w:rsid w:val="00B75F82"/>
    <w:rsid w:val="00B81B47"/>
    <w:rsid w:val="00B85CFE"/>
    <w:rsid w:val="00B85F80"/>
    <w:rsid w:val="00B90989"/>
    <w:rsid w:val="00B91B2B"/>
    <w:rsid w:val="00B95C6D"/>
    <w:rsid w:val="00BA003B"/>
    <w:rsid w:val="00BA0A06"/>
    <w:rsid w:val="00BA14C4"/>
    <w:rsid w:val="00BA35DD"/>
    <w:rsid w:val="00BA3DCD"/>
    <w:rsid w:val="00BA3EC1"/>
    <w:rsid w:val="00BA4A6D"/>
    <w:rsid w:val="00BA5792"/>
    <w:rsid w:val="00BA59C5"/>
    <w:rsid w:val="00BB0842"/>
    <w:rsid w:val="00BB3E1A"/>
    <w:rsid w:val="00BB4E9C"/>
    <w:rsid w:val="00BC10E5"/>
    <w:rsid w:val="00BC2CA6"/>
    <w:rsid w:val="00BC2DBF"/>
    <w:rsid w:val="00BC70AE"/>
    <w:rsid w:val="00BD0F77"/>
    <w:rsid w:val="00BD2D21"/>
    <w:rsid w:val="00BD2EC2"/>
    <w:rsid w:val="00BD4565"/>
    <w:rsid w:val="00BE2373"/>
    <w:rsid w:val="00BE3F9B"/>
    <w:rsid w:val="00BE67B2"/>
    <w:rsid w:val="00BF0747"/>
    <w:rsid w:val="00BF26C8"/>
    <w:rsid w:val="00BF38CA"/>
    <w:rsid w:val="00BF4287"/>
    <w:rsid w:val="00BF5ACC"/>
    <w:rsid w:val="00C106FB"/>
    <w:rsid w:val="00C11065"/>
    <w:rsid w:val="00C1373C"/>
    <w:rsid w:val="00C16E35"/>
    <w:rsid w:val="00C17DD4"/>
    <w:rsid w:val="00C22CE8"/>
    <w:rsid w:val="00C22E84"/>
    <w:rsid w:val="00C34776"/>
    <w:rsid w:val="00C35620"/>
    <w:rsid w:val="00C37C39"/>
    <w:rsid w:val="00C411ED"/>
    <w:rsid w:val="00C411F9"/>
    <w:rsid w:val="00C41CBC"/>
    <w:rsid w:val="00C4289A"/>
    <w:rsid w:val="00C444DA"/>
    <w:rsid w:val="00C44C1F"/>
    <w:rsid w:val="00C466A6"/>
    <w:rsid w:val="00C57314"/>
    <w:rsid w:val="00C60C85"/>
    <w:rsid w:val="00C61634"/>
    <w:rsid w:val="00C63571"/>
    <w:rsid w:val="00C660DF"/>
    <w:rsid w:val="00C662BA"/>
    <w:rsid w:val="00C66E3E"/>
    <w:rsid w:val="00C75B93"/>
    <w:rsid w:val="00C76E51"/>
    <w:rsid w:val="00C775E7"/>
    <w:rsid w:val="00C81FC3"/>
    <w:rsid w:val="00C82D42"/>
    <w:rsid w:val="00C8313B"/>
    <w:rsid w:val="00C84F67"/>
    <w:rsid w:val="00C852A2"/>
    <w:rsid w:val="00C90A72"/>
    <w:rsid w:val="00C912CE"/>
    <w:rsid w:val="00C93D0A"/>
    <w:rsid w:val="00C96490"/>
    <w:rsid w:val="00C97E1A"/>
    <w:rsid w:val="00CA015F"/>
    <w:rsid w:val="00CA448B"/>
    <w:rsid w:val="00CA65B9"/>
    <w:rsid w:val="00CA7B95"/>
    <w:rsid w:val="00CB0FB1"/>
    <w:rsid w:val="00CC01A9"/>
    <w:rsid w:val="00CC5CD9"/>
    <w:rsid w:val="00CC6AE3"/>
    <w:rsid w:val="00CC7C25"/>
    <w:rsid w:val="00CD2BAD"/>
    <w:rsid w:val="00CE396E"/>
    <w:rsid w:val="00CE4750"/>
    <w:rsid w:val="00CE749C"/>
    <w:rsid w:val="00CF02ED"/>
    <w:rsid w:val="00CF250F"/>
    <w:rsid w:val="00CF28D0"/>
    <w:rsid w:val="00CF4901"/>
    <w:rsid w:val="00D0020A"/>
    <w:rsid w:val="00D00FC0"/>
    <w:rsid w:val="00D01BCB"/>
    <w:rsid w:val="00D02754"/>
    <w:rsid w:val="00D03EB8"/>
    <w:rsid w:val="00D15292"/>
    <w:rsid w:val="00D15DB8"/>
    <w:rsid w:val="00D17884"/>
    <w:rsid w:val="00D2012C"/>
    <w:rsid w:val="00D21512"/>
    <w:rsid w:val="00D224A5"/>
    <w:rsid w:val="00D249A6"/>
    <w:rsid w:val="00D24A9A"/>
    <w:rsid w:val="00D25548"/>
    <w:rsid w:val="00D33BD3"/>
    <w:rsid w:val="00D35FD6"/>
    <w:rsid w:val="00D46646"/>
    <w:rsid w:val="00D46B95"/>
    <w:rsid w:val="00D47E98"/>
    <w:rsid w:val="00D51055"/>
    <w:rsid w:val="00D52A15"/>
    <w:rsid w:val="00D541C2"/>
    <w:rsid w:val="00D562F6"/>
    <w:rsid w:val="00D579AC"/>
    <w:rsid w:val="00D602B9"/>
    <w:rsid w:val="00D617C7"/>
    <w:rsid w:val="00D62B11"/>
    <w:rsid w:val="00D62E01"/>
    <w:rsid w:val="00D65AFF"/>
    <w:rsid w:val="00D70B5A"/>
    <w:rsid w:val="00D73437"/>
    <w:rsid w:val="00D73509"/>
    <w:rsid w:val="00D74AE6"/>
    <w:rsid w:val="00D755FB"/>
    <w:rsid w:val="00D912F5"/>
    <w:rsid w:val="00D9374B"/>
    <w:rsid w:val="00D94469"/>
    <w:rsid w:val="00D95996"/>
    <w:rsid w:val="00D95C9D"/>
    <w:rsid w:val="00D96513"/>
    <w:rsid w:val="00D974B1"/>
    <w:rsid w:val="00D9764D"/>
    <w:rsid w:val="00DA0865"/>
    <w:rsid w:val="00DA56C8"/>
    <w:rsid w:val="00DB418B"/>
    <w:rsid w:val="00DB4259"/>
    <w:rsid w:val="00DB542C"/>
    <w:rsid w:val="00DB6D92"/>
    <w:rsid w:val="00DB7EDC"/>
    <w:rsid w:val="00DC5B2F"/>
    <w:rsid w:val="00DD092F"/>
    <w:rsid w:val="00DD27A4"/>
    <w:rsid w:val="00DD2FDF"/>
    <w:rsid w:val="00DD3B2A"/>
    <w:rsid w:val="00DD7BCA"/>
    <w:rsid w:val="00DE1E33"/>
    <w:rsid w:val="00DE370B"/>
    <w:rsid w:val="00DE3761"/>
    <w:rsid w:val="00DE49ED"/>
    <w:rsid w:val="00DE60F2"/>
    <w:rsid w:val="00DE7FBF"/>
    <w:rsid w:val="00DF29E8"/>
    <w:rsid w:val="00DF3F9C"/>
    <w:rsid w:val="00DF639C"/>
    <w:rsid w:val="00E00561"/>
    <w:rsid w:val="00E0128F"/>
    <w:rsid w:val="00E02541"/>
    <w:rsid w:val="00E0297E"/>
    <w:rsid w:val="00E02AB7"/>
    <w:rsid w:val="00E03258"/>
    <w:rsid w:val="00E048F2"/>
    <w:rsid w:val="00E05400"/>
    <w:rsid w:val="00E11499"/>
    <w:rsid w:val="00E12896"/>
    <w:rsid w:val="00E14D06"/>
    <w:rsid w:val="00E175A3"/>
    <w:rsid w:val="00E218EB"/>
    <w:rsid w:val="00E264AF"/>
    <w:rsid w:val="00E3003D"/>
    <w:rsid w:val="00E31D1D"/>
    <w:rsid w:val="00E35141"/>
    <w:rsid w:val="00E4145B"/>
    <w:rsid w:val="00E43FFA"/>
    <w:rsid w:val="00E4417B"/>
    <w:rsid w:val="00E45E3D"/>
    <w:rsid w:val="00E51CEE"/>
    <w:rsid w:val="00E53619"/>
    <w:rsid w:val="00E601BF"/>
    <w:rsid w:val="00E60F9D"/>
    <w:rsid w:val="00E614D9"/>
    <w:rsid w:val="00E624E0"/>
    <w:rsid w:val="00E62BCD"/>
    <w:rsid w:val="00E63076"/>
    <w:rsid w:val="00E635B7"/>
    <w:rsid w:val="00E704B0"/>
    <w:rsid w:val="00E7184A"/>
    <w:rsid w:val="00E74C82"/>
    <w:rsid w:val="00E764AE"/>
    <w:rsid w:val="00E81C57"/>
    <w:rsid w:val="00E8201D"/>
    <w:rsid w:val="00E822E8"/>
    <w:rsid w:val="00E87C1E"/>
    <w:rsid w:val="00E87E0E"/>
    <w:rsid w:val="00E901C2"/>
    <w:rsid w:val="00E924FF"/>
    <w:rsid w:val="00E95907"/>
    <w:rsid w:val="00EA1711"/>
    <w:rsid w:val="00EA17EB"/>
    <w:rsid w:val="00EA2393"/>
    <w:rsid w:val="00EA2C15"/>
    <w:rsid w:val="00EA6879"/>
    <w:rsid w:val="00EB0947"/>
    <w:rsid w:val="00EB3945"/>
    <w:rsid w:val="00EB61C1"/>
    <w:rsid w:val="00EB7BBD"/>
    <w:rsid w:val="00EC1512"/>
    <w:rsid w:val="00EC1652"/>
    <w:rsid w:val="00EC2CAE"/>
    <w:rsid w:val="00EC468B"/>
    <w:rsid w:val="00EC62EB"/>
    <w:rsid w:val="00EC7CA7"/>
    <w:rsid w:val="00ED2156"/>
    <w:rsid w:val="00ED705F"/>
    <w:rsid w:val="00EE296C"/>
    <w:rsid w:val="00EE2BD7"/>
    <w:rsid w:val="00EE3FA2"/>
    <w:rsid w:val="00EE79EB"/>
    <w:rsid w:val="00EF02AD"/>
    <w:rsid w:val="00F018E2"/>
    <w:rsid w:val="00F0653E"/>
    <w:rsid w:val="00F07538"/>
    <w:rsid w:val="00F1047F"/>
    <w:rsid w:val="00F159CE"/>
    <w:rsid w:val="00F202E1"/>
    <w:rsid w:val="00F21E94"/>
    <w:rsid w:val="00F24DEE"/>
    <w:rsid w:val="00F2531D"/>
    <w:rsid w:val="00F27143"/>
    <w:rsid w:val="00F34B8E"/>
    <w:rsid w:val="00F43C49"/>
    <w:rsid w:val="00F44D0F"/>
    <w:rsid w:val="00F45748"/>
    <w:rsid w:val="00F468BC"/>
    <w:rsid w:val="00F7653B"/>
    <w:rsid w:val="00F8180C"/>
    <w:rsid w:val="00F81DCA"/>
    <w:rsid w:val="00F8482D"/>
    <w:rsid w:val="00F8544E"/>
    <w:rsid w:val="00F85896"/>
    <w:rsid w:val="00F870EB"/>
    <w:rsid w:val="00F872FB"/>
    <w:rsid w:val="00F910FC"/>
    <w:rsid w:val="00F92258"/>
    <w:rsid w:val="00F94536"/>
    <w:rsid w:val="00F9598B"/>
    <w:rsid w:val="00F974B5"/>
    <w:rsid w:val="00FA001C"/>
    <w:rsid w:val="00FA1A2E"/>
    <w:rsid w:val="00FA3407"/>
    <w:rsid w:val="00FB0A08"/>
    <w:rsid w:val="00FB35D9"/>
    <w:rsid w:val="00FB5E5C"/>
    <w:rsid w:val="00FC1ADA"/>
    <w:rsid w:val="00FC1E74"/>
    <w:rsid w:val="00FC2562"/>
    <w:rsid w:val="00FD1A45"/>
    <w:rsid w:val="00FD30EF"/>
    <w:rsid w:val="00FD52E2"/>
    <w:rsid w:val="00FD57C0"/>
    <w:rsid w:val="00FD6F2D"/>
    <w:rsid w:val="00FE1CF0"/>
    <w:rsid w:val="00FE1E30"/>
    <w:rsid w:val="00FE6B0D"/>
    <w:rsid w:val="00FF1EBF"/>
    <w:rsid w:val="00FF3884"/>
    <w:rsid w:val="00FF38FA"/>
    <w:rsid w:val="00FF4E13"/>
    <w:rsid w:val="00FF6017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241AD1"/>
  <w15:chartTrackingRefBased/>
  <w15:docId w15:val="{AAE29D81-DB7B-46FC-8F60-41CEBBF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017"/>
    <w:pPr>
      <w:widowControl w:val="0"/>
      <w:tabs>
        <w:tab w:val="left" w:pos="800"/>
        <w:tab w:val="right" w:pos="9120"/>
      </w:tabs>
      <w:spacing w:line="360" w:lineRule="auto"/>
    </w:pPr>
    <w:rPr>
      <w:rFonts w:cs="Times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66CC"/>
    <w:pPr>
      <w:widowControl/>
      <w:tabs>
        <w:tab w:val="clear" w:pos="800"/>
        <w:tab w:val="clear" w:pos="9120"/>
      </w:tabs>
      <w:spacing w:line="240" w:lineRule="auto"/>
    </w:pPr>
    <w:rPr>
      <w:rFonts w:ascii="Lucida Grande" w:hAnsi="Lucida Grande" w:cs="Times New Roman"/>
      <w:sz w:val="18"/>
      <w:szCs w:val="18"/>
      <w:lang w:eastAsia="en-US"/>
    </w:rPr>
  </w:style>
  <w:style w:type="character" w:styleId="FootnoteReference">
    <w:name w:val="footnote reference"/>
    <w:basedOn w:val="DefaultParagraphFont"/>
    <w:semiHidden/>
    <w:rsid w:val="00E02AB7"/>
    <w:rPr>
      <w:position w:val="8"/>
      <w:sz w:val="24"/>
    </w:rPr>
  </w:style>
  <w:style w:type="paragraph" w:styleId="FootnoteText">
    <w:name w:val="footnote text"/>
    <w:basedOn w:val="Normal"/>
    <w:link w:val="FootnoteTextChar"/>
    <w:rsid w:val="00E02AB7"/>
    <w:pPr>
      <w:spacing w:line="280" w:lineRule="atLeast"/>
    </w:pPr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rsid w:val="00E02AB7"/>
    <w:rPr>
      <w:rFonts w:ascii="Ahorus" w:hAnsi="Ahorus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55EF"/>
    <w:pPr>
      <w:suppressAutoHyphens/>
    </w:pPr>
    <w:rPr>
      <w:rFonts w:cs="Tahoma"/>
      <w:noProof w:val="0"/>
      <w:sz w:val="20"/>
      <w:szCs w:val="16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55EF"/>
    <w:rPr>
      <w:rFonts w:ascii="Ahorus" w:hAnsi="Ahorus" w:cs="Tahoma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614D9"/>
    <w:pPr>
      <w:ind w:left="720"/>
      <w:contextualSpacing/>
    </w:pPr>
  </w:style>
  <w:style w:type="character" w:customStyle="1" w:styleId="Bodytext16">
    <w:name w:val="Body text (16)_"/>
    <w:basedOn w:val="DefaultParagraphFont"/>
    <w:link w:val="Bodytext160"/>
    <w:rsid w:val="007F7C36"/>
    <w:rPr>
      <w:sz w:val="17"/>
      <w:szCs w:val="17"/>
    </w:rPr>
  </w:style>
  <w:style w:type="paragraph" w:customStyle="1" w:styleId="Bodytext160">
    <w:name w:val="Body text (16)"/>
    <w:basedOn w:val="Normal"/>
    <w:link w:val="Bodytext16"/>
    <w:rsid w:val="007F7C36"/>
    <w:pPr>
      <w:tabs>
        <w:tab w:val="clear" w:pos="800"/>
        <w:tab w:val="clear" w:pos="9120"/>
      </w:tabs>
      <w:spacing w:line="240" w:lineRule="auto"/>
      <w:ind w:firstLine="180"/>
    </w:pPr>
    <w:rPr>
      <w:rFonts w:cs="Times New Roman"/>
      <w:noProof w:val="0"/>
      <w:sz w:val="17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642B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2BC7"/>
    <w:rPr>
      <w:rFonts w:cs="Times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6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C2D"/>
    <w:pPr>
      <w:widowControl/>
      <w:tabs>
        <w:tab w:val="clear" w:pos="800"/>
        <w:tab w:val="clear" w:pos="9120"/>
      </w:tabs>
      <w:spacing w:line="240" w:lineRule="auto"/>
    </w:pPr>
    <w:rPr>
      <w:rFonts w:asciiTheme="minorHAnsi" w:eastAsiaTheme="minorEastAsia" w:hAnsiTheme="minorHAnsi" w:cstheme="minorBidi"/>
      <w:noProof w:val="0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C2D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Gitner</dc:creator>
  <cp:keywords/>
  <dc:description/>
  <cp:lastModifiedBy>Adam Gitner</cp:lastModifiedBy>
  <cp:revision>98</cp:revision>
  <dcterms:created xsi:type="dcterms:W3CDTF">2024-01-18T19:47:00Z</dcterms:created>
  <dcterms:modified xsi:type="dcterms:W3CDTF">2024-01-21T07:05:00Z</dcterms:modified>
</cp:coreProperties>
</file>