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b/>
          <w:color w:val="000000"/>
          <w:sz w:val="48"/>
        </w:rPr>
        <w:t>企业云产品智能支持与工单协同 Agent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4B5563"/>
          <w:sz w:val="21"/>
        </w:rPr>
        <w:t>两页解决方案  |  需求、架构、流程与验收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本方案面向企业云 AI 产品咨询和 API 故障报修。系统先补齐故障信息，再检索文档和调用确定性工具；证据不足或风险较高时创建人工工单。</w:t>
      </w:r>
    </w:p>
    <w:p>
      <w:pPr>
        <w:pStyle w:val="Heading1"/>
        <w:spacing w:before="120" w:after="100"/>
      </w:pPr>
      <w:r>
        <w:rPr>
          <w:rFonts w:ascii="Microsoft YaHei" w:hAnsi="Microsoft YaHei" w:eastAsia="Microsoft YaHei"/>
          <w:b/>
          <w:color w:val="000000"/>
          <w:sz w:val="32"/>
        </w:rPr>
        <w:t>业务问题与方案目标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512"/>
            <w:shd w:fill="16324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888"/>
            <w:shd w:fill="16324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传统处理痛点</w:t>
            </w:r>
          </w:p>
        </w:tc>
        <w:tc>
          <w:tcPr>
            <w:tcW w:type="dxa" w:w="4680"/>
            <w:shd w:fill="16324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系统处理方式</w:t>
            </w:r>
          </w:p>
        </w:tc>
      </w:tr>
      <w:tr>
        <w:tc>
          <w:tcPr>
            <w:tcW w:type="dxa" w:w="1512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问题受理</w:t>
            </w:r>
          </w:p>
        </w:tc>
        <w:tc>
          <w:tcPr>
            <w:tcW w:type="dxa" w:w="3888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描述不完整，反复沟通</w:t>
            </w:r>
          </w:p>
        </w:tc>
        <w:tc>
          <w:tcPr>
            <w:tcW w:type="dxa" w:w="4680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识别意图并主动收集错误码、时间和影响范围</w:t>
            </w:r>
          </w:p>
        </w:tc>
      </w:tr>
      <w:tr>
        <w:tc>
          <w:tcPr>
            <w:tcW w:type="dxa" w:w="1512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知识查询</w:t>
            </w:r>
          </w:p>
        </w:tc>
        <w:tc>
          <w:tcPr>
            <w:tcW w:type="dxa" w:w="3888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人工翻文档，答案缺少依据</w:t>
            </w:r>
          </w:p>
        </w:tc>
        <w:tc>
          <w:tcPr>
            <w:tcW w:type="dxa" w:w="4680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检索知识库并展示引用片段</w:t>
            </w:r>
          </w:p>
        </w:tc>
      </w:tr>
      <w:tr>
        <w:tc>
          <w:tcPr>
            <w:tcW w:type="dxa" w:w="1512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故障诊断</w:t>
            </w:r>
          </w:p>
        </w:tc>
        <w:tc>
          <w:tcPr>
            <w:tcW w:type="dxa" w:w="3888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模型可能猜测账户或服务状态</w:t>
            </w:r>
          </w:p>
        </w:tc>
        <w:tc>
          <w:tcPr>
            <w:tcW w:type="dxa" w:w="4680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Python 工具返回模拟额度、错误码和服务状态</w:t>
            </w:r>
          </w:p>
        </w:tc>
      </w:tr>
      <w:tr>
        <w:tc>
          <w:tcPr>
            <w:tcW w:type="dxa" w:w="1512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人工协同</w:t>
            </w:r>
          </w:p>
        </w:tc>
        <w:tc>
          <w:tcPr>
            <w:tcW w:type="dxa" w:w="3888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转交信息不完整，过程难追溯</w:t>
            </w:r>
          </w:p>
        </w:tc>
        <w:tc>
          <w:tcPr>
            <w:tcW w:type="dxa" w:w="4680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生成结构化工单并保留状态时间线</w:t>
            </w:r>
          </w:p>
        </w:tc>
      </w:tr>
    </w:tbl>
    <w:p>
      <w:pPr>
        <w:spacing w:after="20"/>
      </w:pPr>
    </w:p>
    <w:p>
      <w:pPr>
        <w:pStyle w:val="Heading1"/>
        <w:spacing w:before="120" w:after="100"/>
      </w:pPr>
      <w:r>
        <w:rPr>
          <w:rFonts w:ascii="Microsoft YaHei" w:hAnsi="Microsoft YaHei" w:eastAsia="Microsoft YaHei"/>
          <w:b/>
          <w:color w:val="000000"/>
          <w:sz w:val="32"/>
        </w:rPr>
        <w:t>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before="120" w:after="100"/>
      </w:pPr>
      <w:r>
        <w:rPr>
          <w:rFonts w:ascii="Microsoft YaHei" w:hAnsi="Microsoft YaHei" w:eastAsia="Microsoft YaHei"/>
          <w:b/>
          <w:color w:val="000000"/>
          <w:sz w:val="32"/>
        </w:rPr>
        <w:t>端到端处理流程</w:t>
      </w:r>
    </w:p>
    <w:p>
      <w:pPr>
        <w:ind w:left="216"/>
      </w:pPr>
      <w:r>
        <w:rPr>
          <w:rFonts w:ascii="Microsoft YaHei" w:hAnsi="Microsoft YaHei" w:eastAsia="Microsoft YaHei"/>
          <w:b/>
          <w:color w:val="0F6B78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1F2937"/>
          <w:sz w:val="21"/>
        </w:rPr>
        <w:t>输入脱敏：遮盖 API Key、SecretID、手机号和邮箱。</w:t>
      </w:r>
    </w:p>
    <w:p>
      <w:pPr>
        <w:ind w:left="216"/>
      </w:pPr>
      <w:r>
        <w:rPr>
          <w:rFonts w:ascii="Microsoft YaHei" w:hAnsi="Microsoft YaHei" w:eastAsia="Microsoft YaHei"/>
          <w:b/>
          <w:color w:val="0F6B78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1F2937"/>
          <w:sz w:val="21"/>
        </w:rPr>
        <w:t>分诊与追问：识别六类意图，信息不足时停止诊断并继续追问。</w:t>
      </w:r>
    </w:p>
    <w:p>
      <w:pPr>
        <w:ind w:left="216"/>
      </w:pPr>
      <w:r>
        <w:rPr>
          <w:rFonts w:ascii="Microsoft YaHei" w:hAnsi="Microsoft YaHei" w:eastAsia="Microsoft YaHei"/>
          <w:b/>
          <w:color w:val="0F6B78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1F2937"/>
          <w:sz w:val="21"/>
        </w:rPr>
        <w:t>检索与工具：知识库提供依据，Python 工具查询演示状态和额度。</w:t>
      </w:r>
    </w:p>
    <w:p>
      <w:pPr>
        <w:ind w:left="216"/>
      </w:pPr>
      <w:r>
        <w:rPr>
          <w:rFonts w:ascii="Microsoft YaHei" w:hAnsi="Microsoft YaHei" w:eastAsia="Microsoft YaHei"/>
          <w:b/>
          <w:color w:val="0F6B78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1F2937"/>
          <w:sz w:val="21"/>
        </w:rPr>
        <w:t>生成与升级：模型组织解决步骤；无依据、高风险或人工请求触发工单。</w:t>
      </w:r>
    </w:p>
    <w:p>
      <w:pPr>
        <w:ind w:left="216"/>
      </w:pPr>
      <w:r>
        <w:rPr>
          <w:rFonts w:ascii="Microsoft YaHei" w:hAnsi="Microsoft YaHei" w:eastAsia="Microsoft YaHei"/>
          <w:b/>
          <w:color w:val="0F6B78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1F2937"/>
          <w:sz w:val="21"/>
        </w:rPr>
        <w:t>处理与回流：工程师分派、解决、关闭，已验证方案进入候选知识区。</w:t>
      </w:r>
    </w:p>
    <w:p>
      <w:pPr>
        <w:pStyle w:val="Heading1"/>
        <w:spacing w:before="120" w:after="100"/>
      </w:pPr>
      <w:r>
        <w:rPr>
          <w:rFonts w:ascii="Microsoft YaHei" w:hAnsi="Microsoft YaHei" w:eastAsia="Microsoft YaHei"/>
          <w:b/>
          <w:color w:val="000000"/>
          <w:sz w:val="32"/>
        </w:rPr>
        <w:t>关键决策与安全边界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952"/>
            <w:shd w:fill="16324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7128"/>
            <w:shd w:fill="16324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设计理由</w:t>
            </w:r>
          </w:p>
        </w:tc>
      </w:tr>
      <w:tr>
        <w:tc>
          <w:tcPr>
            <w:tcW w:type="dxa" w:w="2952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模型不直接查询业务数据</w:t>
            </w:r>
          </w:p>
        </w:tc>
        <w:tc>
          <w:tcPr>
            <w:tcW w:type="dxa" w:w="7128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工具返回确定性结果，避免伪造状态或额度</w:t>
            </w:r>
          </w:p>
        </w:tc>
      </w:tr>
      <w:tr>
        <w:tc>
          <w:tcPr>
            <w:tcW w:type="dxa" w:w="2952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工单由状态机管理</w:t>
            </w:r>
          </w:p>
        </w:tc>
        <w:tc>
          <w:tcPr>
            <w:tcW w:type="dxa" w:w="7128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后端阻止非法跳转，保留审计记录</w:t>
            </w:r>
          </w:p>
        </w:tc>
      </w:tr>
      <w:tr>
        <w:tc>
          <w:tcPr>
            <w:tcW w:type="dxa" w:w="2952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离线 Mock 兜底</w:t>
            </w:r>
          </w:p>
        </w:tc>
        <w:tc>
          <w:tcPr>
            <w:tcW w:type="dxa" w:w="7128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网络或额度异常时仍可稳定演示</w:t>
            </w:r>
          </w:p>
        </w:tc>
      </w:tr>
      <w:tr>
        <w:tc>
          <w:tcPr>
            <w:tcW w:type="dxa" w:w="2952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虚拟产品与模拟数据</w:t>
            </w:r>
          </w:p>
        </w:tc>
        <w:tc>
          <w:tcPr>
            <w:tcW w:type="dxa" w:w="7128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避免泄露真实账户、培训资料和客户数据</w:t>
            </w:r>
          </w:p>
        </w:tc>
      </w:tr>
    </w:tbl>
    <w:p>
      <w:pPr>
        <w:spacing w:after="20"/>
      </w:pPr>
    </w:p>
    <w:p>
      <w:pPr>
        <w:pStyle w:val="Heading1"/>
        <w:spacing w:before="120" w:after="100"/>
      </w:pPr>
      <w:r>
        <w:rPr>
          <w:rFonts w:ascii="Microsoft YaHei" w:hAnsi="Microsoft YaHei" w:eastAsia="Microsoft YaHei"/>
          <w:b/>
          <w:color w:val="000000"/>
          <w:sz w:val="32"/>
        </w:rPr>
        <w:t>验收指标与交付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7"/>
          <w:sz w:val="20"/>
        </w:rPr>
        <w:t>42 条固定样例覆盖问答、同义表达、无答案、追问、工具、升级与安全。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7"/>
          <w:sz w:val="20"/>
        </w:rPr>
        <w:t>自动计算意图准确率、Recall@3、工具选择、升级判断和脱敏成功率。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7"/>
          <w:sz w:val="20"/>
        </w:rPr>
        <w:t>交付 FastAPI、Streamlit、SQLite、测试、架构图、测试报告、PPT 和演示视频。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7"/>
          <w:sz w:val="20"/>
        </w:rPr>
        <w:t>下一阶段接入真实身份权限、服务状态、企业工单平台和人工知识审核。</w:t>
      </w:r>
    </w:p>
    <w:sectPr w:rsidR="00FC693F" w:rsidRPr="0006063C" w:rsidSect="00034616"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企业云产品智能支持与工单协同 Agent 解决方案</dc:title>
  <dc:subject>企业云产品智能支持与工单协同 Agent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