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r>
        <w:rPr/>
        <w:t xml:space="preserve">Prediction accuracy not improved for most species using spatially explicit models at local scales: a case study with Oklahoma grassland birds </w:t>
      </w:r>
    </w:p>
    <w:p>
      <w:pPr>
        <w:pStyle w:val="Normal"/>
        <w:rPr/>
      </w:pPr>
      <w:r>
        <w:rPr/>
        <w:t>Claire M. Curry</w:t>
      </w:r>
    </w:p>
    <w:p>
      <w:pPr>
        <w:pStyle w:val="Normal"/>
        <w:rPr/>
      </w:pPr>
      <w:r>
        <w:rPr/>
        <w:t>Jeremy D. Ross</w:t>
      </w:r>
    </w:p>
    <w:p>
      <w:pPr>
        <w:pStyle w:val="Normal"/>
        <w:rPr/>
      </w:pPr>
      <w:r>
        <w:rPr/>
        <w:t>Andrea J. Contina</w:t>
      </w:r>
    </w:p>
    <w:p>
      <w:pPr>
        <w:pStyle w:val="Normal"/>
        <w:rPr/>
      </w:pPr>
      <w:r>
        <w:rPr/>
        <w:t>Eli S. Bridge</w:t>
      </w:r>
    </w:p>
    <w:p>
      <w:pPr>
        <w:pStyle w:val="Normal"/>
        <w:rPr/>
      </w:pPr>
      <w:r>
        <w:rPr/>
        <w:t>Oklahoma Biological Survey, University of Oklahoma, Norman, OK</w:t>
      </w:r>
    </w:p>
    <w:p>
      <w:pPr>
        <w:pStyle w:val="Normal"/>
        <w:rPr/>
      </w:pPr>
      <w:r>
        <w:rPr/>
        <w:t xml:space="preserve">Corresponding author: </w:t>
      </w:r>
      <w:hyperlink r:id="rId2">
        <w:r>
          <w:rPr>
            <w:rStyle w:val="InternetLink"/>
          </w:rPr>
          <w:t>curryclairem@gmail.com</w:t>
        </w:r>
      </w:hyperlink>
      <w:r>
        <w:rPr/>
        <w:t>, phone: 405-325-4034, fax 405-325-7702, 111 E. Chesapeake Street, Norman, OK 73019</w:t>
      </w:r>
    </w:p>
    <w:p>
      <w:pPr>
        <w:pStyle w:val="Normal"/>
        <w:rPr/>
      </w:pPr>
      <w:r>
        <w:rPr/>
        <w:t>Running title: Prediction accuracy of spatially explicit models</w:t>
      </w:r>
    </w:p>
    <w:p>
      <w:pPr>
        <w:pStyle w:val="Normal"/>
        <w:rPr/>
      </w:pPr>
      <w:r>
        <w:rPr/>
        <w:t>Word count total: must not exceed 7000 total.</w:t>
      </w:r>
    </w:p>
    <w:p>
      <w:pPr>
        <w:pStyle w:val="Normal"/>
        <w:rPr/>
      </w:pPr>
      <w:r>
        <w:rPr/>
        <w:t>Summary:</w:t>
      </w:r>
    </w:p>
    <w:p>
      <w:pPr>
        <w:pStyle w:val="Normal"/>
        <w:rPr/>
      </w:pPr>
      <w:r>
        <w:rPr/>
        <w:t xml:space="preserve">Main text: </w:t>
      </w:r>
    </w:p>
    <w:p>
      <w:pPr>
        <w:pStyle w:val="Normal"/>
        <w:rPr/>
      </w:pPr>
      <w:r>
        <w:rPr/>
        <w:t xml:space="preserve">Acknowledgements: </w:t>
      </w:r>
    </w:p>
    <w:p>
      <w:pPr>
        <w:pStyle w:val="Normal"/>
        <w:rPr/>
      </w:pPr>
      <w:r>
        <w:rPr/>
        <w:t>References:</w:t>
      </w:r>
    </w:p>
    <w:p>
      <w:pPr>
        <w:pStyle w:val="Normal"/>
        <w:rPr/>
      </w:pPr>
      <w:r>
        <w:rPr/>
        <w:t>Tables:</w:t>
      </w:r>
    </w:p>
    <w:p>
      <w:pPr>
        <w:pStyle w:val="Normal"/>
        <w:rPr/>
      </w:pPr>
      <w:r>
        <w:rPr/>
        <w:t>Figure legends:</w:t>
      </w:r>
    </w:p>
    <w:p>
      <w:pPr>
        <w:pStyle w:val="Normal"/>
        <w:rPr/>
      </w:pPr>
      <w:r>
        <w:rPr/>
        <w:t>Number of tables and figures:</w:t>
      </w:r>
    </w:p>
    <w:p>
      <w:pPr>
        <w:pStyle w:val="Normal"/>
        <w:rPr/>
      </w:pPr>
      <w:r>
        <w:rPr/>
        <w:t xml:space="preserve">Number of references: </w:t>
      </w:r>
    </w:p>
    <w:p>
      <w:pPr>
        <w:pStyle w:val="Normal"/>
        <w:spacing w:lineRule="auto" w:line="240" w:before="0" w:after="0"/>
        <w:rPr>
          <w:rFonts w:eastAsia="Noto Sans CJK SC Regular" w:cs="FreeSans"/>
          <w:bCs/>
          <w:smallCaps/>
          <w:szCs w:val="28"/>
        </w:rPr>
      </w:pPr>
      <w:r>
        <w:rPr>
          <w:rFonts w:eastAsia="Noto Sans CJK SC Regular" w:cs="FreeSans"/>
          <w:bCs/>
          <w:smallCaps/>
          <w:szCs w:val="28"/>
        </w:rPr>
      </w:r>
      <w:r>
        <w:br w:type="page"/>
      </w:r>
    </w:p>
    <w:p>
      <w:pPr>
        <w:pStyle w:val="Heading1"/>
        <w:rPr/>
      </w:pPr>
      <w:commentRangeStart w:id="0"/>
      <w:r>
        <w:rPr/>
        <w:t>Summary</w:t>
      </w:r>
      <w:commentRangeEnd w:id="0"/>
      <w:r>
        <w:commentReference w:id="0"/>
      </w:r>
      <w:r>
        <w:rPr/>
      </w:r>
    </w:p>
    <w:p>
      <w:pPr>
        <w:pStyle w:val="Normal"/>
        <w:rPr/>
      </w:pPr>
      <w:r>
        <w:rPr/>
        <w:t xml:space="preserve">1. Species distribution models can be made more accurate by use of new “Spatiotemporal Exploratory Models”, a type of spatially explicit ensemble model developed at the continental scale that uses regional models and averages them by pixel to create more accurate predictions of species distributions.  However, they are computationally expensive, so we examined how much computational effort it takes to get increases in accuracy that come from using such a model, and whether it improves accuracy at smaller-than-continental scales.  We also develop a technique for mapping variable importance in these spatially explicit models using a mosaic of random forest variable rankings for variables of interest.  2. We used a combination of survey data and citizen science data to test a spatially explicit ensemble model at a smaller scale for its effects on accuracy of current models and variation in future models of climate change.  We used grassland bird species in Oklahoma to test these models at the state level.  3. We found that spatially explicit ensemble models had longer runtimes without a concomitant increase in accuracy.  Only a few species deviated from this overall pattern.  4. We found that climate change estimates of range loss or gain were not significantly different among scales.  </w:t>
      </w:r>
      <w:r>
        <w:rPr>
          <w:b/>
        </w:rPr>
        <w:t>Policy implications:</w:t>
      </w:r>
      <w:r>
        <w:rPr/>
        <w:t xml:space="preserve"> We therefore recommend use of standard species distribution models for local species prediction models and further study to understand at what point computationally expensive spatially explicit models become necessary for accurate modeling.</w:t>
      </w:r>
    </w:p>
    <w:p>
      <w:pPr>
        <w:pStyle w:val="Normal"/>
        <w:rPr/>
      </w:pPr>
      <w:r>
        <w:rPr/>
        <w:t>Key words: random forest, machine learning,</w:t>
      </w:r>
      <w:bookmarkStart w:id="0" w:name="_GoBack"/>
      <w:bookmarkEnd w:id="0"/>
      <w:r>
        <w:rPr/>
        <w:t xml:space="preserve"> spatiotemporal exploratory models, species distribution models </w:t>
      </w:r>
    </w:p>
    <w:p>
      <w:pPr>
        <w:pStyle w:val="Normal"/>
        <w:spacing w:lineRule="auto" w:line="240" w:before="0" w:after="0"/>
        <w:rPr>
          <w:rFonts w:eastAsia="Noto Sans CJK SC Regular" w:cs="FreeSans"/>
          <w:bCs/>
          <w:smallCaps/>
          <w:szCs w:val="28"/>
        </w:rPr>
      </w:pPr>
      <w:r>
        <w:rPr>
          <w:rFonts w:eastAsia="Noto Sans CJK SC Regular" w:cs="FreeSans"/>
          <w:bCs/>
          <w:smallCaps/>
          <w:szCs w:val="28"/>
        </w:rPr>
      </w:r>
      <w:r>
        <w:br w:type="page"/>
      </w:r>
    </w:p>
    <w:p>
      <w:pPr>
        <w:pStyle w:val="Heading1"/>
        <w:rPr/>
      </w:pPr>
      <w:r>
        <w:rPr/>
        <w:t>Introduction</w:t>
      </w:r>
    </w:p>
    <w:p>
      <w:pPr>
        <w:pStyle w:val="Normal"/>
        <w:rPr/>
      </w:pPr>
      <w:r>
        <w:rPr/>
        <w:t xml:space="preserve">To help understand environmental and land use factors that drive declines, species distribution modeling (SDM) is a tool that uses environmental and geographic variables to predict what areas are suitable for a species and to better understand what factors constrain species’ ranges </w:t>
      </w:r>
      <w:bookmarkStart w:id="1" w:name="ZOTERO_BREF_AgiSIAxTtuJE"/>
      <w:r>
        <w:rPr>
          <w:rFonts w:cs="Times New Roman"/>
        </w:rPr>
        <w:t>(Elith &amp; Leathwick 2009)</w:t>
      </w:r>
      <w:bookmarkEnd w:id="1"/>
      <w:r>
        <w:rPr/>
        <w:t>.  SDM can also be used to predict potential impacts of climate</w:t>
      </w:r>
      <w:r>
        <w:rPr>
          <w:rFonts w:cs="Times New Roman"/>
        </w:rPr>
        <w:t xml:space="preserve"> </w:t>
      </w:r>
      <w:r>
        <w:rPr/>
        <w:t>and land use change</w:t>
      </w:r>
      <w:bookmarkStart w:id="2" w:name="ZOTERO_BREF_Yvl2oYwW0gwQ"/>
      <w:r>
        <w:rPr/>
        <w:t xml:space="preserve"> </w:t>
      </w:r>
      <w:r>
        <w:rPr>
          <w:rFonts w:cs="Times New Roman"/>
          <w:szCs w:val="24"/>
        </w:rPr>
        <w:t xml:space="preserve">(Beaumont </w:t>
      </w:r>
      <w:r>
        <w:rPr>
          <w:rFonts w:cs="Times New Roman"/>
          <w:i/>
          <w:iCs/>
          <w:szCs w:val="24"/>
        </w:rPr>
        <w:t>et al.</w:t>
      </w:r>
      <w:r>
        <w:rPr>
          <w:rFonts w:cs="Times New Roman"/>
          <w:szCs w:val="24"/>
        </w:rPr>
        <w:t xml:space="preserve"> 2007; Lipsey </w:t>
      </w:r>
      <w:r>
        <w:rPr>
          <w:rFonts w:cs="Times New Roman"/>
          <w:i/>
          <w:iCs/>
          <w:szCs w:val="24"/>
        </w:rPr>
        <w:t>et al.</w:t>
      </w:r>
      <w:r>
        <w:rPr>
          <w:rFonts w:cs="Times New Roman"/>
          <w:szCs w:val="24"/>
        </w:rPr>
        <w:t xml:space="preserve"> 2015)</w:t>
      </w:r>
      <w:bookmarkEnd w:id="2"/>
      <w:r>
        <w:rPr/>
        <w:t xml:space="preserve">.  Newer regression and machine learning techniques incorporated into SDM continue to increase prediction accuracy </w:t>
      </w:r>
      <w:bookmarkStart w:id="3" w:name="ZOTERO_BREF_Aet1qOom02en"/>
      <w:r>
        <w:rPr>
          <w:rFonts w:cs="Times New Roman"/>
          <w:szCs w:val="24"/>
        </w:rPr>
        <w:t xml:space="preserve">(Phillips, Dudík &amp; Schapire 2004; Elith </w:t>
      </w:r>
      <w:r>
        <w:rPr>
          <w:rFonts w:cs="Times New Roman"/>
          <w:i/>
          <w:iCs/>
          <w:szCs w:val="24"/>
        </w:rPr>
        <w:t>et al.</w:t>
      </w:r>
      <w:r>
        <w:rPr>
          <w:rFonts w:cs="Times New Roman"/>
          <w:szCs w:val="24"/>
        </w:rPr>
        <w:t xml:space="preserve"> 2006; Cutler </w:t>
      </w:r>
      <w:r>
        <w:rPr>
          <w:rFonts w:cs="Times New Roman"/>
          <w:i/>
          <w:iCs/>
          <w:szCs w:val="24"/>
        </w:rPr>
        <w:t>et al.</w:t>
      </w:r>
      <w:r>
        <w:rPr>
          <w:rFonts w:cs="Times New Roman"/>
          <w:szCs w:val="24"/>
        </w:rPr>
        <w:t xml:space="preserve"> 2007; Elith, Leathwick &amp; Hastie 2008; Lorena </w:t>
      </w:r>
      <w:r>
        <w:rPr>
          <w:rFonts w:cs="Times New Roman"/>
          <w:i/>
          <w:iCs/>
          <w:szCs w:val="24"/>
        </w:rPr>
        <w:t>et al.</w:t>
      </w:r>
      <w:r>
        <w:rPr>
          <w:rFonts w:cs="Times New Roman"/>
          <w:szCs w:val="24"/>
        </w:rPr>
        <w:t xml:space="preserve"> 2011)</w:t>
      </w:r>
      <w:bookmarkEnd w:id="3"/>
      <w:r>
        <w:rPr>
          <w:rFonts w:cs="Times New Roman"/>
        </w:rPr>
        <w:t xml:space="preserve">.  </w:t>
      </w:r>
      <w:r>
        <w:rPr/>
        <w:t xml:space="preserve">To increase accuracy in the face of variation in regional drivers, a new method called Spatiotemporal Exploratory Modeling (STEM) uses smaller, overlapping subsets of data to generate regional predictions that are combined into an average </w:t>
      </w:r>
      <w:bookmarkStart w:id="4" w:name="ZOTERO_BREF_CWr5pPEFiimQ"/>
      <w:r>
        <w:rPr>
          <w:rFonts w:cs="Times New Roman"/>
          <w:szCs w:val="24"/>
        </w:rPr>
        <w:t xml:space="preserve">(Fink </w:t>
      </w:r>
      <w:r>
        <w:rPr>
          <w:rFonts w:cs="Times New Roman"/>
          <w:i/>
          <w:iCs/>
          <w:szCs w:val="24"/>
        </w:rPr>
        <w:t>et al.</w:t>
      </w:r>
      <w:r>
        <w:rPr>
          <w:rFonts w:cs="Times New Roman"/>
          <w:szCs w:val="24"/>
        </w:rPr>
        <w:t xml:space="preserve"> 2010)</w:t>
      </w:r>
      <w:bookmarkEnd w:id="4"/>
      <w:r>
        <w:rPr>
          <w:rFonts w:cs="Times New Roman"/>
        </w:rPr>
        <w:t xml:space="preserve">.  This averaging of overlapping smaller models allows the local models to correctly model patterns that may not occur in all parts of the study area, resulting in an overall map with more accurate predictions.  </w:t>
      </w:r>
      <w:r>
        <w:rPr/>
        <w:t xml:space="preserve">The original STEM was used on continent-scale survey data and can be used with any base model (Fink et al. 2010, Fink et al. 2013).  Additional uses of this approach also cover continent- to hemisphere-wide scales </w:t>
      </w:r>
      <w:bookmarkStart w:id="5" w:name="ZOTERO_BREF_pt9Qh9q0Iuha"/>
      <w:r>
        <w:rPr>
          <w:rFonts w:cs="Times New Roman"/>
        </w:rPr>
        <w:t>(Fink, Damoulas &amp; Dave 2013)</w:t>
      </w:r>
      <w:bookmarkEnd w:id="5"/>
      <w:r>
        <w:rPr/>
        <w:t xml:space="preserve">.  However, STEMs are computationally expensive because of predicting numerous supporting maps followed by averaging them to create the final model, instead of predicting just one map.  Additionally, the relative increase in accuracy has not been compared to the relative expense of computational time nor have STEMs been tested at scales at which much species management occurs, such as state or regional initiatives </w:t>
      </w:r>
      <w:bookmarkStart w:id="6" w:name="ZOTERO_BREF_4vzZTnXQaAlF"/>
      <w:r>
        <w:rPr>
          <w:rFonts w:cs="Times New Roman"/>
        </w:rPr>
        <w:t>(Brennan, Kuvlesky &amp; Morrison 2005)</w:t>
      </w:r>
      <w:bookmarkEnd w:id="6"/>
      <w:r>
        <w:rPr/>
        <w:t>.</w:t>
      </w:r>
    </w:p>
    <w:p>
      <w:pPr>
        <w:pStyle w:val="Normal"/>
        <w:rPr/>
      </w:pPr>
      <w:r>
        <w:rPr/>
        <w:t xml:space="preserve">Grasslands are one of the world’s most endangered ecosystems, with declines of 82.6-99.9% of tallgrass prairie, 30-99.9% of mixed-grass prairie, and 20-85.8% of short-grass prairie in the plains states and provinces of North America </w:t>
      </w:r>
      <w:bookmarkStart w:id="7" w:name="ZOTERO_BREF_kfLIK1h3HoJL"/>
      <w:r>
        <w:rPr>
          <w:rFonts w:cs="Times New Roman"/>
        </w:rPr>
        <w:t>(Samson &amp; Knopf 1994)</w:t>
      </w:r>
      <w:bookmarkEnd w:id="7"/>
      <w:r>
        <w:rPr>
          <w:rFonts w:cs="Times New Roman"/>
        </w:rPr>
        <w:t>, and as such could benefit from increased knowledge of distributional drivers</w:t>
      </w:r>
      <w:r>
        <w:rPr/>
        <w:t>.  Drivers of decline include land use conversion via agriculture and changes in fire and grazing regimes</w:t>
      </w:r>
      <w:bookmarkStart w:id="8" w:name="ZOTERO_BREF_BdK5VLvrs9hS"/>
      <w:r>
        <w:rPr/>
        <w:t xml:space="preserve"> </w:t>
      </w:r>
      <w:r>
        <w:rPr>
          <w:rFonts w:cs="Times New Roman"/>
        </w:rPr>
        <w:t>(Samson, Knopf &amp; Ostlie 2004)</w:t>
      </w:r>
      <w:bookmarkEnd w:id="8"/>
      <w:r>
        <w:rPr>
          <w:rFonts w:cs="Times New Roman"/>
        </w:rPr>
        <w:t xml:space="preserve">, but specifics vary by region </w:t>
      </w:r>
      <w:bookmarkStart w:id="9" w:name="ZOTERO_BREF_qAgbZ5jQkVhR"/>
      <w:r>
        <w:rPr>
          <w:rFonts w:cs="Times New Roman"/>
          <w:szCs w:val="24"/>
        </w:rPr>
        <w:t xml:space="preserve">(Askins </w:t>
      </w:r>
      <w:r>
        <w:rPr>
          <w:rFonts w:cs="Times New Roman"/>
          <w:i/>
          <w:iCs/>
          <w:szCs w:val="24"/>
        </w:rPr>
        <w:t>et al.</w:t>
      </w:r>
      <w:r>
        <w:rPr>
          <w:rFonts w:cs="Times New Roman"/>
          <w:szCs w:val="24"/>
        </w:rPr>
        <w:t xml:space="preserve"> 2007)</w:t>
      </w:r>
      <w:bookmarkEnd w:id="9"/>
      <w:r>
        <w:rPr>
          <w:rFonts w:cs="Times New Roman"/>
        </w:rPr>
        <w:t xml:space="preserve">.  </w:t>
      </w:r>
      <w:r>
        <w:rPr/>
        <w:t xml:space="preserve">The already tenuous status of grassland birds is further threatened by conversion to new crops resulting in permanent land use changes </w:t>
      </w:r>
      <w:bookmarkStart w:id="10" w:name="ZOTERO_BREF_ge6owBWH3USY"/>
      <w:r>
        <w:rPr>
          <w:rFonts w:cs="Times New Roman"/>
        </w:rPr>
        <w:t>(Wright &amp; Wimberly 2013)</w:t>
      </w:r>
      <w:bookmarkEnd w:id="10"/>
      <w:r>
        <w:rPr/>
        <w:t xml:space="preserve">, generational changes in land use </w:t>
      </w:r>
      <w:bookmarkStart w:id="11" w:name="ZOTERO_BREF_x6wwcuHDacf6"/>
      <w:r>
        <w:rPr>
          <w:rFonts w:cs="Times New Roman"/>
        </w:rPr>
        <w:t>(Higgins, Naugle &amp; Forman 2002)</w:t>
      </w:r>
      <w:bookmarkEnd w:id="11"/>
      <w:r>
        <w:rPr/>
        <w:t xml:space="preserve">, changes in conservation programs for grassland habitats </w:t>
      </w:r>
      <w:bookmarkStart w:id="12" w:name="ZOTERO_BREF_9N27HJt88gtY"/>
      <w:r>
        <w:rPr>
          <w:rFonts w:cs="Times New Roman"/>
        </w:rPr>
        <w:t>(Klute, Robel &amp; Kemp 1997)</w:t>
      </w:r>
      <w:bookmarkEnd w:id="12"/>
      <w:r>
        <w:rPr/>
        <w:t xml:space="preserve">, and alterations to vegetation </w:t>
      </w:r>
      <w:bookmarkStart w:id="13" w:name="ZOTERO_BREF_UNR8BVLp1qQZ"/>
      <w:r>
        <w:rPr>
          <w:rFonts w:cs="Times New Roman"/>
        </w:rPr>
        <w:t>(Alward 1999)</w:t>
      </w:r>
      <w:bookmarkEnd w:id="13"/>
      <w:r>
        <w:rPr/>
        <w:t xml:space="preserve"> and ecosystem structure </w:t>
      </w:r>
      <w:bookmarkStart w:id="14" w:name="ZOTERO_BREF_Swgc5dZd9saw"/>
      <w:r>
        <w:rPr>
          <w:rFonts w:cs="Times New Roman"/>
        </w:rPr>
        <w:t>(Brown, Valone &amp; Curtin 1997)</w:t>
      </w:r>
      <w:bookmarkEnd w:id="14"/>
      <w:r>
        <w:rPr/>
        <w:t xml:space="preserve"> from climate change </w:t>
      </w:r>
      <w:bookmarkStart w:id="15" w:name="ZOTERO_BREF_3p4W1KqZZnUW"/>
      <w:r>
        <w:rPr>
          <w:rFonts w:cs="Times New Roman"/>
        </w:rPr>
        <w:t>(McCarty 2001)</w:t>
      </w:r>
      <w:bookmarkEnd w:id="15"/>
      <w:r>
        <w:rPr/>
        <w:t xml:space="preserve">.  Grassland bird species are declining faster than other groups of birds as well </w:t>
      </w:r>
      <w:bookmarkStart w:id="16" w:name="ZOTERO_BREF_XPo54iIECU4V"/>
      <w:r>
        <w:rPr>
          <w:rFonts w:cs="Times New Roman"/>
          <w:szCs w:val="24"/>
        </w:rPr>
        <w:t xml:space="preserve">(Knopf 1994; Askins </w:t>
      </w:r>
      <w:r>
        <w:rPr>
          <w:rFonts w:cs="Times New Roman"/>
          <w:i/>
          <w:iCs/>
          <w:szCs w:val="24"/>
        </w:rPr>
        <w:t>et al.</w:t>
      </w:r>
      <w:r>
        <w:rPr>
          <w:rFonts w:cs="Times New Roman"/>
          <w:szCs w:val="24"/>
        </w:rPr>
        <w:t xml:space="preserve"> 2007)</w:t>
      </w:r>
      <w:bookmarkEnd w:id="16"/>
      <w:r>
        <w:rPr>
          <w:rFonts w:cs="Times New Roman"/>
        </w:rPr>
        <w:t xml:space="preserve"> </w:t>
      </w:r>
      <w:r>
        <w:rPr/>
        <w:t xml:space="preserve">and thus continued to be imperiled by these new threats to their habitat.   Range-wide species distribution predictions have been made for grassland birds but some species with smaller ranges are not accurately modeled (O’Connor et al. 1999), perhaps because different drivers of distribution vary by region </w:t>
      </w:r>
      <w:bookmarkStart w:id="17" w:name="ZOTERO_BREF_PH1RbBNG7ABP"/>
      <w:r>
        <w:rPr>
          <w:rFonts w:cs="Times New Roman"/>
          <w:szCs w:val="24"/>
        </w:rPr>
        <w:t xml:space="preserve">(Bakker, Naugle &amp; Higgins 2002; Askins </w:t>
      </w:r>
      <w:r>
        <w:rPr>
          <w:rFonts w:cs="Times New Roman"/>
          <w:i/>
          <w:iCs/>
          <w:szCs w:val="24"/>
        </w:rPr>
        <w:t>et al.</w:t>
      </w:r>
      <w:r>
        <w:rPr>
          <w:rFonts w:cs="Times New Roman"/>
          <w:szCs w:val="24"/>
        </w:rPr>
        <w:t xml:space="preserve"> 2007)</w:t>
      </w:r>
      <w:bookmarkEnd w:id="17"/>
      <w:r>
        <w:rPr>
          <w:rFonts w:cs="Times New Roman"/>
        </w:rPr>
        <w:t xml:space="preserve">.  </w:t>
      </w:r>
    </w:p>
    <w:p>
      <w:pPr>
        <w:pStyle w:val="Normal"/>
        <w:rPr/>
      </w:pPr>
      <w:r>
        <w:rPr/>
        <w:t>A suitable test area for STEMs and grassland birds should have regional variation in habitat and climate.  In the southern Great Plains, the U.S. state of Oklahoma has over a third of its land area as grasslands and over 15% as croplands, containing grassland birds characteristic of habitats ranging from southeastern pine savannahs to tallgrass, mixed-grass, and shortgrass prairies</w:t>
      </w:r>
      <w:bookmarkStart w:id="18" w:name="ZOTERO_BREF_52fF2QGWER8D"/>
      <w:r>
        <w:rPr/>
        <w:t xml:space="preserve"> </w:t>
      </w:r>
      <w:r>
        <w:rPr>
          <w:rFonts w:cs="Times New Roman"/>
          <w:szCs w:val="24"/>
        </w:rPr>
        <w:t xml:space="preserve">(Askins </w:t>
      </w:r>
      <w:r>
        <w:rPr>
          <w:rFonts w:cs="Times New Roman"/>
          <w:i/>
          <w:iCs/>
          <w:szCs w:val="24"/>
        </w:rPr>
        <w:t>et al.</w:t>
      </w:r>
      <w:r>
        <w:rPr>
          <w:rFonts w:cs="Times New Roman"/>
          <w:szCs w:val="24"/>
        </w:rPr>
        <w:t xml:space="preserve"> 2007; Diamond &amp; Elliott 2015)</w:t>
      </w:r>
      <w:bookmarkEnd w:id="18"/>
      <w:r>
        <w:rPr/>
        <w:t xml:space="preserve">.  Additionally, climate change is forecast to impact the Great Plains strongly </w:t>
      </w:r>
      <w:bookmarkStart w:id="19" w:name="ZOTERO_BREF_DiDJ5M5CLeqV"/>
      <w:r>
        <w:rPr>
          <w:rFonts w:cs="Times New Roman"/>
          <w:szCs w:val="24"/>
        </w:rPr>
        <w:t xml:space="preserve">(National Assessment Synthesis Team (U.S.) 2001; Loarie </w:t>
      </w:r>
      <w:r>
        <w:rPr>
          <w:rFonts w:cs="Times New Roman"/>
          <w:i/>
          <w:iCs/>
          <w:szCs w:val="24"/>
        </w:rPr>
        <w:t>et al.</w:t>
      </w:r>
      <w:r>
        <w:rPr>
          <w:rFonts w:cs="Times New Roman"/>
          <w:szCs w:val="24"/>
        </w:rPr>
        <w:t xml:space="preserve"> 2009)</w:t>
      </w:r>
      <w:bookmarkEnd w:id="19"/>
      <w:r>
        <w:rPr>
          <w:rFonts w:cs="Times New Roman"/>
        </w:rPr>
        <w:t xml:space="preserve"> and the</w:t>
      </w:r>
      <w:r>
        <w:rPr/>
        <w:t xml:space="preserve"> climate of temperate grasslands are predicted to change rapidly relative to other biomes </w:t>
      </w:r>
      <w:bookmarkStart w:id="20" w:name="ZOTERO_BREF_KNBxcHWAjslG"/>
      <w:r>
        <w:rPr>
          <w:rFonts w:cs="Times New Roman"/>
          <w:szCs w:val="24"/>
        </w:rPr>
        <w:t xml:space="preserve">(Loarie </w:t>
      </w:r>
      <w:r>
        <w:rPr>
          <w:rFonts w:cs="Times New Roman"/>
          <w:i/>
          <w:iCs/>
          <w:szCs w:val="24"/>
        </w:rPr>
        <w:t>et al.</w:t>
      </w:r>
      <w:r>
        <w:rPr>
          <w:rFonts w:cs="Times New Roman"/>
          <w:szCs w:val="24"/>
        </w:rPr>
        <w:t xml:space="preserve"> 2009)</w:t>
      </w:r>
      <w:bookmarkEnd w:id="20"/>
      <w:r>
        <w:rPr/>
        <w:t xml:space="preserve">.   Oklahoma’s grassland habitats, agricultural importance, and forecast impact by climate change makes it an ideal region to test relative efficacy of different methods for modeling current and forecast species distributions. </w:t>
      </w:r>
    </w:p>
    <w:p>
      <w:pPr>
        <w:pStyle w:val="Normal"/>
        <w:rPr/>
      </w:pPr>
      <w:r>
        <w:rPr/>
        <w:t>The objectives of our study were threefold.  First, we estimated the distribution of Oklahoma grassland birds to understand current distribution statewide with standard species distribution modeling methods.  Next, these statewide current distribution predictions allowed us to compare the statewide species distribution model for each species with ensemble spatiotemporally explicit models to see whether this approach is suitable in terms of increased accuracy relative to increased computational power required for spatially explicit species distribution modeling.  Finally, we ask how estimates of distributional changes from climate change may be altered by use of different spatial scale support sets.  Our results will allow managers to make decisions on whether increased accuracy in modeling is worth the additional computational effort required by newer modeling techniques</w:t>
      </w:r>
    </w:p>
    <w:p>
      <w:pPr>
        <w:pStyle w:val="Heading1"/>
        <w:ind w:firstLine="720"/>
        <w:rPr/>
      </w:pPr>
      <w:r>
        <w:rPr/>
        <w:t>Methods</w:t>
      </w:r>
    </w:p>
    <w:p>
      <w:pPr>
        <w:pStyle w:val="Heading2"/>
        <w:rPr/>
      </w:pPr>
      <w:r>
        <w:rPr/>
        <w:t>Study area</w:t>
      </w:r>
    </w:p>
    <w:p>
      <w:pPr>
        <w:pStyle w:val="Normal"/>
        <w:rPr/>
      </w:pPr>
      <w:r>
        <w:rPr/>
        <w:t xml:space="preserve">Oklahoma contains diverse vegetation and climate, making it a suitable region to examine effects of spatially explicit models.  There are ca. 165 vegetation types (based on soil and vegetation composition) in 15 land cover types </w:t>
      </w:r>
      <w:bookmarkStart w:id="21" w:name="ZOTERO_BREF_6yWCUYagay2i"/>
      <w:r>
        <w:rPr>
          <w:rFonts w:cs="Times New Roman"/>
        </w:rPr>
        <w:t>(Diamond &amp; Elliott 2015)</w:t>
      </w:r>
      <w:bookmarkEnd w:id="21"/>
      <w:r>
        <w:rPr>
          <w:rFonts w:cs="Times New Roman"/>
        </w:rPr>
        <w:t xml:space="preserve">, with over a third of the vegetation in grasslands.  Historically, grasslands were tallgrass (3 million ha), mixed grass (2.5 million ha), and shortgrass (1.3 million ha) </w:t>
      </w:r>
      <w:bookmarkStart w:id="22" w:name="ZOTERO_BREF_hohAsPdLSi7T"/>
      <w:r>
        <w:rPr>
          <w:rFonts w:cs="Times New Roman"/>
        </w:rPr>
        <w:t>(Samson &amp; Knopf 1994)</w:t>
      </w:r>
      <w:bookmarkEnd w:id="22"/>
      <w:r>
        <w:rPr>
          <w:rFonts w:cs="Times New Roman"/>
        </w:rPr>
        <w:t xml:space="preserve">.  </w:t>
      </w:r>
      <w:r>
        <w:rPr/>
        <w:t xml:space="preserve">Rainfall and temperature vary across the state </w:t>
      </w:r>
      <w:bookmarkStart w:id="23" w:name="ZOTERO_BREF_v6CWUOiDU6BE"/>
      <w:r>
        <w:rPr>
          <w:rFonts w:cs="Times New Roman"/>
        </w:rPr>
        <w:t>(Oklahoma Climatological Survey)</w:t>
      </w:r>
      <w:bookmarkEnd w:id="23"/>
      <w:r>
        <w:rPr/>
        <w:t xml:space="preserve">, with annual precipitation of about 17” of rain in the western portion to 56” in the eastern part of the state; </w:t>
      </w:r>
      <w:r>
        <w:rPr>
          <w:rFonts w:cs="Times New Roman"/>
        </w:rPr>
        <w:t>mean annual temperature ranges from approximately 62°F in the southeast to about 56°F in the northwestern part of the state</w:t>
      </w:r>
      <w:r>
        <w:rPr/>
        <w:t>.  Summer temperatures over 90</w:t>
      </w:r>
      <w:r>
        <w:rPr>
          <w:rFonts w:cs="Times New Roman"/>
        </w:rPr>
        <w:t>°</w:t>
      </w:r>
      <w:r>
        <w:rPr/>
        <w:t xml:space="preserve">F can occur from 60-115 days out of the year varying statewide.  Agriculture accounts for over $2.8 billion in the state’s gross domestic product in the study years </w:t>
      </w:r>
      <w:bookmarkStart w:id="24" w:name="ZOTERO_BREF_72mZOQnbLxfT"/>
      <w:r>
        <w:rPr>
          <w:rFonts w:cs="Times New Roman"/>
        </w:rPr>
        <w:t>(US Department of Commerce 2016)</w:t>
      </w:r>
      <w:bookmarkEnd w:id="24"/>
      <w:r>
        <w:rPr/>
        <w:t xml:space="preserve"> and includes crops such as winter wheat, hay, corn for grain, soybeans, and cotton, as well as cattle and hog ranching </w:t>
      </w:r>
      <w:bookmarkStart w:id="25" w:name="ZOTERO_BREF_qMS8CuZyBFPJ"/>
      <w:r>
        <w:rPr>
          <w:rFonts w:cs="Times New Roman"/>
          <w:szCs w:val="24"/>
        </w:rPr>
        <w:t>(</w:t>
      </w:r>
      <w:r>
        <w:rPr>
          <w:rFonts w:cs="Times New Roman"/>
          <w:i/>
          <w:iCs/>
          <w:szCs w:val="24"/>
        </w:rPr>
        <w:t>Oklahoma Agricultural Statistics 2016</w:t>
      </w:r>
      <w:r>
        <w:rPr>
          <w:rFonts w:cs="Times New Roman"/>
          <w:szCs w:val="24"/>
        </w:rPr>
        <w:t xml:space="preserve"> 2016)</w:t>
      </w:r>
      <w:bookmarkEnd w:id="25"/>
      <w:r>
        <w:rPr>
          <w:rFonts w:cs="Times New Roman"/>
        </w:rPr>
        <w:t>, ranking in the top 5 of US acreage for</w:t>
      </w:r>
      <w:r>
        <w:rPr/>
        <w:t xml:space="preserve"> wheat for grain, winter wheat for grain, and forage land for hay </w:t>
      </w:r>
      <w:bookmarkStart w:id="26" w:name="ZOTERO_BREF_ss1LanRJcn6U"/>
      <w:r>
        <w:rPr>
          <w:rFonts w:cs="Times New Roman"/>
        </w:rPr>
        <w:t>(USDA/NASS 2016)</w:t>
      </w:r>
      <w:bookmarkEnd w:id="26"/>
      <w:r>
        <w:rPr>
          <w:rFonts w:cs="Times New Roman"/>
        </w:rPr>
        <w:t>.</w:t>
      </w:r>
      <w:r>
        <w:rPr/>
        <w:t xml:space="preserve">  </w:t>
      </w:r>
    </w:p>
    <w:p>
      <w:pPr>
        <w:pStyle w:val="Heading2"/>
        <w:rPr/>
      </w:pPr>
      <w:r>
        <w:rPr/>
        <w:t>Response data</w:t>
      </w:r>
    </w:p>
    <w:p>
      <w:pPr>
        <w:pStyle w:val="Normal"/>
        <w:rPr/>
      </w:pPr>
      <w:r>
        <w:rPr/>
        <w:t xml:space="preserve">We focused on 10 species of grassland birds found during our general surveys, plus Brown-headed Cowbirds (an obligate brood parasite with presence often depending on land use factors) </w:t>
      </w:r>
      <w:bookmarkStart w:id="27" w:name="ZOTERO_BREF_L4ZQ0sxi55J0"/>
      <w:r>
        <w:rPr>
          <w:rFonts w:cs="Times New Roman"/>
        </w:rPr>
        <w:t>(Benson, Chiavacci &amp; Ward 2013)</w:t>
      </w:r>
      <w:bookmarkEnd w:id="27"/>
      <w:r>
        <w:rPr/>
        <w:t>, for a total of 11 species.  Many of these species are declining at the state or North American level and none are increasing in population (</w:t>
      </w:r>
      <w:r>
        <w:rPr/>
        <w:fldChar w:fldCharType="begin"/>
      </w:r>
      <w:r>
        <w:instrText> REF _Ref475964207 \h </w:instrText>
      </w:r>
      <w:r>
        <w:fldChar w:fldCharType="separate"/>
      </w:r>
      <w:r>
        <w:t>Table 2</w:t>
      </w:r>
      <w:r>
        <w:fldChar w:fldCharType="end"/>
      </w:r>
      <w:r>
        <w:rPr/>
        <w:t>).  We collected data 1-4 times each at 339 8-min roadside point counts (0.13 hr and 0 km long) and at 87 cross-country transects 0.3-3.1 hrs and 0.3-4.3 km long (mean</w:t>
      </w:r>
      <w:r>
        <w:rPr>
          <w:rFonts w:cs="Times New Roman"/>
        </w:rPr>
        <w:t>±</w:t>
      </w:r>
      <w:r>
        <w:rPr/>
        <w:t>SD: 1.2</w:t>
      </w:r>
      <w:r>
        <w:rPr>
          <w:rFonts w:cs="Times New Roman"/>
        </w:rPr>
        <w:t>±0.6</w:t>
      </w:r>
      <w:r>
        <w:rPr/>
        <w:t xml:space="preserve"> hrs and 1.8</w:t>
      </w:r>
      <w:r>
        <w:rPr>
          <w:rFonts w:cs="Times New Roman"/>
        </w:rPr>
        <w:t>±0.8</w:t>
      </w:r>
      <w:r>
        <w:rPr/>
        <w:t xml:space="preserve"> km).  Each survey was conducted stationary (point counts) or walking at an even pace (transects).  An observer noted species, number of individuals, and distance and angle to each sighting.  Perpendicular distance from the transect line was calculated using distance and angle for transects.  We had 14 observers total (6 in 2013 and 8 in 2014).</w:t>
      </w:r>
    </w:p>
    <w:p>
      <w:pPr>
        <w:pStyle w:val="Normal"/>
        <w:rPr>
          <w:highlight w:val="yellow"/>
        </w:rPr>
      </w:pPr>
      <w:r>
        <w:rPr/>
        <w:t xml:space="preserve">We supplemented our survey data with citizen science data from the eBird Reference Dataset </w:t>
      </w:r>
      <w:bookmarkStart w:id="28" w:name="ZOTERO_BREF_4WTBgPhUKSR1"/>
      <w:r>
        <w:rPr>
          <w:rFonts w:cs="Times New Roman"/>
          <w:szCs w:val="24"/>
        </w:rPr>
        <w:t xml:space="preserve">(Munson </w:t>
      </w:r>
      <w:r>
        <w:rPr>
          <w:rFonts w:cs="Times New Roman"/>
          <w:i/>
          <w:iCs/>
          <w:szCs w:val="24"/>
        </w:rPr>
        <w:t>et al.</w:t>
      </w:r>
      <w:r>
        <w:rPr>
          <w:rFonts w:cs="Times New Roman"/>
          <w:szCs w:val="24"/>
        </w:rPr>
        <w:t xml:space="preserve"> 2014)</w:t>
      </w:r>
      <w:bookmarkEnd w:id="28"/>
      <w:r>
        <w:rPr/>
        <w:t xml:space="preserve">.  We used complete data from 2011-2014 and excluded casual counts.  In the case of multiple checklists for a given sampling event, we used the primary checklist.  Our maximum survey transect effort was 4.3 km length and 3.1 hrs time, so we restricted use of eBird samples to </w:t>
      </w:r>
      <w:r>
        <w:rPr>
          <w:rFonts w:cs="Times New Roman"/>
        </w:rPr>
        <w:t>≤</w:t>
      </w:r>
      <w:r>
        <w:rPr/>
        <w:t xml:space="preserve">4.3km and </w:t>
      </w:r>
      <w:r>
        <w:rPr>
          <w:rFonts w:cs="Times New Roman"/>
        </w:rPr>
        <w:t>≤</w:t>
      </w:r>
      <w:r>
        <w:rPr/>
        <w:t xml:space="preserve">3.1 hours to have comparable effort in all checklists.  When combining our survey data with eBird data for use in species distribution models, we used the point count center or the transect midpoint as the count location to have comparable precision to eBird coordinates </w:t>
      </w:r>
      <w:bookmarkStart w:id="29" w:name="ZOTERO_BREF_IWdHl68Vp4Ox"/>
      <w:r>
        <w:rPr>
          <w:rFonts w:cs="Times New Roman"/>
          <w:szCs w:val="24"/>
        </w:rPr>
        <w:t xml:space="preserve">(Fink </w:t>
      </w:r>
      <w:r>
        <w:rPr>
          <w:rFonts w:cs="Times New Roman"/>
          <w:i/>
          <w:iCs/>
          <w:szCs w:val="24"/>
        </w:rPr>
        <w:t>et al.</w:t>
      </w:r>
      <w:r>
        <w:rPr>
          <w:rFonts w:cs="Times New Roman"/>
          <w:szCs w:val="24"/>
        </w:rPr>
        <w:t xml:space="preserve"> 2010)</w:t>
      </w:r>
      <w:bookmarkEnd w:id="29"/>
      <w:r>
        <w:rPr>
          <w:rFonts w:cs="Times New Roman"/>
        </w:rPr>
        <w:t xml:space="preserve">.  </w:t>
      </w:r>
      <w:r>
        <w:rPr/>
        <w:t>We also only used survey sightings within 500 m of the point or transect for the species distribution models.  Because some observers entered sightings from before and during our surveys into eBird, we eliminated 14 counts from 2013 and 2014 that were within two hours of the actual survey start time and within 15 km of the survey start location.  For model evaluation data, we used datasets from 2011 and 2012.   These filters resulted in a training (2711) and evaluation (2711) dataset of 5423</w:t>
      </w:r>
      <w:r>
        <w:rPr>
          <w:szCs w:val="24"/>
        </w:rPr>
        <w:t xml:space="preserve"> complete checklists (158 transect sampling events, 614 point count sampling events, and 4651 eBird sampling events); this was split randomly by half for training and evaluation by each species using the </w:t>
      </w:r>
      <w:r>
        <w:rPr>
          <w:smallCaps/>
          <w:szCs w:val="24"/>
        </w:rPr>
        <w:t>caret</w:t>
      </w:r>
      <w:r>
        <w:rPr>
          <w:szCs w:val="24"/>
        </w:rPr>
        <w:t xml:space="preserve"> package </w:t>
      </w:r>
      <w:bookmarkStart w:id="30" w:name="ZOTERO_BREF_30ZlVo5Fc8bs"/>
      <w:r>
        <w:rPr>
          <w:rFonts w:cs="Times New Roman"/>
        </w:rPr>
        <w:t>(Kuhn 2017)</w:t>
      </w:r>
      <w:bookmarkEnd w:id="30"/>
      <w:r>
        <w:rPr>
          <w:szCs w:val="24"/>
        </w:rPr>
        <w:t xml:space="preserve"> createDataPartition function, which samples such that both training and evaluation splits have similar distributions of presence and absences.  The temporally independent evaluation dataset from 2011-2012 consisted of 2541 complete checklists.</w:t>
      </w:r>
    </w:p>
    <w:p>
      <w:pPr>
        <w:pStyle w:val="Heading2"/>
        <w:rPr/>
      </w:pPr>
      <w:r>
        <w:rPr/>
        <w:t>Predictors</w:t>
      </w:r>
    </w:p>
    <w:p>
      <w:pPr>
        <w:pStyle w:val="Normal"/>
        <w:rPr/>
      </w:pPr>
      <w:r>
        <w:rPr/>
        <w:t xml:space="preserve">We used climatic variables, conservation easement status </w:t>
      </w:r>
      <w:bookmarkStart w:id="31" w:name="ZOTERO_BREF_9niynEAxCF36"/>
      <w:r>
        <w:rPr>
          <w:rFonts w:cs="Times New Roman"/>
          <w:szCs w:val="24"/>
        </w:rPr>
        <w:t xml:space="preserve">(O’Connor </w:t>
      </w:r>
      <w:r>
        <w:rPr>
          <w:rFonts w:cs="Times New Roman"/>
          <w:i/>
          <w:iCs/>
          <w:szCs w:val="24"/>
        </w:rPr>
        <w:t>et al.</w:t>
      </w:r>
      <w:r>
        <w:rPr>
          <w:rFonts w:cs="Times New Roman"/>
          <w:szCs w:val="24"/>
        </w:rPr>
        <w:t xml:space="preserve"> 1999)</w:t>
      </w:r>
      <w:bookmarkEnd w:id="31"/>
      <w:r>
        <w:rPr/>
        <w:t>, and land cover variables to predict bird distribution (</w:t>
      </w:r>
      <w:r>
        <w:rPr/>
        <w:fldChar w:fldCharType="begin"/>
      </w:r>
      <w:r>
        <w:instrText> REF _Ref473812346 \h </w:instrText>
      </w:r>
      <w:r>
        <w:fldChar w:fldCharType="separate"/>
      </w:r>
      <w:r>
        <w:t>Table 1</w:t>
      </w:r>
      <w:r>
        <w:fldChar w:fldCharType="end"/>
      </w:r>
      <w:r>
        <w:rPr/>
        <w:t xml:space="preserve">).  We also used effort (length of observation in distance and time) and time of day.  Mean effort (distance and time) and time of day rasters were created for prediction, such that all predictions are created assuming effort that does not vary geographically and amounts of effort that are typical for both surveys and citizen science efforts in 2013 and 2014 (mean time: 0.73 hr; mean distance: 0.75 km).  The time of day raster for prediction was given a value of 7:00am (Fink et al. 2010).  Neighborhood predictors were calculated by the values in rectangular areas around each point, at the scale of 5 x 5 pixels (150 x 150 m) and 15 x 15 pixels (450 x 450 m) (Fink et al. 2010).  We looked at proportion of each land cover class and proportion of summed open space land covers (grasslands, hay/pasture, cropland, herbaceous wetlands, and barren land) since grassland bird occupancy can be influenced by the total non-structural cover (McDonald 2017).  Neighborhoods were created in QGIS 2.16 with the GRASS r.neighbors processing tool </w:t>
      </w:r>
      <w:bookmarkStart w:id="32" w:name="ZOTERO_BREF_vNfHWCk0TCCd"/>
      <w:r>
        <w:rPr>
          <w:rFonts w:cs="Times New Roman"/>
        </w:rPr>
        <w:t>(Quantum GIS Development Team 2016)</w:t>
      </w:r>
      <w:bookmarkEnd w:id="32"/>
      <w:r>
        <w:rPr>
          <w:rFonts w:cs="Times New Roman"/>
        </w:rPr>
        <w:t>.</w:t>
      </w:r>
    </w:p>
    <w:p>
      <w:pPr>
        <w:pStyle w:val="Normal"/>
        <w:rPr>
          <w:rFonts w:cs="Times New Roman"/>
        </w:rPr>
      </w:pPr>
      <w:r>
        <w:rPr/>
      </w:r>
    </w:p>
    <w:p>
      <w:pPr>
        <w:pStyle w:val="Normal"/>
        <w:rPr/>
      </w:pPr>
      <w:r>
        <w:rPr>
          <w:rFonts w:cs="Times New Roman"/>
        </w:rPr>
        <w:t xml:space="preserve">We chose only one climate model as the purpose of our climatic predictions is to give a range of estimates based on STEM scaling.  We used the HadGEM2-ES </w:t>
      </w:r>
      <w:bookmarkStart w:id="33" w:name="ZOTERO_BREF_shARBRTpOuNR"/>
      <w:r>
        <w:rPr>
          <w:rFonts w:cs="Times New Roman"/>
          <w:szCs w:val="24"/>
        </w:rPr>
        <w:t xml:space="preserve">(The HadGEM2 Development Team: G. M. Martin </w:t>
      </w:r>
      <w:r>
        <w:rPr>
          <w:rFonts w:cs="Times New Roman"/>
          <w:i/>
          <w:iCs/>
          <w:szCs w:val="24"/>
        </w:rPr>
        <w:t>et al.</w:t>
      </w:r>
      <w:r>
        <w:rPr>
          <w:rFonts w:cs="Times New Roman"/>
          <w:szCs w:val="24"/>
        </w:rPr>
        <w:t xml:space="preserve"> 2011)</w:t>
      </w:r>
      <w:bookmarkEnd w:id="33"/>
      <w:r>
        <w:rPr>
          <w:rFonts w:cs="Times New Roman"/>
          <w:szCs w:val="24"/>
        </w:rPr>
        <w:t xml:space="preserve"> </w:t>
      </w:r>
      <w:r>
        <w:rPr>
          <w:rFonts w:cs="Times New Roman"/>
        </w:rPr>
        <w:t>downscaled Bioclim rasters for an intermediate climate model (4.5).</w:t>
      </w:r>
    </w:p>
    <w:p>
      <w:pPr>
        <w:pStyle w:val="Normal"/>
        <w:rPr/>
      </w:pPr>
      <w:r>
        <w:rPr>
          <w:rFonts w:cs="Times New Roman"/>
        </w:rPr>
        <w:t xml:space="preserve">We created lower resolution </w:t>
      </w:r>
      <w:r>
        <w:rPr>
          <w:rFonts w:cs="Times New Roman"/>
        </w:rPr>
        <w:t>(4.3 x 4.3 km resolution, to match the maximum size of transects and data in our response variable)</w:t>
      </w:r>
      <w:r>
        <w:rPr>
          <w:rFonts w:cs="Times New Roman"/>
        </w:rPr>
        <w:t xml:space="preserve"> rasters using </w:t>
      </w:r>
      <w:r>
        <w:rPr>
          <w:rFonts w:cs="Times New Roman"/>
        </w:rPr>
        <w:t xml:space="preserve">the gdalwarp function in QGIS 2.16  </w:t>
      </w:r>
      <w:bookmarkStart w:id="34" w:name="ZOTERO_BREF_vNfHWCk0TCCd1"/>
      <w:r>
        <w:rPr>
          <w:rFonts w:cs="Times New Roman"/>
        </w:rPr>
        <w:t>(Quantum GIS Development Team 2016)</w:t>
      </w:r>
      <w:bookmarkEnd w:id="34"/>
      <w:r>
        <w:rPr>
          <w:rFonts w:cs="Times New Roman"/>
        </w:rPr>
        <w:t xml:space="preserve">.  Rasters were resampled using the “near” function which uses nearest neighbor </w:t>
      </w:r>
      <w:commentRangeStart w:id="1"/>
      <w:r>
        <w:rPr>
          <w:rFonts w:cs="Times New Roman"/>
        </w:rPr>
        <w:t xml:space="preserve">resampling </w:t>
      </w:r>
      <w:r>
        <w:rPr>
          <w:rFonts w:cs="Times New Roman"/>
        </w:rPr>
        <w:t>for categorical values and using “bilinear” which uses bilinear interpolation for continuous rasters</w:t>
      </w:r>
      <w:r>
        <w:rPr>
          <w:rFonts w:cs="Times New Roman"/>
        </w:rPr>
      </w:r>
      <w:commentRangeEnd w:id="1"/>
      <w:r>
        <w:commentReference w:id="1"/>
      </w:r>
      <w:r>
        <w:rPr>
          <w:rFonts w:cs="Times New Roman"/>
        </w:rPr>
        <w:t>.</w:t>
      </w:r>
    </w:p>
    <w:p>
      <w:pPr>
        <w:pStyle w:val="Normal"/>
        <w:rPr>
          <w:rFonts w:cs="Times New Roman"/>
        </w:rPr>
      </w:pPr>
      <w:r>
        <w:rPr/>
      </w:r>
    </w:p>
    <w:p>
      <w:pPr>
        <w:pStyle w:val="Normal"/>
        <w:rPr>
          <w:rFonts w:cs="Times New Roman"/>
        </w:rPr>
      </w:pPr>
      <w:r>
        <w:rPr/>
      </w:r>
    </w:p>
    <w:p>
      <w:pPr>
        <w:pStyle w:val="Heading2"/>
        <w:rPr/>
      </w:pPr>
      <w:r>
        <w:rPr/>
        <w:t>Current distribution</w:t>
      </w:r>
    </w:p>
    <w:p>
      <w:pPr>
        <w:pStyle w:val="Heading3"/>
        <w:rPr/>
      </w:pPr>
      <w:r>
        <w:rPr/>
        <w:t>Statewide species distribution model</w:t>
      </w:r>
    </w:p>
    <w:p>
      <w:pPr>
        <w:pStyle w:val="Normal"/>
        <w:rPr/>
      </w:pPr>
      <w:r>
        <w:rPr/>
        <w:t xml:space="preserve">All models were created using random forest classification trees </w:t>
      </w:r>
      <w:bookmarkStart w:id="35" w:name="ZOTERO_BREF_5rCFww384Pud"/>
      <w:r>
        <w:rPr>
          <w:rFonts w:cs="Times New Roman"/>
        </w:rPr>
        <w:t>(Breiman 2001)</w:t>
      </w:r>
      <w:bookmarkEnd w:id="35"/>
      <w:r>
        <w:rPr/>
        <w:t xml:space="preserve"> in the R package </w:t>
      </w:r>
      <w:r>
        <w:rPr>
          <w:smallCaps/>
        </w:rPr>
        <w:t>randomForest</w:t>
      </w:r>
      <w:r>
        <w:rPr/>
        <w:t xml:space="preserve"> </w:t>
      </w:r>
      <w:bookmarkStart w:id="36" w:name="ZOTERO_BREF_pd5Ye974f45q"/>
      <w:r>
        <w:rPr/>
        <w:t>(Liaw &amp; Wiener 2002)</w:t>
      </w:r>
      <w:bookmarkEnd w:id="36"/>
      <w:r>
        <w:rPr/>
        <w:t xml:space="preserve">.  Random forest gives results competitive to those from other machine learning techniques such as boosted regression trees and bagged decision trees (used in Fink et al. 2010 for the non-spatially-explicit comparison model).  Minimal tuning parameters are required </w:t>
      </w:r>
      <w:bookmarkStart w:id="37" w:name="ZOTERO_BREF_jobd4OBSj7FQ"/>
      <w:r>
        <w:rPr>
          <w:rFonts w:cs="Times New Roman"/>
          <w:szCs w:val="24"/>
        </w:rPr>
        <w:t xml:space="preserve">(Caruana &amp; Niculescu-Mizil 2006; Cutler </w:t>
      </w:r>
      <w:r>
        <w:rPr>
          <w:rFonts w:cs="Times New Roman"/>
          <w:i/>
          <w:iCs/>
          <w:szCs w:val="24"/>
        </w:rPr>
        <w:t>et al.</w:t>
      </w:r>
      <w:r>
        <w:rPr>
          <w:rFonts w:cs="Times New Roman"/>
          <w:szCs w:val="24"/>
        </w:rPr>
        <w:t xml:space="preserve"> 2007; Guo </w:t>
      </w:r>
      <w:r>
        <w:rPr>
          <w:rFonts w:cs="Times New Roman"/>
          <w:i/>
          <w:iCs/>
          <w:szCs w:val="24"/>
        </w:rPr>
        <w:t>et al.</w:t>
      </w:r>
      <w:r>
        <w:rPr>
          <w:rFonts w:cs="Times New Roman"/>
          <w:szCs w:val="24"/>
        </w:rPr>
        <w:t xml:space="preserve"> 2010)</w:t>
      </w:r>
      <w:bookmarkEnd w:id="37"/>
      <w:r>
        <w:rPr>
          <w:rFonts w:cs="Times New Roman"/>
        </w:rPr>
        <w:t>.  They are suitable for</w:t>
      </w:r>
      <w:r>
        <w:rPr/>
        <w:t xml:space="preserve"> species distribution models </w:t>
      </w:r>
      <w:bookmarkStart w:id="38" w:name="ZOTERO_BREF_fWQ8AkucADyu"/>
      <w:r>
        <w:rPr>
          <w:rFonts w:cs="Times New Roman"/>
          <w:szCs w:val="24"/>
        </w:rPr>
        <w:t xml:space="preserve">(Prasad, Iverson &amp; Liaw 2006; Lorena </w:t>
      </w:r>
      <w:r>
        <w:rPr>
          <w:rFonts w:cs="Times New Roman"/>
          <w:i/>
          <w:iCs/>
          <w:szCs w:val="24"/>
        </w:rPr>
        <w:t>et al.</w:t>
      </w:r>
      <w:r>
        <w:rPr>
          <w:rFonts w:cs="Times New Roman"/>
          <w:szCs w:val="24"/>
        </w:rPr>
        <w:t xml:space="preserve"> 2011)</w:t>
      </w:r>
      <w:bookmarkEnd w:id="38"/>
      <w:r>
        <w:rPr>
          <w:rFonts w:cs="Times New Roman"/>
        </w:rPr>
        <w:t xml:space="preserve"> and can use small sample sizes for presence records </w:t>
      </w:r>
      <w:bookmarkStart w:id="39" w:name="ZOTERO_BREF_GJQOjH9xTxr9"/>
      <w:r>
        <w:rPr>
          <w:rFonts w:cs="Times New Roman"/>
          <w:szCs w:val="24"/>
        </w:rPr>
        <w:t xml:space="preserve">(Mi </w:t>
      </w:r>
      <w:r>
        <w:rPr>
          <w:rFonts w:cs="Times New Roman"/>
          <w:i/>
          <w:iCs/>
          <w:szCs w:val="24"/>
        </w:rPr>
        <w:t>et al.</w:t>
      </w:r>
      <w:r>
        <w:rPr>
          <w:rFonts w:cs="Times New Roman"/>
          <w:szCs w:val="24"/>
        </w:rPr>
        <w:t xml:space="preserve"> 2017)</w:t>
      </w:r>
      <w:bookmarkEnd w:id="39"/>
      <w:r>
        <w:rPr>
          <w:rFonts w:cs="Times New Roman"/>
        </w:rPr>
        <w:t>.</w:t>
      </w:r>
      <w:r>
        <w:rPr/>
        <w:t xml:space="preserve">  The random forest algorithm bootstraps a subset of the data using only a set proportion of the predictor variables.  It then calculates the error rate on training data using the “out of bag” sample (the portion of data not used in the bootstrap for each tree) </w:t>
      </w:r>
      <w:bookmarkStart w:id="40" w:name="ZOTERO_BREF_dCRgefA0cOyI"/>
      <w:r>
        <w:rPr>
          <w:rFonts w:cs="Times New Roman"/>
        </w:rPr>
        <w:t>(Hastie, Tibshirani &amp; Friedman 2001)</w:t>
      </w:r>
      <w:bookmarkEnd w:id="40"/>
      <w:r>
        <w:rPr/>
        <w:t xml:space="preserve">. The trees are then averaged for a final model.  The use of only some variables in each bootstrapped tree allows estimation of variable importance.  A random forest model was created for the statewide scale for each species using all training data, with a prediction raster created using the predict function in the R package </w:t>
      </w:r>
      <w:r>
        <w:rPr>
          <w:smallCaps/>
        </w:rPr>
        <w:t>raster</w:t>
      </w:r>
      <w:r>
        <w:rPr/>
        <w:t xml:space="preserve"> </w:t>
      </w:r>
      <w:bookmarkStart w:id="41" w:name="ZOTERO_BREF_7OW9GjKF4L60"/>
      <w:r>
        <w:rPr/>
        <w:t>(Hijmans 2016)</w:t>
      </w:r>
      <w:bookmarkEnd w:id="41"/>
      <w:r>
        <w:rPr/>
        <w:t xml:space="preserve">.  All random forests (including those in later models) were generated with 500 trees which is generally suitable for stable, accurate trees </w:t>
      </w:r>
      <w:bookmarkStart w:id="42" w:name="ZOTERO_BREF_A7wWbdo2nRH5"/>
      <w:r>
        <w:rPr>
          <w:rFonts w:cs="Times New Roman"/>
          <w:szCs w:val="24"/>
        </w:rPr>
        <w:t xml:space="preserve">(Cutler </w:t>
      </w:r>
      <w:r>
        <w:rPr>
          <w:rFonts w:cs="Times New Roman"/>
          <w:i/>
          <w:iCs/>
          <w:szCs w:val="24"/>
        </w:rPr>
        <w:t>et al.</w:t>
      </w:r>
      <w:r>
        <w:rPr>
          <w:rFonts w:cs="Times New Roman"/>
          <w:szCs w:val="24"/>
        </w:rPr>
        <w:t xml:space="preserve"> 2007)</w:t>
      </w:r>
      <w:bookmarkEnd w:id="42"/>
      <w:r>
        <w:rPr/>
        <w:t xml:space="preserve">.  We used the default number of variables per bootstrap tree (default ‘mtry’=the square root of the number of predictor variables) for all trees because this is known to result in accurate predictions </w:t>
      </w:r>
      <w:bookmarkStart w:id="43" w:name="ZOTERO_BREF_H1IP98pGQmVh"/>
      <w:r>
        <w:rPr/>
        <w:t>(Cutler et al. 2007)</w:t>
      </w:r>
      <w:bookmarkEnd w:id="43"/>
      <w:r>
        <w:rPr/>
        <w:t xml:space="preserve">.  </w:t>
      </w:r>
    </w:p>
    <w:p>
      <w:pPr>
        <w:pStyle w:val="Normal"/>
        <w:rPr/>
      </w:pPr>
      <w:r>
        <w:rPr/>
        <w:t xml:space="preserve">To determine which predictors were important in current species distributions, for each species we ranked variables using the statewide model.  We used the mean decrease in accuracy given by </w:t>
      </w:r>
      <w:r>
        <w:rPr>
          <w:smallCaps/>
        </w:rPr>
        <w:t>randomForest</w:t>
      </w:r>
      <w:r>
        <w:rPr/>
        <w:t xml:space="preserve"> R package to rank variable importance.  Mean decrease in accuracy (unscaled) with no sampling replaced is the least biased variable importance selection method available in </w:t>
      </w:r>
      <w:r>
        <w:rPr>
          <w:smallCaps/>
        </w:rPr>
        <w:t xml:space="preserve">randomForest </w:t>
      </w:r>
      <w:bookmarkStart w:id="44" w:name="ZOTERO_BREF_81BrQr2Uvx5O"/>
      <w:r>
        <w:rPr>
          <w:rFonts w:cs="Times New Roman"/>
          <w:szCs w:val="24"/>
        </w:rPr>
        <w:t xml:space="preserve">(Strobl </w:t>
      </w:r>
      <w:r>
        <w:rPr>
          <w:rFonts w:cs="Times New Roman"/>
          <w:i/>
          <w:iCs/>
          <w:szCs w:val="24"/>
        </w:rPr>
        <w:t>et al.</w:t>
      </w:r>
      <w:r>
        <w:rPr>
          <w:rFonts w:cs="Times New Roman"/>
          <w:szCs w:val="24"/>
        </w:rPr>
        <w:t xml:space="preserve"> 2007)</w:t>
      </w:r>
      <w:bookmarkEnd w:id="44"/>
      <w:r>
        <w:rPr/>
        <w:t xml:space="preserve"> We created partial dependence plots of the top variables for each statewide model to show how each variable increases or decreases probability of presence </w:t>
      </w:r>
      <w:bookmarkStart w:id="45" w:name="ZOTERO_BREF_2ki3NFcpkmuC"/>
      <w:r>
        <w:rPr>
          <w:rFonts w:cs="Times New Roman"/>
          <w:szCs w:val="24"/>
        </w:rPr>
        <w:t xml:space="preserve">(Hastie, Tibshirani &amp; Friedman 2001; Cutler </w:t>
      </w:r>
      <w:r>
        <w:rPr>
          <w:rFonts w:cs="Times New Roman"/>
          <w:i/>
          <w:iCs/>
          <w:szCs w:val="24"/>
        </w:rPr>
        <w:t>et al.</w:t>
      </w:r>
      <w:r>
        <w:rPr>
          <w:rFonts w:cs="Times New Roman"/>
          <w:szCs w:val="24"/>
        </w:rPr>
        <w:t xml:space="preserve"> 2007)</w:t>
      </w:r>
      <w:bookmarkEnd w:id="45"/>
      <w:r>
        <w:rPr/>
        <w:t xml:space="preserve">.  Variable importance can be measured more accurately in other packages at the expense of computational power </w:t>
      </w:r>
      <w:bookmarkStart w:id="46" w:name="ZOTERO_BREF_VJUThwrNDszE"/>
      <w:r>
        <w:rPr>
          <w:rFonts w:cs="Times New Roman"/>
          <w:szCs w:val="24"/>
        </w:rPr>
        <w:t xml:space="preserve">(Strobl </w:t>
      </w:r>
      <w:r>
        <w:rPr>
          <w:rFonts w:cs="Times New Roman"/>
          <w:i/>
          <w:iCs/>
          <w:szCs w:val="24"/>
        </w:rPr>
        <w:t>et al.</w:t>
      </w:r>
      <w:r>
        <w:rPr>
          <w:rFonts w:cs="Times New Roman"/>
          <w:szCs w:val="24"/>
        </w:rPr>
        <w:t xml:space="preserve"> 2007)</w:t>
      </w:r>
      <w:bookmarkEnd w:id="46"/>
      <w:r>
        <w:rPr>
          <w:rFonts w:cs="Times New Roman"/>
        </w:rPr>
        <w:t xml:space="preserve">, so we tested variable importance again in the </w:t>
      </w:r>
      <w:r>
        <w:rPr>
          <w:rFonts w:cs="Times New Roman"/>
          <w:smallCaps/>
        </w:rPr>
        <w:t>party</w:t>
      </w:r>
      <w:r>
        <w:rPr>
          <w:rFonts w:cs="Times New Roman"/>
        </w:rPr>
        <w:t xml:space="preserve"> package </w:t>
      </w:r>
      <w:bookmarkStart w:id="47" w:name="ZOTERO_BREF_GBnfUuyFbane"/>
      <w:r>
        <w:rPr>
          <w:rFonts w:cs="Times New Roman"/>
          <w:szCs w:val="24"/>
        </w:rPr>
        <w:t xml:space="preserve">(Strobl </w:t>
      </w:r>
      <w:r>
        <w:rPr>
          <w:rFonts w:cs="Times New Roman"/>
          <w:i/>
          <w:iCs/>
          <w:szCs w:val="24"/>
        </w:rPr>
        <w:t>et al.</w:t>
      </w:r>
      <w:r>
        <w:rPr>
          <w:rFonts w:cs="Times New Roman"/>
          <w:szCs w:val="24"/>
        </w:rPr>
        <w:t xml:space="preserve"> 2007, 2008)</w:t>
      </w:r>
      <w:bookmarkEnd w:id="47"/>
      <w:r>
        <w:rPr/>
        <w:t xml:space="preserve">.  Due to the substantial increase in raster prediction time, we were unable to create predict rasters with cforest() in </w:t>
      </w:r>
      <w:r>
        <w:rPr>
          <w:rFonts w:cs="Times New Roman"/>
          <w:smallCaps/>
        </w:rPr>
        <w:t>party</w:t>
      </w:r>
      <w:r>
        <w:rPr/>
        <w:t>, but this allowed us to compare variable importance in an unbiased manner with the multiple measurements scales of our rasters.</w:t>
      </w:r>
    </w:p>
    <w:p>
      <w:pPr>
        <w:pStyle w:val="Heading2"/>
        <w:rPr/>
      </w:pPr>
      <w:r>
        <w:rPr/>
        <w:t>Spatially explicit model accuracy and computational time</w:t>
      </w:r>
    </w:p>
    <w:p>
      <w:pPr>
        <w:pStyle w:val="Normal"/>
        <w:rPr/>
      </w:pPr>
      <w:r>
        <w:rPr/>
        <w:t>To model current species distributions based on our predictors, we created four models for each species at varying spatial scales: the previous statewide model and three spatially explicit ensemble models.  The statewide model allowed use to compare the performance of the more computationally intense STEMs.  The remaining models are three STEMs at varying support set scales, with some modifications from Fink et al. (2010).  These locally dynamic models should provide more accurate maps than the statewide model for predicting species distribution both currently and in the future.  Because they consist of numerous models (each which could generate its own set of variable importance rankings), they are too complex to use for variable importance ranking without a focal subregion.  It is typical that models</w:t>
      </w:r>
      <w:r>
        <w:rPr>
          <w:rFonts w:cs="Times New Roman"/>
        </w:rPr>
        <w:t xml:space="preserve"> with increasing local accuracy are</w:t>
      </w:r>
      <w:r>
        <w:rPr/>
        <w:t xml:space="preserve"> harder to interpret (because more accurate methods are often not very transparent) and generalize (because they typically fit the training dataset very well without regards to its ability to extrapolate) </w:t>
      </w:r>
      <w:bookmarkStart w:id="48" w:name="ZOTERO_BREF_OpVbqbqPixMQ"/>
      <w:r>
        <w:rPr>
          <w:rFonts w:cs="Times New Roman"/>
          <w:szCs w:val="24"/>
        </w:rPr>
        <w:t xml:space="preserve">(James </w:t>
      </w:r>
      <w:r>
        <w:rPr>
          <w:rFonts w:cs="Times New Roman"/>
          <w:i/>
          <w:iCs/>
          <w:szCs w:val="24"/>
        </w:rPr>
        <w:t>et al.</w:t>
      </w:r>
      <w:r>
        <w:rPr>
          <w:rFonts w:cs="Times New Roman"/>
          <w:szCs w:val="24"/>
        </w:rPr>
        <w:t xml:space="preserve"> 2013)</w:t>
      </w:r>
      <w:bookmarkEnd w:id="48"/>
      <w:r>
        <w:rPr/>
        <w:t>.  With the diverse habitats and climatic variables found across Oklahoma, the models created by an ensemble of regional support sets should provide better predictions than the statewide model because the regional support sets will allow regional differences in important variables for prediction.  Using both the statewide and spatially-explicit models give us complementary information on factors affecting species distribution in Oklahoma in addition to testing the usefulness of STEMs at this scale.</w:t>
      </w:r>
    </w:p>
    <w:p>
      <w:pPr>
        <w:pStyle w:val="Normal"/>
        <w:rPr/>
      </w:pPr>
      <w:r>
        <w:rPr/>
        <w:t xml:space="preserve">We adapted the STEM approach for our study in several ways.  First, the scale of our support sets reflects the state extent (i.e. our small, medium, and large scales are relatively smaller than those needed for a continent-wide scale).  As our survey goals are to determine breeding distribution only, we used a broader temporal window (April-July in all years) for our model (unlike Fink et al. 2010, who used single date windows).  Secondly, for all base models, we used random forest classification trees </w:t>
      </w:r>
      <w:bookmarkStart w:id="49" w:name="ZOTERO_BREF_ZscdnICVuzpD"/>
      <w:r>
        <w:rPr>
          <w:rFonts w:cs="Times New Roman"/>
        </w:rPr>
        <w:t>(Breiman 2001)</w:t>
      </w:r>
      <w:bookmarkEnd w:id="49"/>
      <w:r>
        <w:rPr>
          <w:rFonts w:cs="Times New Roman"/>
        </w:rPr>
        <w:t xml:space="preserve"> as described above</w:t>
      </w:r>
      <w:r>
        <w:rPr/>
        <w:t>.  Finally, our geographic sampling of the training and evaluation datasets, described in more detail in the next paragraph, reflects the differing nature of our base models.  Fink et al. (2010) sample 63% of each support set to imitate bootstrapping sampling, but because each support set is being bootstrapped by the random forest algorithm, we used the full support set for each region.</w:t>
      </w:r>
    </w:p>
    <w:p>
      <w:pPr>
        <w:pStyle w:val="Normal"/>
        <w:rPr/>
      </w:pPr>
      <w:r>
        <w:rPr/>
        <w:t xml:space="preserve">For the spatially explicit models, we created stratified random points in the study area (with the spsample function from the R package </w:t>
      </w:r>
      <w:r>
        <w:rPr>
          <w:smallCaps/>
        </w:rPr>
        <w:t>sp</w:t>
      </w:r>
      <w:r>
        <w:rPr/>
        <w:t xml:space="preserve"> </w:t>
      </w:r>
      <w:bookmarkStart w:id="50" w:name="ZOTERO_BREF_u9Xr16IjnHfI"/>
      <w:r>
        <w:rPr/>
        <w:t>(Pebesma &amp; Bivand 2005; Bivand, Pebesma &amp; Gomez-Rubio 2013)</w:t>
      </w:r>
      <w:bookmarkEnd w:id="50"/>
      <w:r>
        <w:rPr/>
        <w:t xml:space="preserve"> and created a square of size small (100 points with 120 x 120 km), medium (37 points with 200 x 200 km), or large (12 points with 450 x 450 km) around these points, which resulted in no significant difference in pixel coverage (F</w:t>
      </w:r>
      <w:r>
        <w:rPr>
          <w:vertAlign w:val="subscript"/>
        </w:rPr>
        <w:t>2,147</w:t>
      </w:r>
      <w:r>
        <w:rPr/>
        <w:t xml:space="preserve">=0.63, p=0.53) before removing support sets with too few checklists.  Each support set included all checklists from the training dataset located within its boundaries.  The support set was discarded if it contained fewer than 25 checklists or did not contain both presences and absences (as the trees models failed in these conditions).  We used the same random forest settings and created a prediction raster for each support set as for the statewide model.  All support set rasters for a given scale (small, medium, or large) were stacked using the </w:t>
      </w:r>
      <w:r>
        <w:rPr>
          <w:smallCaps/>
        </w:rPr>
        <w:t>raster</w:t>
      </w:r>
      <w:r>
        <w:rPr/>
        <w:t xml:space="preserve"> mosaic() function to get the mean value of each pixel, creating the spatially explicit ensemble </w:t>
      </w:r>
      <w:bookmarkStart w:id="51" w:name="ZOTERO_BREF_QNkAEEJJMegJ"/>
      <w:r>
        <w:rPr>
          <w:rFonts w:cs="Times New Roman"/>
          <w:szCs w:val="24"/>
        </w:rPr>
        <w:t xml:space="preserve">(Hastie, Tibshirani &amp; Friedman 2001; Fink </w:t>
      </w:r>
      <w:r>
        <w:rPr>
          <w:rFonts w:cs="Times New Roman"/>
          <w:i/>
          <w:iCs/>
          <w:szCs w:val="24"/>
        </w:rPr>
        <w:t>et al.</w:t>
      </w:r>
      <w:r>
        <w:rPr>
          <w:rFonts w:cs="Times New Roman"/>
          <w:szCs w:val="24"/>
        </w:rPr>
        <w:t xml:space="preserve"> 2010; Oppel </w:t>
      </w:r>
      <w:r>
        <w:rPr>
          <w:rFonts w:cs="Times New Roman"/>
          <w:i/>
          <w:iCs/>
          <w:szCs w:val="24"/>
        </w:rPr>
        <w:t>et al.</w:t>
      </w:r>
      <w:r>
        <w:rPr>
          <w:rFonts w:cs="Times New Roman"/>
          <w:szCs w:val="24"/>
        </w:rPr>
        <w:t xml:space="preserve"> 2012)</w:t>
      </w:r>
      <w:bookmarkEnd w:id="51"/>
      <w:r>
        <w:rPr>
          <w:rFonts w:cs="Times New Roman"/>
        </w:rPr>
        <w:t xml:space="preserve"> made of many regional random forest predictions</w:t>
      </w:r>
      <w:r>
        <w:rPr/>
        <w:t>.  This process was repeated at the three support set spatial scales, resulting in three spatially explicit, stacked ensembles per species for current distribution.</w:t>
      </w:r>
    </w:p>
    <w:p>
      <w:pPr>
        <w:pStyle w:val="Normal"/>
        <w:rPr/>
      </w:pPr>
      <w:r>
        <w:rPr/>
        <w:t>The statewide model was trained with the full training set (5423</w:t>
      </w:r>
      <w:r>
        <w:rPr>
          <w:szCs w:val="24"/>
        </w:rPr>
        <w:t xml:space="preserve"> </w:t>
      </w:r>
      <w:r>
        <w:rPr/>
        <w:t>checklists, as described previously).  We tested the current distribution models with eBird data from 2011 and 2012 (</w:t>
      </w:r>
      <w:r>
        <w:rPr>
          <w:szCs w:val="24"/>
        </w:rPr>
        <w:t xml:space="preserve">2541 </w:t>
      </w:r>
      <w:r>
        <w:rPr/>
        <w:t xml:space="preserve">checklists, as described previously), sampled repeatedly for spatial uniformity (see below).  Using data from different years results in a more accurate evaluation of whether the model generalizes well beyond its training timeframe </w:t>
      </w:r>
      <w:bookmarkStart w:id="52" w:name="ZOTERO_BREF_vK8DkbSGbzaL"/>
      <w:r>
        <w:rPr>
          <w:rFonts w:cs="Times New Roman"/>
          <w:szCs w:val="24"/>
        </w:rPr>
        <w:t xml:space="preserve">(Araújo &amp; Guisan 2006; Cutler </w:t>
      </w:r>
      <w:r>
        <w:rPr>
          <w:rFonts w:cs="Times New Roman"/>
          <w:i/>
          <w:iCs/>
          <w:szCs w:val="24"/>
        </w:rPr>
        <w:t>et al.</w:t>
      </w:r>
      <w:r>
        <w:rPr>
          <w:rFonts w:cs="Times New Roman"/>
          <w:szCs w:val="24"/>
        </w:rPr>
        <w:t xml:space="preserve"> 2007)</w:t>
      </w:r>
      <w:bookmarkEnd w:id="52"/>
      <w:r>
        <w:rPr>
          <w:rFonts w:cs="Times New Roman"/>
        </w:rPr>
        <w:t xml:space="preserve">.  </w:t>
      </w:r>
      <w:r>
        <w:rPr/>
        <w:t xml:space="preserve">To evaluate model performance and choose between the four models for each species, we tested the models on the temporally independent evaluation dataset.  To ensure spatially uniform testing </w:t>
      </w:r>
      <w:bookmarkStart w:id="53" w:name="ZOTERO_BREF_NPLDTYXUJg63"/>
      <w:r>
        <w:rPr>
          <w:rFonts w:cs="Times New Roman"/>
          <w:szCs w:val="24"/>
        </w:rPr>
        <w:t xml:space="preserve">(Fink </w:t>
      </w:r>
      <w:r>
        <w:rPr>
          <w:rFonts w:cs="Times New Roman"/>
          <w:i/>
          <w:iCs/>
          <w:szCs w:val="24"/>
        </w:rPr>
        <w:t>et al.</w:t>
      </w:r>
      <w:r>
        <w:rPr>
          <w:rFonts w:cs="Times New Roman"/>
          <w:szCs w:val="24"/>
        </w:rPr>
        <w:t xml:space="preserve"> 2010)</w:t>
      </w:r>
      <w:bookmarkEnd w:id="53"/>
      <w:r>
        <w:rPr/>
        <w:t>, we created a statewide grid of 10 x 10 km cells.  We randomly sampled no more than 10 observations from each grid cell in the evaluation dataset.  We repeated the spatial sampling procedure randomly 50 times to get a distribution of performance for each model (Fink et al. 2010).  We did this twice; once with the same year (2013-2014) evaluation dataset and again with the different year (2011-2012) evaluation dataset.</w:t>
      </w:r>
    </w:p>
    <w:p>
      <w:pPr>
        <w:pStyle w:val="Normal"/>
        <w:rPr/>
      </w:pPr>
      <w:r>
        <w:rPr/>
        <w:t xml:space="preserve">We tested four models in this way for each species and noted the scale (small, medium, large, statewide) with best performance measures for each species.  Performance measures were root mean square error (RMSE) and area under the receiver operating curve (AUC).  RMSE is calculated from the model residuals, taking the squared value of observed minus expected values, then taking the square root to return to original units; thus a larger value indicates the model deviates farther from expected values </w:t>
      </w:r>
      <w:bookmarkStart w:id="54" w:name="ZOTERO_BREF_mZOOz5aMM13q"/>
      <w:r>
        <w:rPr>
          <w:rFonts w:cs="Times New Roman"/>
        </w:rPr>
        <w:t>(Kuhn &amp; Johnson 2013)</w:t>
      </w:r>
      <w:bookmarkEnd w:id="54"/>
      <w:r>
        <w:rPr/>
        <w:t xml:space="preserve">.  AUC is a summary of model performance measuring how often the model misclassifies individual test observations; AUC ranges from 0 to 1, with 1 being perfect and 0.5 being a model that performs no better than random chance </w:t>
      </w:r>
      <w:bookmarkStart w:id="55" w:name="ZOTERO_BREF_cyrlmEvnOwCJ"/>
      <w:r>
        <w:rPr>
          <w:rFonts w:cs="Times New Roman"/>
          <w:szCs w:val="24"/>
        </w:rPr>
        <w:t xml:space="preserve">(Hanley &amp; McNeil 1982; James </w:t>
      </w:r>
      <w:r>
        <w:rPr>
          <w:rFonts w:cs="Times New Roman"/>
          <w:i/>
          <w:iCs/>
          <w:szCs w:val="24"/>
        </w:rPr>
        <w:t>et al.</w:t>
      </w:r>
      <w:r>
        <w:rPr>
          <w:rFonts w:cs="Times New Roman"/>
          <w:szCs w:val="24"/>
        </w:rPr>
        <w:t xml:space="preserve"> 2013)</w:t>
      </w:r>
      <w:bookmarkEnd w:id="55"/>
      <w:r>
        <w:rPr/>
        <w:t>.</w:t>
      </w:r>
    </w:p>
    <w:p>
      <w:pPr>
        <w:pStyle w:val="Normal"/>
        <w:rPr/>
      </w:pPr>
      <w:r>
        <w:rPr/>
        <w:t xml:space="preserve">Finally, to compare times to create trees and models, we used the R package </w:t>
      </w:r>
      <w:r>
        <w:rPr>
          <w:smallCaps/>
        </w:rPr>
        <w:t>microbenchmark</w:t>
      </w:r>
      <w:r>
        <w:rPr/>
        <w:t xml:space="preserve"> to measure the time to run for each of the four models of the 11 species, resulting in 11 samples in each of the four model scales to compare computing efficiency.  The time included all </w:t>
      </w:r>
      <w:r>
        <w:rPr>
          <w:smallCaps/>
        </w:rPr>
        <w:t>randomForest</w:t>
      </w:r>
      <w:r>
        <w:rPr/>
        <w:t xml:space="preserve"> trees and the </w:t>
      </w:r>
      <w:r>
        <w:rPr>
          <w:smallCaps/>
        </w:rPr>
        <w:t>raster</w:t>
      </w:r>
      <w:r>
        <w:rPr/>
        <w:t xml:space="preserve"> prediction.  We included the mosaic creation time for the ensembles.  We used linear mixed models to compare means for species of both error types for both years, with scale as the fixed effect and species as the random effect.</w:t>
      </w:r>
    </w:p>
    <w:p>
      <w:pPr>
        <w:pStyle w:val="Heading2"/>
        <w:rPr/>
      </w:pPr>
      <w:r>
        <w:rPr/>
        <w:t>Variation in future distribution predictions with use of STEM</w:t>
      </w:r>
    </w:p>
    <w:p>
      <w:pPr>
        <w:pStyle w:val="Normal"/>
        <w:rPr/>
      </w:pPr>
      <w:r>
        <w:rPr/>
        <w:t>We used the future models to test how much variation in range predictions is caused by the use of statewide versus spatiotemporally explicit models.  We estimated percent loss of range area from the comparable-scale (statewide, small, medium, large) current distribution.  As in previous models, species was included as a random effect.</w:t>
      </w:r>
    </w:p>
    <w:p>
      <w:pPr>
        <w:pStyle w:val="Heading1"/>
        <w:rPr/>
      </w:pPr>
      <w:r>
        <w:rPr/>
        <w:t>Results</w:t>
      </w:r>
    </w:p>
    <w:p>
      <w:pPr>
        <w:pStyle w:val="Heading2"/>
        <w:rPr/>
      </w:pPr>
      <w:r>
        <w:rPr/>
        <w:t>Current distribution</w:t>
      </w:r>
    </w:p>
    <w:p>
      <w:pPr>
        <w:pStyle w:val="Normal"/>
        <w:rPr/>
      </w:pPr>
      <w:r>
        <w:rPr/>
        <w:t>Current statewide distributions are shown in panel (a) of Figs. 1-4 and Figs. S1-7.  The top 10 important variables (as ranked by the cforest tree implementation) are shown with partial dependence plots (based on the randomForest implementation) in Fig. S8-18.</w:t>
      </w:r>
    </w:p>
    <w:p>
      <w:pPr>
        <w:pStyle w:val="Heading2"/>
        <w:rPr/>
      </w:pPr>
      <w:r>
        <w:rPr/>
        <w:t>Spatially explicit model accuracy and computational time</w:t>
      </w:r>
    </w:p>
    <w:p>
      <w:pPr>
        <w:pStyle w:val="Normal"/>
        <w:rPr/>
      </w:pPr>
      <w:r>
        <w:rPr/>
        <w:t>Small (β=23.31±1.28, df</w:t>
      </w:r>
      <w:r>
        <w:rPr>
          <w:rFonts w:cs="Times New Roman"/>
        </w:rPr>
        <w:t xml:space="preserve">=30, t=18.16, </w:t>
      </w:r>
      <w:r>
        <w:rPr>
          <w:rFonts w:cs="Times New Roman"/>
          <w:i/>
        </w:rPr>
        <w:t>P</w:t>
      </w:r>
      <w:r>
        <w:rPr>
          <w:rFonts w:cs="Times New Roman"/>
        </w:rPr>
        <w:t>&lt;0.001</w:t>
      </w:r>
      <w:r>
        <w:rPr/>
        <w:t>), medium (β=20.04±1.28, df</w:t>
      </w:r>
      <w:r>
        <w:rPr>
          <w:rFonts w:cs="Times New Roman"/>
        </w:rPr>
        <w:t xml:space="preserve"> =30, t=15.62, </w:t>
      </w:r>
      <w:r>
        <w:rPr>
          <w:rFonts w:cs="Times New Roman"/>
          <w:i/>
        </w:rPr>
        <w:t>P</w:t>
      </w:r>
      <w:r>
        <w:rPr>
          <w:rFonts w:cs="Times New Roman"/>
        </w:rPr>
        <w:t>&lt;0.001</w:t>
      </w:r>
      <w:r>
        <w:rPr/>
        <w:t>), and large (β=16.84±1.28, df</w:t>
      </w:r>
      <w:r>
        <w:rPr>
          <w:rFonts w:cs="Times New Roman"/>
        </w:rPr>
        <w:t xml:space="preserve"> =30, t=13.12, </w:t>
      </w:r>
      <w:r>
        <w:rPr>
          <w:rFonts w:cs="Times New Roman"/>
          <w:i/>
        </w:rPr>
        <w:t>P</w:t>
      </w:r>
      <w:r>
        <w:rPr>
          <w:rFonts w:cs="Times New Roman"/>
        </w:rPr>
        <w:t>&lt;0.001</w:t>
      </w:r>
      <w:r>
        <w:rPr/>
        <w:t>) models took half a day to a day longer than statewide models to run.  As computing times vary between machines, this means that used scaled models can take 2.7-12.7 times longer than a statewide model depending on species.</w:t>
      </w:r>
    </w:p>
    <w:p>
      <w:pPr>
        <w:pStyle w:val="Normal"/>
        <w:rPr/>
      </w:pPr>
      <w:r>
        <w:rPr/>
        <w:t>When accuracy was compared to runtimes, there were not significant relationships for AUC in same years (Fig. 5a; β=-0.00011±0.00013, df</w:t>
      </w:r>
      <w:r>
        <w:rPr>
          <w:rFonts w:cs="Times New Roman"/>
        </w:rPr>
        <w:t xml:space="preserve"> =32.01, t=-0.871, </w:t>
      </w:r>
      <w:r>
        <w:rPr>
          <w:rFonts w:cs="Times New Roman"/>
          <w:i/>
        </w:rPr>
        <w:t>P</w:t>
      </w:r>
      <w:r>
        <w:rPr>
          <w:rFonts w:cs="Times New Roman"/>
        </w:rPr>
        <w:t>=0.39</w:t>
      </w:r>
      <w:r>
        <w:rPr/>
        <w:t>), AUC in different years (Fig. 5b; β=-0.000049±0.00013, df</w:t>
      </w:r>
      <w:r>
        <w:rPr>
          <w:rFonts w:cs="Times New Roman"/>
        </w:rPr>
        <w:t xml:space="preserve"> =32.08, t=-0.374, </w:t>
      </w:r>
      <w:r>
        <w:rPr>
          <w:rFonts w:cs="Times New Roman"/>
          <w:i/>
        </w:rPr>
        <w:t>P</w:t>
      </w:r>
      <w:r>
        <w:rPr>
          <w:rFonts w:cs="Times New Roman"/>
        </w:rPr>
        <w:t>=0.71</w:t>
      </w:r>
      <w:r>
        <w:rPr/>
        <w:t>), or RMSE in same years (Fig. 5c; β=0.00025±0.00013, df</w:t>
      </w:r>
      <w:r>
        <w:rPr>
          <w:rFonts w:cs="Times New Roman"/>
        </w:rPr>
        <w:t xml:space="preserve"> =32.01, t=1.94, </w:t>
      </w:r>
      <w:r>
        <w:rPr>
          <w:rFonts w:cs="Times New Roman"/>
          <w:i/>
        </w:rPr>
        <w:t>P</w:t>
      </w:r>
      <w:r>
        <w:rPr>
          <w:rFonts w:cs="Times New Roman"/>
        </w:rPr>
        <w:t>=0.062</w:t>
      </w:r>
      <w:r>
        <w:rPr/>
        <w:t>).  RMSE increased with longer runtime for different year evaluations (Fig. 5d; β=0.00026±0.000091, df</w:t>
      </w:r>
      <w:r>
        <w:rPr>
          <w:rFonts w:cs="Times New Roman"/>
        </w:rPr>
        <w:t xml:space="preserve"> =32.03, t=2.89, </w:t>
      </w:r>
      <w:r>
        <w:rPr>
          <w:rFonts w:cs="Times New Roman"/>
          <w:i/>
        </w:rPr>
        <w:t>P</w:t>
      </w:r>
      <w:r>
        <w:rPr>
          <w:rFonts w:cs="Times New Roman"/>
        </w:rPr>
        <w:t>=0.0068</w:t>
      </w:r>
      <w:r>
        <w:rPr/>
        <w:t>).</w:t>
      </w:r>
    </w:p>
    <w:p>
      <w:pPr>
        <w:pStyle w:val="Normal"/>
        <w:rPr/>
      </w:pPr>
      <w:r>
        <w:rPr/>
        <w:t>When examined by species, statewide models were usually more accurate, with less error than the scaled models (Table 3).  Only three species had any evaluation measures better for non-statewide models.  Northern Bobwhite (Fig. 1) had lower RMSE for medium models, but performed better with AUC for statewide models.  Western Meadowlark (Fig. 3) had higher AUC for same-year evaluation large models.  Brown-headed Cowbird (Fig. 4) had higher AUC for small models and lower RMSE for medium models (Table 3).  The remaining species had equal or significantly better performance with statewide models relative to the scale models.  All species’ distributions were predicted more accurately with data from the same years than with data from previous years for both AUC (β=0.35±0.011, df</w:t>
      </w:r>
      <w:r>
        <w:rPr>
          <w:rFonts w:cs="Times New Roman"/>
        </w:rPr>
        <w:t xml:space="preserve"> =76, t=31.64, </w:t>
      </w:r>
      <w:r>
        <w:rPr>
          <w:rFonts w:cs="Times New Roman"/>
          <w:i/>
        </w:rPr>
        <w:t>P</w:t>
      </w:r>
      <w:r>
        <w:rPr>
          <w:rFonts w:cs="Times New Roman"/>
        </w:rPr>
        <w:t>&lt;0.0001</w:t>
      </w:r>
      <w:r>
        <w:rPr/>
        <w:t>) and RMSE (β=-0.06±0.0063, df</w:t>
      </w:r>
      <w:r>
        <w:rPr>
          <w:rFonts w:cs="Times New Roman"/>
        </w:rPr>
        <w:t xml:space="preserve"> =76, t=-9.59, </w:t>
      </w:r>
      <w:r>
        <w:rPr>
          <w:rFonts w:cs="Times New Roman"/>
          <w:i/>
        </w:rPr>
        <w:t>P</w:t>
      </w:r>
      <w:r>
        <w:rPr>
          <w:rFonts w:cs="Times New Roman"/>
        </w:rPr>
        <w:t>&lt;0.0001</w:t>
      </w:r>
      <w:r>
        <w:rPr/>
        <w:t>).</w:t>
      </w:r>
    </w:p>
    <w:p>
      <w:pPr>
        <w:pStyle w:val="Heading2"/>
        <w:rPr/>
      </w:pPr>
      <w:r>
        <w:rPr/>
        <w:t>Variation in future distribution predictions with use of STEM</w:t>
      </w:r>
    </w:p>
    <w:p>
      <w:pPr>
        <w:pStyle w:val="Normal"/>
        <w:rPr>
          <w:i/>
          <w:i/>
        </w:rPr>
      </w:pPr>
      <w:r>
        <w:rPr/>
        <w:t>The estimated range change based on a future climate model did not vary significantly by scale when comparing spatially explicit models to statewide for large (</w:t>
      </w:r>
      <w:r>
        <w:rPr>
          <w:rFonts w:cs="Times New Roman"/>
        </w:rPr>
        <w:t xml:space="preserve">β=-16.69±10.72, df =30, t=-1.56, </w:t>
      </w:r>
      <w:r>
        <w:rPr>
          <w:rFonts w:cs="Times New Roman"/>
          <w:i/>
        </w:rPr>
        <w:t>P</w:t>
      </w:r>
      <w:r>
        <w:rPr>
          <w:rFonts w:cs="Times New Roman"/>
        </w:rPr>
        <w:t xml:space="preserve">=0.13), medium (β=-20.36±10.72, df =30, t=-1.90, </w:t>
      </w:r>
      <w:r>
        <w:rPr>
          <w:rFonts w:cs="Times New Roman"/>
          <w:i/>
        </w:rPr>
        <w:t>P</w:t>
      </w:r>
      <w:r>
        <w:rPr>
          <w:rFonts w:cs="Times New Roman"/>
        </w:rPr>
        <w:t xml:space="preserve">=0.067), or small (β=-21.04±10.72, df =30, t=-1.96, </w:t>
      </w:r>
      <w:r>
        <w:rPr>
          <w:rFonts w:cs="Times New Roman"/>
          <w:i/>
        </w:rPr>
        <w:t>P</w:t>
      </w:r>
      <w:r>
        <w:rPr>
          <w:rFonts w:cs="Times New Roman"/>
        </w:rPr>
        <w:t>=0.059</w:t>
      </w:r>
      <w:r>
        <w:rPr/>
        <w:t>).</w:t>
      </w:r>
    </w:p>
    <w:p>
      <w:pPr>
        <w:pStyle w:val="Heading1"/>
        <w:rPr/>
      </w:pPr>
      <w:r>
        <w:rPr/>
        <w:t>Discussion</w:t>
      </w:r>
    </w:p>
    <w:p>
      <w:pPr>
        <w:pStyle w:val="Normal"/>
        <w:rPr/>
      </w:pPr>
      <w:r>
        <w:rPr>
          <w:rFonts w:cs="Times New Roman"/>
          <w:szCs w:val="24"/>
        </w:rPr>
        <w:t xml:space="preserve">The use of spatially explicit ensemble modelling generally did not provide increased accuracy in predictions of species distribution in our study.  </w:t>
      </w:r>
      <w:r>
        <w:rPr/>
        <w:t xml:space="preserve">While spatially explicit models increase model accuracy over continental scales </w:t>
      </w:r>
      <w:bookmarkStart w:id="56" w:name="ZOTERO_BREF_G3z5b5QxpjKL"/>
      <w:r>
        <w:rPr>
          <w:rFonts w:cs="Times New Roman"/>
          <w:szCs w:val="24"/>
        </w:rPr>
        <w:t xml:space="preserve">(Fink </w:t>
      </w:r>
      <w:r>
        <w:rPr>
          <w:rFonts w:cs="Times New Roman"/>
          <w:i/>
          <w:iCs/>
          <w:szCs w:val="24"/>
        </w:rPr>
        <w:t>et al.</w:t>
      </w:r>
      <w:r>
        <w:rPr>
          <w:rFonts w:cs="Times New Roman"/>
          <w:szCs w:val="24"/>
        </w:rPr>
        <w:t xml:space="preserve"> 2010; Fink, Damoulas &amp; Dave 2013)</w:t>
      </w:r>
      <w:bookmarkEnd w:id="56"/>
      <w:r>
        <w:rPr/>
        <w:t>, our study found them mostly unnecessary at a small scale even in a state with variable climate and diverse ecoregions.  In fact, we found a modern laptop or desktop unable to handle the spatially explicit models and turned to cloud computing to complete them, so the length of time and computing expense involved is not unsubstantial.</w:t>
      </w:r>
    </w:p>
    <w:p>
      <w:pPr>
        <w:pStyle w:val="Normal"/>
        <w:rPr/>
      </w:pPr>
      <w:r>
        <w:rPr/>
        <w:t xml:space="preserve">While most of our study species performed equal or better on most measures of accuracy with statewide models, three species did not.  With one non-passerine (Northern Bobwhite), one common grassland passerine (Western Meadowlark), and one obligate brood parasite (Brown-headed Cowbird), there are no immediately obvious commonalities between the three species.  A larger sample of species could indicate why certain species are modeled better with spatially explicit models versus statewide models.  A potential variable includes whether species’ distributions depend more upon bioclimatic versus ecological variables, as bioclimatic variables should change more smoothly over a larger area (potentially reducing the need for adaptive local models).  However, one benefit of random forest models and other machine learning methods is minimal tuning and minimal expert opinion required to generate an accurate map </w:t>
      </w:r>
      <w:bookmarkStart w:id="57" w:name="ZOTERO_BREF_yIhw1YpwkKvF"/>
      <w:r>
        <w:rPr>
          <w:rFonts w:cs="Times New Roman"/>
          <w:szCs w:val="24"/>
        </w:rPr>
        <w:t xml:space="preserve">(Fink </w:t>
      </w:r>
      <w:r>
        <w:rPr>
          <w:rFonts w:cs="Times New Roman"/>
          <w:i/>
          <w:iCs/>
          <w:szCs w:val="24"/>
        </w:rPr>
        <w:t>et al.</w:t>
      </w:r>
      <w:r>
        <w:rPr>
          <w:rFonts w:cs="Times New Roman"/>
          <w:szCs w:val="24"/>
        </w:rPr>
        <w:t xml:space="preserve"> 2010)</w:t>
      </w:r>
      <w:bookmarkEnd w:id="57"/>
      <w:r>
        <w:rPr>
          <w:rFonts w:cs="Times New Roman"/>
          <w:szCs w:val="24"/>
        </w:rPr>
        <w:t>.  One approach solution might be to run the faster statewide map, and then run spatially explicit models additionally only if certain conditions are met, but more study will be required to understand at what scale spatially explicit maps are necessary.</w:t>
      </w:r>
    </w:p>
    <w:p>
      <w:pPr>
        <w:pStyle w:val="Normal"/>
        <w:rPr/>
      </w:pPr>
      <w:r>
        <w:rPr/>
        <w:t>Finally, use of spatially explicit models did not add significant differences to climate change distribution predictions, but that the spatially explicit models increase computation time (as for the current distribution models). C</w:t>
      </w:r>
      <w:r>
        <w:rPr>
          <w:rFonts w:cs="Times New Roman"/>
        </w:rPr>
        <w:t xml:space="preserve">limate change models may be overall accurate but poorly forecast a given region without additional interpretation by local experts </w:t>
      </w:r>
      <w:bookmarkStart w:id="58" w:name="ZOTERO_BREF_6ddwgjaCUoFh"/>
      <w:r>
        <w:rPr>
          <w:rFonts w:cs="Times New Roman"/>
          <w:szCs w:val="24"/>
        </w:rPr>
        <w:t xml:space="preserve">(Risbey </w:t>
      </w:r>
      <w:r>
        <w:rPr>
          <w:rFonts w:cs="Times New Roman"/>
          <w:i/>
          <w:iCs/>
          <w:szCs w:val="24"/>
        </w:rPr>
        <w:t>et al.</w:t>
      </w:r>
      <w:r>
        <w:rPr>
          <w:rFonts w:cs="Times New Roman"/>
          <w:szCs w:val="24"/>
        </w:rPr>
        <w:t xml:space="preserve"> 2002)</w:t>
      </w:r>
      <w:bookmarkEnd w:id="58"/>
      <w:r>
        <w:rPr>
          <w:rFonts w:cs="Times New Roman"/>
        </w:rPr>
        <w:t xml:space="preserve">.  Additionally, climate models are generated at much coarser scales than our response dataset </w:t>
      </w:r>
      <w:bookmarkStart w:id="59" w:name="ZOTERO_BREF_PQjYYLaQnCxn"/>
      <w:r>
        <w:rPr>
          <w:rFonts w:cs="Times New Roman"/>
          <w:szCs w:val="24"/>
        </w:rPr>
        <w:t xml:space="preserve">(Harris </w:t>
      </w:r>
      <w:r>
        <w:rPr>
          <w:rFonts w:cs="Times New Roman"/>
          <w:i/>
          <w:iCs/>
          <w:szCs w:val="24"/>
        </w:rPr>
        <w:t>et al.</w:t>
      </w:r>
      <w:r>
        <w:rPr>
          <w:rFonts w:cs="Times New Roman"/>
          <w:szCs w:val="24"/>
        </w:rPr>
        <w:t xml:space="preserve"> 2014)</w:t>
      </w:r>
      <w:bookmarkEnd w:id="59"/>
      <w:r>
        <w:rPr>
          <w:rFonts w:cs="Times New Roman"/>
          <w:szCs w:val="24"/>
        </w:rPr>
        <w:t xml:space="preserve"> and models may fail to predict accurately when future climates do not have current-day analogs </w:t>
      </w:r>
      <w:bookmarkStart w:id="60" w:name="ZOTERO_BREF_hE62ZYvuYkYq"/>
      <w:r>
        <w:rPr>
          <w:rFonts w:cs="Times New Roman"/>
          <w:szCs w:val="24"/>
        </w:rPr>
        <w:t>(Boiffin, Badeau &amp; Bréda 2017)</w:t>
      </w:r>
      <w:bookmarkEnd w:id="60"/>
      <w:r>
        <w:rPr>
          <w:rFonts w:cs="Times New Roman"/>
        </w:rPr>
        <w:t xml:space="preserve">. </w:t>
      </w:r>
    </w:p>
    <w:p>
      <w:pPr>
        <w:pStyle w:val="Normal"/>
        <w:rPr>
          <w:rFonts w:cs="Times New Roman"/>
          <w:szCs w:val="24"/>
        </w:rPr>
      </w:pPr>
      <w:r>
        <w:rPr>
          <w:rFonts w:cs="Times New Roman"/>
        </w:rPr>
        <w:t xml:space="preserve">Accurate species distribution models can help us understand what factors, both environmental and land use, that drive species declines (Elith &amp; Leathwick 2009), but we need to conduct modeling with predictors and responses at the appropriate spatial scale.  </w:t>
      </w:r>
      <w:r>
        <w:rPr/>
        <w:t xml:space="preserve">While large-scale solutions to conserve grasslands are needed </w:t>
      </w:r>
      <w:bookmarkStart w:id="61" w:name="ZOTERO_BREF_0kxTfnnITlsB"/>
      <w:r>
        <w:rPr>
          <w:rFonts w:cs="Times New Roman"/>
        </w:rPr>
        <w:t>(Samson, Knopf &amp; Ostlie 2004)</w:t>
      </w:r>
      <w:bookmarkEnd w:id="61"/>
      <w:r>
        <w:rPr/>
        <w:t xml:space="preserve">, local and regional conservation and management efforts can also have critical impacts </w:t>
      </w:r>
      <w:bookmarkStart w:id="62" w:name="ZOTERO_BREF_D1X1O19aVImw"/>
      <w:r>
        <w:rPr>
          <w:rFonts w:cs="Times New Roman"/>
        </w:rPr>
        <w:t>(Brennan, Kuvlesky &amp; Morrison 2005)</w:t>
      </w:r>
      <w:bookmarkEnd w:id="62"/>
      <w:r>
        <w:rPr>
          <w:rFonts w:cs="Times New Roman"/>
        </w:rPr>
        <w:t xml:space="preserve">.  </w:t>
      </w:r>
      <w:commentRangeStart w:id="2"/>
      <w:r>
        <w:rPr>
          <w:rFonts w:cs="Times New Roman"/>
          <w:szCs w:val="24"/>
        </w:rPr>
        <w:t xml:space="preserve">Based on our study, we recommend </w:t>
      </w:r>
      <w:r>
        <w:rPr>
          <w:rFonts w:cs="Times New Roman"/>
          <w:szCs w:val="24"/>
        </w:rPr>
      </w:r>
      <w:commentRangeEnd w:id="2"/>
      <w:r>
        <w:commentReference w:id="2"/>
      </w:r>
      <w:r>
        <w:rPr>
          <w:rFonts w:cs="Times New Roman"/>
          <w:szCs w:val="24"/>
        </w:rPr>
        <w:t xml:space="preserve">the use of standard species distribution models at the statewide scale as the use of spatially explicit models increases computation time dramatically for no gain or even a loss in accuracy.  Instead, if local modelers seek increased accuracy, we recommend use of non-spatially explicit ensemble models, where different types of distribution models are combined over the whole study area to produce more refined prediction maps (Araujo &amp; New 2007; Oppel </w:t>
      </w:r>
      <w:r>
        <w:rPr>
          <w:rFonts w:cs="Times New Roman"/>
          <w:i/>
          <w:iCs/>
          <w:szCs w:val="24"/>
        </w:rPr>
        <w:t>et al.</w:t>
      </w:r>
      <w:r>
        <w:rPr>
          <w:rFonts w:cs="Times New Roman"/>
          <w:szCs w:val="24"/>
        </w:rPr>
        <w:t xml:space="preserve"> 2012</w:t>
      </w:r>
      <w:bookmarkStart w:id="63" w:name="ZOTERO_BREF_7EISH3u1aSqd"/>
      <w:bookmarkEnd w:id="63"/>
      <w:r>
        <w:rPr>
          <w:rFonts w:cs="Times New Roman"/>
          <w:szCs w:val="24"/>
        </w:rPr>
        <w:t xml:space="preserve">).  </w:t>
      </w:r>
      <w:r>
        <w:rPr/>
        <w:t xml:space="preserve">Future work should examine at what scale spatially explicit models become necessary between a diverse state versus a diverse continent </w:t>
      </w:r>
      <w:r>
        <w:rPr>
          <w:rFonts w:cs="Times New Roman"/>
          <w:szCs w:val="24"/>
        </w:rPr>
        <w:t xml:space="preserve">(Fink </w:t>
      </w:r>
      <w:r>
        <w:rPr>
          <w:rFonts w:cs="Times New Roman"/>
          <w:i/>
          <w:iCs/>
          <w:szCs w:val="24"/>
        </w:rPr>
        <w:t>et al.</w:t>
      </w:r>
      <w:r>
        <w:rPr>
          <w:rFonts w:cs="Times New Roman"/>
          <w:szCs w:val="24"/>
        </w:rPr>
        <w:t xml:space="preserve"> 2010</w:t>
      </w:r>
      <w:bookmarkStart w:id="64" w:name="ZOTERO_BREF_7fiOle7tQ5Cl"/>
      <w:bookmarkEnd w:id="64"/>
      <w:r>
        <w:rPr>
          <w:rFonts w:cs="Times New Roman"/>
          <w:szCs w:val="24"/>
        </w:rPr>
        <w:t xml:space="preserve">).  </w:t>
      </w:r>
      <w:r>
        <w:rPr/>
        <w:t>whether we can determine based on habitat values and scales of spatial heterogeneity whether a spatially explicit model is appropriate for given species and prediction range.  It may be that species-specific processes determine whether spatially explicit models are required (as suggested by only the obligate brood parasite in our study doing better with small scaled spatially explicit models).</w:t>
      </w:r>
    </w:p>
    <w:p>
      <w:pPr>
        <w:pStyle w:val="Heading1"/>
        <w:rPr/>
      </w:pPr>
      <w:r>
        <w:rPr/>
        <w:t xml:space="preserve">Authors’ </w:t>
      </w:r>
      <w:commentRangeStart w:id="3"/>
      <w:r>
        <w:rPr/>
        <w:t>contributions</w:t>
      </w:r>
      <w:commentRangeEnd w:id="3"/>
      <w:r>
        <w:commentReference w:id="3"/>
      </w:r>
      <w:r>
        <w:rPr/>
      </w:r>
    </w:p>
    <w:p>
      <w:pPr>
        <w:pStyle w:val="Normal"/>
        <w:rPr/>
      </w:pPr>
      <w:r>
        <w:rPr>
          <w:shd w:fill="FFFFFF" w:val="clear"/>
        </w:rPr>
        <w:t>ESB, JDR, AJC, and CMC conceived the ideas and designed methodology.  ESB and JDR collected data.  CMC</w:t>
      </w:r>
      <w:r>
        <w:rPr>
          <w:rFonts w:cs="Times New Roman"/>
          <w:szCs w:val="24"/>
          <w:shd w:fill="FFFFFF" w:val="clear"/>
        </w:rPr>
        <w:t xml:space="preserve"> analyzed the data.  All authors contributed critically to the drafts and gave final approval for publication.</w:t>
      </w:r>
    </w:p>
    <w:p>
      <w:pPr>
        <w:pStyle w:val="Heading1"/>
        <w:rPr/>
      </w:pPr>
      <w:r>
        <w:rPr/>
        <w:t>Acknowledgements</w:t>
      </w:r>
    </w:p>
    <w:p>
      <w:pPr>
        <w:pStyle w:val="Normal"/>
        <w:rPr>
          <w:szCs w:val="20"/>
        </w:rPr>
      </w:pPr>
      <w:r>
        <w:rPr>
          <w:shd w:fill="FFFFFF" w:val="clear"/>
        </w:rPr>
        <w:t xml:space="preserve">This work was funded by USDA-NIFA grant #2013-67009-20369 to ESB and </w:t>
      </w:r>
      <w:r>
        <w:rPr>
          <w:bCs/>
          <w:shd w:fill="FFFFFF" w:val="clear"/>
        </w:rPr>
        <w:t>supported by the AWS Cloud Credits for Research program</w:t>
      </w:r>
      <w:r>
        <w:rPr>
          <w:shd w:fill="FFFFFF" w:val="clear"/>
        </w:rPr>
        <w:t xml:space="preserve">.  </w:t>
      </w:r>
      <w:r>
        <w:rPr>
          <w:szCs w:val="24"/>
        </w:rPr>
        <w:t xml:space="preserve">This study was conducted under OU IACUC R12-019.  </w:t>
      </w:r>
      <w:r>
        <w:rPr>
          <w:shd w:fill="FFFFFF" w:val="clear"/>
        </w:rPr>
        <w:t xml:space="preserve">We thank technicians </w:t>
      </w:r>
      <w:r>
        <w:rPr/>
        <w:t>M. Buschow</w:t>
      </w:r>
      <w:r>
        <w:rPr>
          <w:shd w:fill="FFFFFF" w:val="clear"/>
        </w:rPr>
        <w:t xml:space="preserve">, R. </w:t>
      </w:r>
      <w:r>
        <w:rPr/>
        <w:t>Feliciano</w:t>
      </w:r>
      <w:r>
        <w:rPr>
          <w:shd w:fill="FFFFFF" w:val="clear"/>
        </w:rPr>
        <w:t xml:space="preserve">, </w:t>
      </w:r>
      <w:r>
        <w:rPr/>
        <w:t>M. Fuirst</w:t>
      </w:r>
      <w:r>
        <w:rPr>
          <w:shd w:fill="FFFFFF" w:val="clear"/>
        </w:rPr>
        <w:t xml:space="preserve">, J. </w:t>
      </w:r>
      <w:r>
        <w:rPr/>
        <w:t>Haughawout</w:t>
      </w:r>
      <w:r>
        <w:rPr>
          <w:shd w:fill="FFFFFF" w:val="clear"/>
        </w:rPr>
        <w:t xml:space="preserve">, J. </w:t>
      </w:r>
      <w:r>
        <w:rPr/>
        <w:t>Hightower</w:t>
      </w:r>
      <w:r>
        <w:rPr>
          <w:shd w:fill="FFFFFF" w:val="clear"/>
        </w:rPr>
        <w:t xml:space="preserve">, </w:t>
      </w:r>
      <w:r>
        <w:rPr/>
        <w:t>J. Kruk</w:t>
      </w:r>
      <w:r>
        <w:rPr>
          <w:shd w:fill="FFFFFF" w:val="clear"/>
        </w:rPr>
        <w:t xml:space="preserve">, C. </w:t>
      </w:r>
      <w:r>
        <w:rPr/>
        <w:t>Myers</w:t>
      </w:r>
      <w:r>
        <w:rPr>
          <w:shd w:fill="FFFFFF" w:val="clear"/>
        </w:rPr>
        <w:t xml:space="preserve">, K. </w:t>
      </w:r>
      <w:r>
        <w:rPr/>
        <w:t>Oliver</w:t>
      </w:r>
      <w:r>
        <w:rPr>
          <w:shd w:fill="FFFFFF" w:val="clear"/>
        </w:rPr>
        <w:t xml:space="preserve">, T. </w:t>
      </w:r>
      <w:r>
        <w:rPr/>
        <w:t>Smith</w:t>
      </w:r>
      <w:r>
        <w:rPr>
          <w:shd w:fill="FFFFFF" w:val="clear"/>
        </w:rPr>
        <w:t xml:space="preserve">, R. Soto, and </w:t>
      </w:r>
      <w:r>
        <w:rPr/>
        <w:t xml:space="preserve">J. Tibbits </w:t>
      </w:r>
      <w:r>
        <w:rPr>
          <w:shd w:fill="FFFFFF" w:val="clear"/>
        </w:rPr>
        <w:t xml:space="preserve">for help in gathering survey data. T. Fagin and W.T. Honeycutt provided technical assistance and comments.  CMC was also supported by </w:t>
      </w:r>
      <w:r>
        <w:rPr/>
        <w:t>National Science Foundation grant IDBR 1014891 to ESB.</w:t>
      </w:r>
    </w:p>
    <w:p>
      <w:pPr>
        <w:pStyle w:val="Heading1"/>
        <w:rPr/>
      </w:pPr>
      <w:commentRangeStart w:id="4"/>
      <w:r>
        <w:rPr/>
        <w:t>References</w:t>
      </w:r>
      <w:commentRangeEnd w:id="4"/>
      <w:r>
        <w:commentReference w:id="4"/>
      </w:r>
      <w:r>
        <w:rPr/>
      </w:r>
    </w:p>
    <w:p>
      <w:pPr>
        <w:pStyle w:val="Bibliography"/>
        <w:rPr/>
      </w:pPr>
      <w:r>
        <w:rPr/>
        <w:t xml:space="preserve">Alward, R.D. (1999) Grassland Vegetation Changes and Nocturnal Global Warming. </w:t>
      </w:r>
      <w:r>
        <w:rPr>
          <w:i/>
          <w:iCs/>
        </w:rPr>
        <w:t>Science</w:t>
      </w:r>
      <w:r>
        <w:rPr/>
        <w:t xml:space="preserve">, </w:t>
      </w:r>
      <w:r>
        <w:rPr>
          <w:b/>
          <w:bCs/>
        </w:rPr>
        <w:t>283</w:t>
      </w:r>
      <w:r>
        <w:rPr/>
        <w:t>, 229–231.</w:t>
      </w:r>
    </w:p>
    <w:p>
      <w:pPr>
        <w:pStyle w:val="Bibliography"/>
        <w:rPr/>
      </w:pPr>
      <w:r>
        <w:rPr/>
        <w:t xml:space="preserve">Araújo, M.B. &amp; Guisan, A. (2006) Five (or so) challenges for species distribution modelling. </w:t>
      </w:r>
      <w:r>
        <w:rPr>
          <w:i/>
          <w:iCs/>
        </w:rPr>
        <w:t>Journal of Biogeography</w:t>
      </w:r>
      <w:r>
        <w:rPr/>
        <w:t xml:space="preserve">, </w:t>
      </w:r>
      <w:r>
        <w:rPr>
          <w:b/>
          <w:bCs/>
        </w:rPr>
        <w:t>33</w:t>
      </w:r>
      <w:r>
        <w:rPr/>
        <w:t>, 1677–1688.</w:t>
      </w:r>
    </w:p>
    <w:p>
      <w:pPr>
        <w:pStyle w:val="Bibliography"/>
        <w:rPr/>
      </w:pPr>
      <w:r>
        <w:rPr/>
        <w:t xml:space="preserve">Araujo, M. &amp; New, M. (2007) Ensemble forecasting of species distributions. </w:t>
      </w:r>
      <w:r>
        <w:rPr>
          <w:i/>
          <w:iCs/>
        </w:rPr>
        <w:t>Trends in Ecology &amp; Evolution</w:t>
      </w:r>
      <w:r>
        <w:rPr/>
        <w:t xml:space="preserve">, </w:t>
      </w:r>
      <w:r>
        <w:rPr>
          <w:b/>
          <w:bCs/>
        </w:rPr>
        <w:t>22</w:t>
      </w:r>
      <w:r>
        <w:rPr/>
        <w:t>, 42–47.</w:t>
      </w:r>
    </w:p>
    <w:p>
      <w:pPr>
        <w:pStyle w:val="Bibliography"/>
        <w:rPr/>
      </w:pPr>
      <w:r>
        <w:rPr/>
        <w:t xml:space="preserve">Askins, R.A., Chávez-Ramírez, F., Dale, B.C., Haas, C.A., Herkert, J.R., Knopf, F.L. &amp; Vickery, P.D. (2007) Conservation of grassland birds in North America: understanding ecological processes in different regions: ‘Report of the AOU Committee on Conservation’. </w:t>
      </w:r>
      <w:r>
        <w:rPr>
          <w:i/>
          <w:iCs/>
        </w:rPr>
        <w:t>Ornithological Monographs</w:t>
      </w:r>
      <w:r>
        <w:rPr/>
        <w:t xml:space="preserve">, </w:t>
      </w:r>
      <w:r>
        <w:rPr>
          <w:b/>
          <w:bCs/>
        </w:rPr>
        <w:t>64</w:t>
      </w:r>
      <w:r>
        <w:rPr/>
        <w:t>, iii-46.</w:t>
      </w:r>
    </w:p>
    <w:p>
      <w:pPr>
        <w:pStyle w:val="Bibliography"/>
        <w:rPr/>
      </w:pPr>
      <w:r>
        <w:rPr/>
        <w:t xml:space="preserve">Bakker, K.K., Naugle, D.E. &amp; Higgins, K.F. (2002) Incorporating Landscape Attributes into Models for Migratory Grassland Bird Conservation. </w:t>
      </w:r>
      <w:r>
        <w:rPr>
          <w:i/>
          <w:iCs/>
        </w:rPr>
        <w:t>Conservation Biology</w:t>
      </w:r>
      <w:r>
        <w:rPr/>
        <w:t xml:space="preserve">, </w:t>
      </w:r>
      <w:r>
        <w:rPr>
          <w:b/>
          <w:bCs/>
        </w:rPr>
        <w:t>16</w:t>
      </w:r>
      <w:r>
        <w:rPr/>
        <w:t>, 1638–1646.</w:t>
      </w:r>
    </w:p>
    <w:p>
      <w:pPr>
        <w:pStyle w:val="Bibliography"/>
        <w:rPr/>
      </w:pPr>
      <w:r>
        <w:rPr/>
        <w:t xml:space="preserve">Beaumont, L.J., Pitman, A.J., Poulsen, M. &amp; Hughes, L. (2007) Where will species go? Incorporating new advances in climate modelling into projections of species distributions. </w:t>
      </w:r>
      <w:r>
        <w:rPr>
          <w:i/>
          <w:iCs/>
        </w:rPr>
        <w:t>Global Change Biology</w:t>
      </w:r>
      <w:r>
        <w:rPr/>
        <w:t xml:space="preserve">, </w:t>
      </w:r>
      <w:r>
        <w:rPr>
          <w:b/>
          <w:bCs/>
        </w:rPr>
        <w:t>13</w:t>
      </w:r>
      <w:r>
        <w:rPr/>
        <w:t>, 1368–1385.</w:t>
      </w:r>
    </w:p>
    <w:p>
      <w:pPr>
        <w:pStyle w:val="Bibliography"/>
        <w:rPr/>
      </w:pPr>
      <w:r>
        <w:rPr/>
        <w:t xml:space="preserve">Benson, T.J., Chiavacci, S.J. &amp; Ward, M.P. (2013) Patch size and edge proximity are useful predictors of brood parasitism but not nest survival of grassland birds. </w:t>
      </w:r>
      <w:r>
        <w:rPr>
          <w:i/>
          <w:iCs/>
        </w:rPr>
        <w:t>Ecological Applications</w:t>
      </w:r>
      <w:r>
        <w:rPr/>
        <w:t xml:space="preserve">, </w:t>
      </w:r>
      <w:r>
        <w:rPr>
          <w:b/>
          <w:bCs/>
        </w:rPr>
        <w:t>23</w:t>
      </w:r>
      <w:r>
        <w:rPr/>
        <w:t>, 879–887.</w:t>
      </w:r>
    </w:p>
    <w:p>
      <w:pPr>
        <w:pStyle w:val="Bibliography"/>
        <w:rPr/>
      </w:pPr>
      <w:r>
        <w:rPr/>
        <w:t xml:space="preserve">Bivand, R.S., Pebesma, E. &amp; Gomez-Rubio, V. (2013) </w:t>
      </w:r>
      <w:r>
        <w:rPr>
          <w:i/>
          <w:iCs/>
        </w:rPr>
        <w:t>Applied Spatial Data Analysis with R</w:t>
      </w:r>
      <w:r>
        <w:rPr/>
        <w:t>, 2nd ed. Springer, New York.</w:t>
      </w:r>
    </w:p>
    <w:p>
      <w:pPr>
        <w:pStyle w:val="Bibliography"/>
        <w:rPr/>
      </w:pPr>
      <w:r>
        <w:rPr/>
        <w:t xml:space="preserve">Boiffin, J., Badeau, V. &amp; Bréda, N. (2017) Species distribution models may misdirect assisted migration: insights from the introduction of Douglas-fir to Europe. </w:t>
      </w:r>
      <w:r>
        <w:rPr>
          <w:i/>
          <w:iCs/>
        </w:rPr>
        <w:t>Ecological Applications</w:t>
      </w:r>
      <w:r>
        <w:rPr/>
        <w:t xml:space="preserve">, </w:t>
      </w:r>
      <w:r>
        <w:rPr>
          <w:b/>
          <w:bCs/>
        </w:rPr>
        <w:t>27</w:t>
      </w:r>
      <w:r>
        <w:rPr/>
        <w:t>, 446–457.</w:t>
      </w:r>
    </w:p>
    <w:p>
      <w:pPr>
        <w:pStyle w:val="Bibliography"/>
        <w:rPr/>
      </w:pPr>
      <w:r>
        <w:rPr/>
        <w:t xml:space="preserve">Breiman, L. (2001) Random forests. </w:t>
      </w:r>
      <w:r>
        <w:rPr>
          <w:i/>
          <w:iCs/>
        </w:rPr>
        <w:t>Machine learning</w:t>
      </w:r>
      <w:r>
        <w:rPr/>
        <w:t xml:space="preserve">, </w:t>
      </w:r>
      <w:r>
        <w:rPr>
          <w:b/>
          <w:bCs/>
        </w:rPr>
        <w:t>45</w:t>
      </w:r>
      <w:r>
        <w:rPr/>
        <w:t>, 5–32.</w:t>
      </w:r>
    </w:p>
    <w:p>
      <w:pPr>
        <w:pStyle w:val="Bibliography"/>
        <w:rPr/>
      </w:pPr>
      <w:r>
        <w:rPr/>
        <w:t xml:space="preserve">Brennan, L.A., Kuvlesky, W.P. &amp; Morrison. (2005) Invited paper: North American grassland birds: an unfolding conservation crisis? </w:t>
      </w:r>
      <w:r>
        <w:rPr>
          <w:i/>
          <w:iCs/>
        </w:rPr>
        <w:t>Journal of Wildlife Management</w:t>
      </w:r>
      <w:r>
        <w:rPr/>
        <w:t xml:space="preserve">, </w:t>
      </w:r>
      <w:r>
        <w:rPr>
          <w:b/>
          <w:bCs/>
        </w:rPr>
        <w:t>69</w:t>
      </w:r>
      <w:r>
        <w:rPr/>
        <w:t>, 1–13.</w:t>
      </w:r>
    </w:p>
    <w:p>
      <w:pPr>
        <w:pStyle w:val="Bibliography"/>
        <w:rPr/>
      </w:pPr>
      <w:r>
        <w:rPr/>
        <w:t xml:space="preserve">Brown, J.H., Valone, T.J. &amp; Curtin, C.G. (1997) Reorganization of an arid ecosystem in response to recent climate change. </w:t>
      </w:r>
      <w:r>
        <w:rPr>
          <w:i/>
          <w:iCs/>
        </w:rPr>
        <w:t>Proceedings of the National Academy of Sciences</w:t>
      </w:r>
      <w:r>
        <w:rPr/>
        <w:t xml:space="preserve">, </w:t>
      </w:r>
      <w:r>
        <w:rPr>
          <w:b/>
          <w:bCs/>
        </w:rPr>
        <w:t>94</w:t>
      </w:r>
      <w:r>
        <w:rPr/>
        <w:t>, 9729–9733.</w:t>
      </w:r>
    </w:p>
    <w:p>
      <w:pPr>
        <w:pStyle w:val="Bibliography"/>
        <w:rPr/>
      </w:pPr>
      <w:r>
        <w:rPr/>
        <w:t xml:space="preserve">Caruana, R. &amp; Niculescu-Mizil, A. (2006) An empirical comparison of supervised learning algorithms. </w:t>
      </w:r>
      <w:r>
        <w:rPr>
          <w:i/>
          <w:iCs/>
        </w:rPr>
        <w:t>Proceedings of the 23rd international conference on Machine learning</w:t>
      </w:r>
      <w:r>
        <w:rPr/>
        <w:t>, pp. 161–168. ACM.</w:t>
      </w:r>
    </w:p>
    <w:p>
      <w:pPr>
        <w:pStyle w:val="Bibliography"/>
        <w:rPr/>
      </w:pPr>
      <w:r>
        <w:rPr/>
        <w:t xml:space="preserve">Cutler, D.R., Edwards, T.C., Beard, K.H., Cutler, A., Hess, K.T., Gibson, J. &amp; Lawler, J.J. (2007) Random forests for classification in ecology. </w:t>
      </w:r>
      <w:r>
        <w:rPr>
          <w:i/>
          <w:iCs/>
        </w:rPr>
        <w:t>Ecology</w:t>
      </w:r>
      <w:r>
        <w:rPr/>
        <w:t xml:space="preserve">, </w:t>
      </w:r>
      <w:r>
        <w:rPr>
          <w:b/>
          <w:bCs/>
        </w:rPr>
        <w:t>88</w:t>
      </w:r>
      <w:r>
        <w:rPr/>
        <w:t>, 2783–2792.</w:t>
      </w:r>
    </w:p>
    <w:p>
      <w:pPr>
        <w:pStyle w:val="Bibliography"/>
        <w:rPr/>
      </w:pPr>
      <w:r>
        <w:rPr/>
        <w:t xml:space="preserve">Diamond, D.D. &amp; Elliott, L.F. (2015) </w:t>
      </w:r>
      <w:r>
        <w:rPr>
          <w:i/>
          <w:iCs/>
        </w:rPr>
        <w:t>Oklahoma Ecological Systems Mapping Interpretive Booklet: Methods, Short Type Descriptions, and Summary Results</w:t>
      </w:r>
      <w:r>
        <w:rPr/>
        <w:t>. Oklahoma Department of Wildlife Conservation, Norman, OK.</w:t>
      </w:r>
    </w:p>
    <w:p>
      <w:pPr>
        <w:pStyle w:val="Bibliography"/>
        <w:rPr/>
      </w:pPr>
      <w:r>
        <w:rPr/>
        <w:t xml:space="preserve">Elith, J., Graham, C.H., Anderson, R.P., Dudík, M., Ferrier, S., Guisan, A., Hijmans, R.J., Huettmann, F., R. Leathwick, J.R., Lehmann, A., Li, J., Lohmann, L.G., Loiselle, B.A., Manion, G., Moritz, C., Nakamura, M., Nakazawa, Y., Overton, J.M., Peterson, A.T., Phillips, S.J., Richardson, K., Scachetti-Pereira, R., Schapire, R.E., Soberón, J., Williams, S., Wisz, M.S. &amp; Zimmermann, N.E. (2006) Novel methods improve prediction of species’ distributions from occurrence data. </w:t>
      </w:r>
      <w:r>
        <w:rPr>
          <w:i/>
          <w:iCs/>
        </w:rPr>
        <w:t>Ecography</w:t>
      </w:r>
      <w:r>
        <w:rPr/>
        <w:t xml:space="preserve">, </w:t>
      </w:r>
      <w:r>
        <w:rPr>
          <w:b/>
          <w:bCs/>
        </w:rPr>
        <w:t>29</w:t>
      </w:r>
      <w:r>
        <w:rPr/>
        <w:t>, 129–151.</w:t>
      </w:r>
    </w:p>
    <w:p>
      <w:pPr>
        <w:pStyle w:val="Bibliography"/>
        <w:rPr/>
      </w:pPr>
      <w:r>
        <w:rPr/>
        <w:t xml:space="preserve">Elith, J. &amp; Leathwick, J.R. (2009) Species Distribution Models: Ecological Explanation and Prediction Across Space and Time. </w:t>
      </w:r>
      <w:r>
        <w:rPr>
          <w:i/>
          <w:iCs/>
        </w:rPr>
        <w:t>Annual Review of Ecology, Evolution, and Systematics</w:t>
      </w:r>
      <w:r>
        <w:rPr/>
        <w:t xml:space="preserve">, </w:t>
      </w:r>
      <w:r>
        <w:rPr>
          <w:b/>
          <w:bCs/>
        </w:rPr>
        <w:t>40</w:t>
      </w:r>
      <w:r>
        <w:rPr/>
        <w:t>, 677–697.</w:t>
      </w:r>
    </w:p>
    <w:p>
      <w:pPr>
        <w:pStyle w:val="Bibliography"/>
        <w:rPr/>
      </w:pPr>
      <w:r>
        <w:rPr/>
        <w:t xml:space="preserve">Elith, J., Leathwick, J.R. &amp; Hastie, T. (2008) A working guide to boosted regression trees. </w:t>
      </w:r>
      <w:r>
        <w:rPr>
          <w:i/>
          <w:iCs/>
        </w:rPr>
        <w:t>Journal of Animal Ecology</w:t>
      </w:r>
      <w:r>
        <w:rPr/>
        <w:t xml:space="preserve">, </w:t>
      </w:r>
      <w:r>
        <w:rPr>
          <w:b/>
          <w:bCs/>
        </w:rPr>
        <w:t>77</w:t>
      </w:r>
      <w:r>
        <w:rPr/>
        <w:t>, 802–813.</w:t>
      </w:r>
    </w:p>
    <w:p>
      <w:pPr>
        <w:pStyle w:val="Bibliography"/>
        <w:rPr/>
      </w:pPr>
      <w:r>
        <w:rPr/>
        <w:t xml:space="preserve">Fink, D., Damoulas, T. &amp; Dave, J. (2013) Adaptive Spatio-Temporal Exploratory Models: Hemisphere-wide species distributions from massively crowdsourced eBird data. </w:t>
      </w:r>
      <w:r>
        <w:rPr>
          <w:i/>
          <w:iCs/>
        </w:rPr>
        <w:t>AAAI</w:t>
      </w:r>
    </w:p>
    <w:p>
      <w:pPr>
        <w:pStyle w:val="Bibliography"/>
        <w:rPr/>
      </w:pPr>
      <w:r>
        <w:rPr/>
        <w:t xml:space="preserve">Fink, D., Hochachka, W.M., Zuckerberg, B., Winkler, D.W., Shaby, B., Munson, M.A., Hooker, G., Riedewald, M., Sheldon, D. &amp; Kelling, S. (2010) Spatiotemporal exploratory models for broad-scale survey data. </w:t>
      </w:r>
      <w:r>
        <w:rPr>
          <w:i/>
          <w:iCs/>
        </w:rPr>
        <w:t>Ecological Applications</w:t>
      </w:r>
      <w:r>
        <w:rPr/>
        <w:t xml:space="preserve">, </w:t>
      </w:r>
      <w:r>
        <w:rPr>
          <w:b/>
          <w:bCs/>
        </w:rPr>
        <w:t>20</w:t>
      </w:r>
      <w:r>
        <w:rPr/>
        <w:t>, 2131–2147.</w:t>
      </w:r>
    </w:p>
    <w:p>
      <w:pPr>
        <w:pStyle w:val="Bibliography"/>
        <w:rPr/>
      </w:pPr>
      <w:r>
        <w:rPr/>
        <w:t xml:space="preserve">Guo, Y., Graber, A., McBurney, R.N. &amp; Balasubramanian, R. (2010) Sample size and statistical power considerations in high-dimensionality data settings: a comparative study of classification algorithms. </w:t>
      </w:r>
      <w:r>
        <w:rPr>
          <w:i/>
          <w:iCs/>
        </w:rPr>
        <w:t>BMC Bioinformatics</w:t>
      </w:r>
      <w:r>
        <w:rPr/>
        <w:t xml:space="preserve">, </w:t>
      </w:r>
      <w:r>
        <w:rPr>
          <w:b/>
          <w:bCs/>
        </w:rPr>
        <w:t>11</w:t>
      </w:r>
      <w:r>
        <w:rPr/>
        <w:t>, 447.</w:t>
      </w:r>
    </w:p>
    <w:p>
      <w:pPr>
        <w:pStyle w:val="Bibliography"/>
        <w:rPr/>
      </w:pPr>
      <w:r>
        <w:rPr/>
        <w:t xml:space="preserve">Hanley, J.A. &amp; McNeil, B.J. (1982) The meaning and use of the area under a receiver operating characteristic (roc) curve. </w:t>
      </w:r>
      <w:r>
        <w:rPr>
          <w:i/>
          <w:iCs/>
        </w:rPr>
        <w:t>Radiology 143: 29–36</w:t>
      </w:r>
      <w:r>
        <w:rPr/>
        <w:t xml:space="preserve">, </w:t>
      </w:r>
      <w:r>
        <w:rPr>
          <w:b/>
          <w:bCs/>
        </w:rPr>
        <w:t>143</w:t>
      </w:r>
      <w:r>
        <w:rPr/>
        <w:t>, 29–36.</w:t>
      </w:r>
    </w:p>
    <w:p>
      <w:pPr>
        <w:pStyle w:val="Bibliography"/>
        <w:rPr/>
      </w:pPr>
      <w:r>
        <w:rPr/>
        <w:t xml:space="preserve">Harris, R.M.B., Grose, M.R., Lee, G., Bindoff, N.L., Porfirio, L.L. &amp; Fox-Hughes, P. (2014) Climate projections for ecologists. </w:t>
      </w:r>
      <w:r>
        <w:rPr>
          <w:i/>
          <w:iCs/>
        </w:rPr>
        <w:t>Wiley Interdisciplinary Reviews: Climate Change</w:t>
      </w:r>
      <w:r>
        <w:rPr/>
        <w:t xml:space="preserve">, </w:t>
      </w:r>
      <w:r>
        <w:rPr>
          <w:b/>
          <w:bCs/>
        </w:rPr>
        <w:t>5</w:t>
      </w:r>
      <w:r>
        <w:rPr/>
        <w:t>, 621–637.</w:t>
      </w:r>
    </w:p>
    <w:p>
      <w:pPr>
        <w:pStyle w:val="Bibliography"/>
        <w:rPr/>
      </w:pPr>
      <w:r>
        <w:rPr/>
        <w:t xml:space="preserve">Hastie, T., Tibshirani, R. &amp; Friedman, J. (2001) </w:t>
      </w:r>
      <w:r>
        <w:rPr>
          <w:i/>
          <w:iCs/>
        </w:rPr>
        <w:t>The Elements of Statistical Learning</w:t>
      </w:r>
      <w:r>
        <w:rPr/>
        <w:t>. Springer series in statistics Springer, Berlin.</w:t>
      </w:r>
    </w:p>
    <w:p>
      <w:pPr>
        <w:pStyle w:val="Bibliography"/>
        <w:rPr/>
      </w:pPr>
      <w:r>
        <w:rPr/>
        <w:t xml:space="preserve">Higgins, K.F., Naugle, D.E. &amp; Forman, K.J. (2002) A Case Study of Changing Land Use Practices in the Northern Great Plains, U.S.A.: An Uncertain Future for Waterbird Conservation. </w:t>
      </w:r>
      <w:r>
        <w:rPr>
          <w:i/>
          <w:iCs/>
        </w:rPr>
        <w:t>Waterbirds: The International Journal of Waterbird Biology</w:t>
      </w:r>
      <w:r>
        <w:rPr/>
        <w:t xml:space="preserve">, </w:t>
      </w:r>
      <w:r>
        <w:rPr>
          <w:b/>
          <w:bCs/>
        </w:rPr>
        <w:t>25</w:t>
      </w:r>
      <w:r>
        <w:rPr/>
        <w:t>, 42–50.</w:t>
      </w:r>
    </w:p>
    <w:p>
      <w:pPr>
        <w:pStyle w:val="Bibliography"/>
        <w:rPr/>
      </w:pPr>
      <w:r>
        <w:rPr/>
        <w:t xml:space="preserve">Hijmans, R.J. (2016) </w:t>
      </w:r>
      <w:r>
        <w:rPr>
          <w:i/>
          <w:iCs/>
        </w:rPr>
        <w:t>Raster: Geographic Data Analysis and Modeling</w:t>
      </w:r>
      <w:r>
        <w:rPr/>
        <w:t>.</w:t>
      </w:r>
    </w:p>
    <w:p>
      <w:pPr>
        <w:pStyle w:val="Bibliography"/>
        <w:rPr/>
      </w:pPr>
      <w:r>
        <w:rPr/>
        <w:t xml:space="preserve">Hijmans, R.J., Cameron, S.E., Parra, J.L., Jones, P.G. &amp; Jarvis, A. (2005) Very high resolution interpolated climate surfaces for global land areas. </w:t>
      </w:r>
      <w:r>
        <w:rPr>
          <w:i/>
          <w:iCs/>
        </w:rPr>
        <w:t>International Journal of Climatology</w:t>
      </w:r>
      <w:r>
        <w:rPr/>
        <w:t xml:space="preserve">, </w:t>
      </w:r>
      <w:r>
        <w:rPr>
          <w:b/>
          <w:bCs/>
        </w:rPr>
        <w:t>25</w:t>
      </w:r>
      <w:r>
        <w:rPr/>
        <w:t>, 1965–1978.</w:t>
      </w:r>
    </w:p>
    <w:p>
      <w:pPr>
        <w:pStyle w:val="Bibliography"/>
        <w:rPr/>
      </w:pPr>
      <w:r>
        <w:rPr/>
        <w:t xml:space="preserve">James, G., Witten, D., Hastie, T. &amp; Tibshirani, R. (2013) </w:t>
      </w:r>
      <w:r>
        <w:rPr>
          <w:i/>
          <w:iCs/>
        </w:rPr>
        <w:t>An Introduction to Statistical Learning</w:t>
      </w:r>
      <w:r>
        <w:rPr/>
        <w:t>. Springer New York, New York, NY.</w:t>
      </w:r>
    </w:p>
    <w:p>
      <w:pPr>
        <w:pStyle w:val="Bibliography"/>
        <w:rPr/>
      </w:pPr>
      <w:r>
        <w:rPr/>
        <w:t xml:space="preserve">Klute, D.S., Robel, R.J. &amp; Kemp, K.E. (1997) Will Conversion of Conservation Reserve Program (CRP) Lands to Pasture be Detrimental for Grassland Birds in Kansas? </w:t>
      </w:r>
      <w:r>
        <w:rPr>
          <w:i/>
          <w:iCs/>
        </w:rPr>
        <w:t>American Midland Naturalist</w:t>
      </w:r>
      <w:r>
        <w:rPr/>
        <w:t xml:space="preserve">, </w:t>
      </w:r>
      <w:r>
        <w:rPr>
          <w:b/>
          <w:bCs/>
        </w:rPr>
        <w:t>137</w:t>
      </w:r>
      <w:r>
        <w:rPr/>
        <w:t>, 206.</w:t>
      </w:r>
    </w:p>
    <w:p>
      <w:pPr>
        <w:pStyle w:val="Bibliography"/>
        <w:rPr/>
      </w:pPr>
      <w:r>
        <w:rPr/>
        <w:t xml:space="preserve">Knopf, F.L. (1994) Avian assemblages on altered grasslands. </w:t>
      </w:r>
      <w:r>
        <w:rPr>
          <w:i/>
          <w:iCs/>
        </w:rPr>
        <w:t>Studies in Avian Biology</w:t>
      </w:r>
      <w:r>
        <w:rPr/>
        <w:t xml:space="preserve">, </w:t>
      </w:r>
      <w:r>
        <w:rPr>
          <w:b/>
          <w:bCs/>
        </w:rPr>
        <w:t>15</w:t>
      </w:r>
      <w:r>
        <w:rPr/>
        <w:t>, 247–257.</w:t>
      </w:r>
    </w:p>
    <w:p>
      <w:pPr>
        <w:pStyle w:val="Bibliography"/>
        <w:rPr/>
      </w:pPr>
      <w:r>
        <w:rPr/>
        <w:t>Kuhn, M. Predictive Modeling with R and the caret Package.</w:t>
      </w:r>
    </w:p>
    <w:p>
      <w:pPr>
        <w:pStyle w:val="Bibliography"/>
        <w:rPr/>
      </w:pPr>
      <w:r>
        <w:rPr/>
        <w:t xml:space="preserve">Kuhn, M. &amp; Johnson, K. (2013) </w:t>
      </w:r>
      <w:r>
        <w:rPr>
          <w:i/>
          <w:iCs/>
        </w:rPr>
        <w:t>Applied Predictive Modeling</w:t>
      </w:r>
      <w:r>
        <w:rPr/>
        <w:t>. Springer New York, New York, NY.</w:t>
      </w:r>
    </w:p>
    <w:p>
      <w:pPr>
        <w:pStyle w:val="Bibliography"/>
        <w:rPr/>
      </w:pPr>
      <w:r>
        <w:rPr/>
        <w:t xml:space="preserve">Liaw, A. &amp; Wiener, M. (2002) Classification and regression by randomForest. </w:t>
      </w:r>
      <w:r>
        <w:rPr>
          <w:i/>
          <w:iCs/>
        </w:rPr>
        <w:t>R News</w:t>
      </w:r>
      <w:r>
        <w:rPr/>
        <w:t xml:space="preserve">, </w:t>
      </w:r>
      <w:r>
        <w:rPr>
          <w:b/>
          <w:bCs/>
        </w:rPr>
        <w:t>2</w:t>
      </w:r>
      <w:r>
        <w:rPr/>
        <w:t>, 18–22.</w:t>
      </w:r>
    </w:p>
    <w:p>
      <w:pPr>
        <w:pStyle w:val="Bibliography"/>
        <w:rPr/>
      </w:pPr>
      <w:r>
        <w:rPr/>
        <w:t xml:space="preserve">Lipsey, M.K., Doherty, K.E., Naugle, D.E., Fields, S., Evans, J.S., Davis, S.K. &amp; Koper, N. (2015) One step ahead of the plow: Using cropland conversion risk to guide Sprague’s Pipit conservation in the northern Great Plains. </w:t>
      </w:r>
      <w:r>
        <w:rPr>
          <w:i/>
          <w:iCs/>
        </w:rPr>
        <w:t>Biological Conservation</w:t>
      </w:r>
      <w:r>
        <w:rPr/>
        <w:t xml:space="preserve">, </w:t>
      </w:r>
      <w:r>
        <w:rPr>
          <w:b/>
          <w:bCs/>
        </w:rPr>
        <w:t>191</w:t>
      </w:r>
      <w:r>
        <w:rPr/>
        <w:t>, 739–749.</w:t>
      </w:r>
    </w:p>
    <w:p>
      <w:pPr>
        <w:pStyle w:val="Bibliography"/>
        <w:rPr/>
      </w:pPr>
      <w:r>
        <w:rPr/>
        <w:t xml:space="preserve">Loarie, S.R., Duffy, P.B., Hamilton, H., Asner, G.P., Field, C.B. &amp; Ackerly, D.D. (2009) The velocity of climate change. </w:t>
      </w:r>
      <w:r>
        <w:rPr>
          <w:i/>
          <w:iCs/>
        </w:rPr>
        <w:t>Nature</w:t>
      </w:r>
      <w:r>
        <w:rPr/>
        <w:t xml:space="preserve">, </w:t>
      </w:r>
      <w:r>
        <w:rPr>
          <w:b/>
          <w:bCs/>
        </w:rPr>
        <w:t>462</w:t>
      </w:r>
      <w:r>
        <w:rPr/>
        <w:t>, 1052–1055.</w:t>
      </w:r>
    </w:p>
    <w:p>
      <w:pPr>
        <w:pStyle w:val="Bibliography"/>
        <w:rPr/>
      </w:pPr>
      <w:r>
        <w:rPr/>
        <w:t xml:space="preserve">Lorena, A.C., Jacintho, L.F.O., Siqueira, M.F., Giovanni, R.D., Lohmann, L.G., de Carvalho, A.C.P.L.F. &amp; Yamamoto, M. (2011) Comparing machine learning classifiers in potential distribution modelling. </w:t>
      </w:r>
      <w:r>
        <w:rPr>
          <w:i/>
          <w:iCs/>
        </w:rPr>
        <w:t>Expert Systems with Applications</w:t>
      </w:r>
      <w:r>
        <w:rPr/>
        <w:t xml:space="preserve">, </w:t>
      </w:r>
      <w:r>
        <w:rPr>
          <w:b/>
          <w:bCs/>
        </w:rPr>
        <w:t>38</w:t>
      </w:r>
      <w:r>
        <w:rPr/>
        <w:t>, 5268–5275.</w:t>
      </w:r>
    </w:p>
    <w:p>
      <w:pPr>
        <w:pStyle w:val="Bibliography"/>
        <w:rPr/>
      </w:pPr>
      <w:r>
        <w:rPr/>
        <w:t>McCarty. (2001) 2001_McCarty_ecological_consequences_of_climate_change.pdf.</w:t>
      </w:r>
    </w:p>
    <w:p>
      <w:pPr>
        <w:pStyle w:val="Bibliography"/>
        <w:rPr/>
      </w:pPr>
      <w:r>
        <w:rPr/>
        <w:t xml:space="preserve">Mi, C., Huettmann, F., Guo, Y., Han, X. &amp; Wen, L. (2017) Why choose Random Forest to predict rare species distribution with few samples in large undersampled areas? Three Asian crane species models provide supporting evidence. </w:t>
      </w:r>
      <w:r>
        <w:rPr>
          <w:i/>
          <w:iCs/>
        </w:rPr>
        <w:t>PeerJ</w:t>
      </w:r>
      <w:r>
        <w:rPr/>
        <w:t xml:space="preserve">, </w:t>
      </w:r>
      <w:r>
        <w:rPr>
          <w:b/>
          <w:bCs/>
        </w:rPr>
        <w:t>5</w:t>
      </w:r>
      <w:r>
        <w:rPr/>
        <w:t>, e2849.</w:t>
      </w:r>
    </w:p>
    <w:p>
      <w:pPr>
        <w:pStyle w:val="Bibliography"/>
        <w:rPr/>
      </w:pPr>
      <w:r>
        <w:rPr/>
        <w:t xml:space="preserve">Munson, M.A., Webb, K., Sheldon, D., Fink, D., Hochachka, W.M., Iliff, M., Riedewald, M., Sorokina, D., Sullivan, B., Wood, C. &amp; Kelling, S. (2014) </w:t>
      </w:r>
      <w:r>
        <w:rPr>
          <w:i/>
          <w:iCs/>
        </w:rPr>
        <w:t>The eBird Reference Dataset, Version 2014.</w:t>
      </w:r>
      <w:r>
        <w:rPr/>
        <w:t xml:space="preserve"> Cornell Lab of Ornithology, Ithaca, NY.</w:t>
      </w:r>
    </w:p>
    <w:p>
      <w:pPr>
        <w:pStyle w:val="Bibliography"/>
        <w:rPr/>
      </w:pPr>
      <w:r>
        <w:rPr/>
        <w:t xml:space="preserve">National Assessment Synthesis Team (U.S.) (ed). (2001) </w:t>
      </w:r>
      <w:r>
        <w:rPr>
          <w:i/>
          <w:iCs/>
        </w:rPr>
        <w:t>Climate Change Impacts on the United States: The Potential Consequences of Climate Variability and Change: Foundation</w:t>
      </w:r>
      <w:r>
        <w:rPr/>
        <w:t>. Cambridge University Press, Cambridge ; New York.</w:t>
      </w:r>
    </w:p>
    <w:p>
      <w:pPr>
        <w:pStyle w:val="Bibliography"/>
        <w:rPr/>
      </w:pPr>
      <w:r>
        <w:rPr/>
        <w:t xml:space="preserve">O’Connor, R.J., Jones, M.T., Boone, R.B. &amp; Lauber, T.B. (1999) Linking continental climate, land use, and land patterns with grassland bird distribution across the conterminus United States. </w:t>
      </w:r>
      <w:r>
        <w:rPr>
          <w:i/>
          <w:iCs/>
        </w:rPr>
        <w:t>Studies in Avian Biology</w:t>
      </w:r>
      <w:r>
        <w:rPr/>
        <w:t xml:space="preserve">, </w:t>
      </w:r>
      <w:r>
        <w:rPr>
          <w:b/>
          <w:bCs/>
        </w:rPr>
        <w:t>19</w:t>
      </w:r>
      <w:r>
        <w:rPr/>
        <w:t>, 45–59.</w:t>
      </w:r>
    </w:p>
    <w:p>
      <w:pPr>
        <w:pStyle w:val="Bibliography"/>
        <w:rPr/>
      </w:pPr>
      <w:r>
        <w:rPr>
          <w:i/>
          <w:iCs/>
        </w:rPr>
        <w:t>Oklahoma Agricultural Statistics 2016</w:t>
      </w:r>
      <w:r>
        <w:rPr/>
        <w:t>. (2016)</w:t>
      </w:r>
    </w:p>
    <w:p>
      <w:pPr>
        <w:pStyle w:val="Bibliography"/>
        <w:rPr/>
      </w:pPr>
      <w:r>
        <w:rPr/>
        <w:t>Oklahoma Climatological Survey. Climate of Oklahoma, http://climate.ok.gov/index.php/site/page/climate_of_oklahoma</w:t>
      </w:r>
    </w:p>
    <w:p>
      <w:pPr>
        <w:pStyle w:val="Bibliography"/>
        <w:rPr/>
      </w:pPr>
      <w:r>
        <w:rPr/>
        <w:t xml:space="preserve">Oppel, S., Meirinho, A., Ramírez, I., Gardner, B., O’Connell, A.F., Miller, P.I. &amp; Louzao, M. (2012) Comparison of five modelling techniques to predict the spatial distribution and abundance of seabirds. </w:t>
      </w:r>
      <w:r>
        <w:rPr>
          <w:i/>
          <w:iCs/>
        </w:rPr>
        <w:t>Biological Conservation</w:t>
      </w:r>
      <w:r>
        <w:rPr/>
        <w:t xml:space="preserve">, </w:t>
      </w:r>
      <w:r>
        <w:rPr>
          <w:b/>
          <w:bCs/>
        </w:rPr>
        <w:t>156</w:t>
      </w:r>
      <w:r>
        <w:rPr/>
        <w:t>, 94–104.</w:t>
      </w:r>
    </w:p>
    <w:p>
      <w:pPr>
        <w:pStyle w:val="Bibliography"/>
        <w:rPr/>
      </w:pPr>
      <w:r>
        <w:rPr/>
        <w:t xml:space="preserve">Pebesma, E. &amp; Bivand, R.S. (2005) Classes and methods for spatial data in R. </w:t>
      </w:r>
      <w:r>
        <w:rPr>
          <w:i/>
          <w:iCs/>
        </w:rPr>
        <w:t>R News</w:t>
      </w:r>
      <w:r>
        <w:rPr/>
        <w:t xml:space="preserve">, </w:t>
      </w:r>
      <w:r>
        <w:rPr>
          <w:b/>
          <w:bCs/>
        </w:rPr>
        <w:t>5</w:t>
      </w:r>
      <w:r>
        <w:rPr/>
        <w:t>.</w:t>
      </w:r>
    </w:p>
    <w:p>
      <w:pPr>
        <w:pStyle w:val="Bibliography"/>
        <w:rPr/>
      </w:pPr>
      <w:r>
        <w:rPr/>
        <w:t xml:space="preserve">Phillips, S.J., Dudík, M. &amp; Schapire, R.E. (2004) A maximum entropy approach to species distribution modeling. </w:t>
      </w:r>
      <w:r>
        <w:rPr>
          <w:i/>
          <w:iCs/>
        </w:rPr>
        <w:t>Proceedings of the twenty-first international conference on Machine learning</w:t>
      </w:r>
      <w:r>
        <w:rPr/>
        <w:t>, p. 83. ACM.</w:t>
      </w:r>
    </w:p>
    <w:p>
      <w:pPr>
        <w:pStyle w:val="Bibliography"/>
        <w:rPr/>
      </w:pPr>
      <w:r>
        <w:rPr/>
        <w:t xml:space="preserve">Prasad, A.M., Iverson, L.R. &amp; Liaw, A. (2006) Newer Classification and Regression Tree Techniques: Bagging and Random Forests for Ecological Prediction. </w:t>
      </w:r>
      <w:r>
        <w:rPr>
          <w:i/>
          <w:iCs/>
        </w:rPr>
        <w:t>Ecosystems</w:t>
      </w:r>
      <w:r>
        <w:rPr/>
        <w:t xml:space="preserve">, </w:t>
      </w:r>
      <w:r>
        <w:rPr>
          <w:b/>
          <w:bCs/>
        </w:rPr>
        <w:t>9</w:t>
      </w:r>
      <w:r>
        <w:rPr/>
        <w:t>, 181–199.</w:t>
      </w:r>
    </w:p>
    <w:p>
      <w:pPr>
        <w:pStyle w:val="Bibliography"/>
        <w:rPr/>
      </w:pPr>
      <w:r>
        <w:rPr/>
        <w:t xml:space="preserve">Quantum GIS Development Team. (2016) </w:t>
      </w:r>
      <w:r>
        <w:rPr>
          <w:i/>
          <w:iCs/>
        </w:rPr>
        <w:t>Quantum GIS Geographic Information System</w:t>
      </w:r>
      <w:r>
        <w:rPr/>
        <w:t>. Open Source Geospatial Foundation Project.</w:t>
      </w:r>
    </w:p>
    <w:p>
      <w:pPr>
        <w:pStyle w:val="Bibliography"/>
        <w:rPr/>
      </w:pPr>
      <w:r>
        <w:rPr/>
        <w:t xml:space="preserve">Risbey, J.S., Lamb, P.J., Miller, R.L., Morgan, M.C. &amp; Roe, G.H. (2002) Exploring the structure of regional climate scenarios by combining synoptic and dynamic guidance and GCM output. </w:t>
      </w:r>
      <w:r>
        <w:rPr>
          <w:i/>
          <w:iCs/>
        </w:rPr>
        <w:t>Journal of climate</w:t>
      </w:r>
      <w:r>
        <w:rPr/>
        <w:t xml:space="preserve">, </w:t>
      </w:r>
      <w:r>
        <w:rPr>
          <w:b/>
          <w:bCs/>
        </w:rPr>
        <w:t>15</w:t>
      </w:r>
      <w:r>
        <w:rPr/>
        <w:t>, 1036–1050.</w:t>
      </w:r>
    </w:p>
    <w:p>
      <w:pPr>
        <w:pStyle w:val="Bibliography"/>
        <w:rPr/>
      </w:pPr>
      <w:r>
        <w:rPr/>
        <w:t xml:space="preserve">Samson, F. &amp; Knopf, F.L. (1994) Prairie conservation in North America. </w:t>
      </w:r>
      <w:r>
        <w:rPr>
          <w:i/>
          <w:iCs/>
        </w:rPr>
        <w:t>BioScience</w:t>
      </w:r>
      <w:r>
        <w:rPr/>
        <w:t xml:space="preserve">, </w:t>
      </w:r>
      <w:r>
        <w:rPr>
          <w:b/>
          <w:bCs/>
        </w:rPr>
        <w:t>44</w:t>
      </w:r>
      <w:r>
        <w:rPr/>
        <w:t>, 418–421.</w:t>
      </w:r>
    </w:p>
    <w:p>
      <w:pPr>
        <w:pStyle w:val="Bibliography"/>
        <w:rPr/>
      </w:pPr>
      <w:r>
        <w:rPr/>
        <w:t xml:space="preserve">Samson, F.B., Knopf, F.L. &amp; Ostlie, W. (2004) Great Plains ecosystems: past, present, and future. </w:t>
      </w:r>
      <w:r>
        <w:rPr>
          <w:i/>
          <w:iCs/>
        </w:rPr>
        <w:t>Wildlife Society Bulletin</w:t>
      </w:r>
      <w:r>
        <w:rPr/>
        <w:t xml:space="preserve">, </w:t>
      </w:r>
      <w:r>
        <w:rPr>
          <w:b/>
          <w:bCs/>
        </w:rPr>
        <w:t>32</w:t>
      </w:r>
      <w:r>
        <w:rPr/>
        <w:t>, 6–15.</w:t>
      </w:r>
    </w:p>
    <w:p>
      <w:pPr>
        <w:pStyle w:val="Bibliography"/>
        <w:rPr/>
      </w:pPr>
      <w:r>
        <w:rPr/>
        <w:t xml:space="preserve">Sauer, J.R., Niven, D.K., Hines, J.E., Ziolkowski, Jr., D.J., Pardieck, K.L., Fallon, J.E. &amp; Link, W.A. (2017) </w:t>
      </w:r>
      <w:r>
        <w:rPr>
          <w:i/>
          <w:iCs/>
        </w:rPr>
        <w:t>The North American Breeding Bird Survey, Results and Analysis 1966 - 2015, Version 2.07.2017</w:t>
      </w:r>
      <w:r>
        <w:rPr/>
        <w:t>. USGS Patuxent Wildlife Research Center, Laurel, MD.</w:t>
      </w:r>
    </w:p>
    <w:p>
      <w:pPr>
        <w:pStyle w:val="Bibliography"/>
        <w:rPr/>
      </w:pPr>
      <w:r>
        <w:rPr/>
        <w:t xml:space="preserve">Strobl, C., Boulesteix, A.-L., Kneib, T., Augustin, T. &amp; Zeileis, A. (2008) Conditional variable importance for random forests. </w:t>
      </w:r>
      <w:r>
        <w:rPr>
          <w:i/>
          <w:iCs/>
        </w:rPr>
        <w:t>BMC Bioinformatics</w:t>
      </w:r>
      <w:r>
        <w:rPr/>
        <w:t xml:space="preserve">, </w:t>
      </w:r>
      <w:r>
        <w:rPr>
          <w:b/>
          <w:bCs/>
        </w:rPr>
        <w:t>9</w:t>
      </w:r>
      <w:r>
        <w:rPr/>
        <w:t>, 307.</w:t>
      </w:r>
    </w:p>
    <w:p>
      <w:pPr>
        <w:pStyle w:val="Bibliography"/>
        <w:rPr/>
      </w:pPr>
      <w:r>
        <w:rPr/>
        <w:t xml:space="preserve">Strobl, C., Boulesteix, A.-L., Zeileis, A. &amp; Hothorn, T. (2007) Bias in random forest variable importance measures: Illustrations, sources and a solution. </w:t>
      </w:r>
      <w:r>
        <w:rPr>
          <w:i/>
          <w:iCs/>
        </w:rPr>
        <w:t>BMC Bioinformatics</w:t>
      </w:r>
      <w:r>
        <w:rPr/>
        <w:t xml:space="preserve">, </w:t>
      </w:r>
      <w:r>
        <w:rPr>
          <w:b/>
          <w:bCs/>
        </w:rPr>
        <w:t>8</w:t>
      </w:r>
      <w:r>
        <w:rPr/>
        <w:t>, 25.</w:t>
      </w:r>
    </w:p>
    <w:p>
      <w:pPr>
        <w:pStyle w:val="Bibliography"/>
        <w:rPr/>
      </w:pPr>
      <w:r>
        <w:rPr/>
        <w:t xml:space="preserve">The HadGEM2 Development Team: G. M. Martin, Bellouin, N., Collins, W.J., Culverwell, I.D., Halloran, P.R., Hardiman, S.C., Hinton, T.J., Jones, C.D., McDonald, R.E., McLaren, A.J., O’Connor, F.M., Roberts, M.J., Rodriguez, J.M., Woodward, S., Best, M.J., Brooks, M.E., Brown, A.R., Butchart, N., Dearden, C., Derbyshire, S.H., Dharssi, I., Doutriaux-Boucher, M., Edwards, J.M., Falloon, P.D., Gedney, N., Gray, L.J., Hewitt, H.T., Hobson, M., Huddleston, M.R., Hughes, J., Ineson, S., Ingram, W.J., James, P.M., Johns, T.C., Johnson, C.E., Jones, A., Jones, C.P., Joshi, M.M., Keen, A.B., Liddicoat, S., Lock, A.P., Maidens, A.V., Manners, J.C., Milton, S.F., Rae, J.G.L., Ridley, J.K., Sellar, A., Senior, C.A., Totterdell, I.J., Verhoef, A., Vidale, P.L. &amp; Wiltshire, A. (2011) The HadGEM2 family of Met Office Unified Model climate configurations. </w:t>
      </w:r>
      <w:r>
        <w:rPr>
          <w:i/>
          <w:iCs/>
        </w:rPr>
        <w:t>Geoscientific Model Development</w:t>
      </w:r>
      <w:r>
        <w:rPr/>
        <w:t xml:space="preserve">, </w:t>
      </w:r>
      <w:r>
        <w:rPr>
          <w:b/>
          <w:bCs/>
        </w:rPr>
        <w:t>4</w:t>
      </w:r>
      <w:r>
        <w:rPr/>
        <w:t>, 723–757.</w:t>
      </w:r>
    </w:p>
    <w:p>
      <w:pPr>
        <w:pStyle w:val="Bibliography"/>
        <w:rPr/>
      </w:pPr>
      <w:r>
        <w:rPr/>
        <w:t>US Department of Commerce. (2016) Bureau of Economic Analysis, https://www.bea.gov/iTable/index_regional.cfm</w:t>
      </w:r>
    </w:p>
    <w:p>
      <w:pPr>
        <w:pStyle w:val="Bibliography"/>
        <w:rPr/>
      </w:pPr>
      <w:r>
        <w:rPr/>
        <w:t>U.S. Department of Commerce/U.S. Census Bureau. (2010) TIGER/Line Shapefile, 2010, 2010 state, Oklahoma, 2010 Census Block State-based.</w:t>
      </w:r>
    </w:p>
    <w:p>
      <w:pPr>
        <w:pStyle w:val="Bibliography"/>
        <w:rPr/>
      </w:pPr>
      <w:r>
        <w:rPr/>
        <w:t>USDA/NASS. (2016) USDA/NASS 2016 State Agriculture Overview for Oklahoma, https://www.nass.usda.gov/Quick_Stats/Ag_Overview/stateOverview.php?state=OKLAHOMA</w:t>
      </w:r>
    </w:p>
    <w:p>
      <w:pPr>
        <w:pStyle w:val="Bibliography"/>
        <w:rPr/>
      </w:pPr>
      <w:r>
        <w:rPr/>
        <w:t>USDA/NRCS - National Geospatial Center of Excellence. (2010) USDA-NRCS Easement Areas: Oklahoma.</w:t>
      </w:r>
    </w:p>
    <w:p>
      <w:pPr>
        <w:pStyle w:val="Bibliography"/>
        <w:rPr/>
      </w:pPr>
      <w:r>
        <w:rPr/>
        <w:t>USDA/NRCS - National Geospatial Center of Excellence. (2011) 2011 National Land Cover Dataset (NLCD): Oklahoma.</w:t>
      </w:r>
    </w:p>
    <w:p>
      <w:pPr>
        <w:pStyle w:val="Bibliography"/>
        <w:rPr/>
      </w:pPr>
      <w:r>
        <w:rPr/>
        <w:t xml:space="preserve">Wright, C.K. &amp; Wimberly, M.C. (2013) Recent land use change in the Western Corn Belt threatens grasslands and wetlands. </w:t>
      </w:r>
      <w:r>
        <w:rPr>
          <w:i/>
          <w:iCs/>
        </w:rPr>
        <w:t>Proceedings of the National Academy of Sciences</w:t>
      </w:r>
      <w:r>
        <w:rPr/>
        <w:t xml:space="preserve">, </w:t>
      </w:r>
      <w:r>
        <w:rPr>
          <w:b/>
          <w:bCs/>
        </w:rPr>
        <w:t>110</w:t>
      </w:r>
      <w:bookmarkStart w:id="65" w:name="ZOTERO_BREF_wQV4UoWU7BCz"/>
      <w:bookmarkEnd w:id="65"/>
      <w:r>
        <w:rPr/>
        <w:t>, 4134–4139.</w:t>
      </w:r>
    </w:p>
    <w:p>
      <w:pPr>
        <w:pStyle w:val="Normal"/>
        <w:rPr/>
      </w:pPr>
      <w:r>
        <w:rPr/>
      </w:r>
    </w:p>
    <w:p>
      <w:pPr>
        <w:pStyle w:val="Normal"/>
        <w:spacing w:lineRule="auto" w:line="240" w:before="0" w:after="0"/>
        <w:rPr>
          <w:rFonts w:eastAsia="Noto Sans CJK SC Regular" w:cs="FreeSans"/>
          <w:bCs/>
          <w:smallCaps/>
          <w:szCs w:val="28"/>
        </w:rPr>
      </w:pPr>
      <w:r>
        <w:rPr>
          <w:rFonts w:eastAsia="Noto Sans CJK SC Regular" w:cs="FreeSans"/>
          <w:bCs/>
          <w:smallCaps/>
          <w:szCs w:val="28"/>
        </w:rPr>
      </w:r>
      <w:r>
        <w:br w:type="page"/>
      </w:r>
    </w:p>
    <w:p>
      <w:pPr>
        <w:pStyle w:val="Heading1"/>
        <w:rPr/>
      </w:pPr>
      <w:r>
        <w:rPr/>
        <w:t>Tables</w:t>
      </w:r>
    </w:p>
    <w:p>
      <w:pPr>
        <w:pStyle w:val="Normal"/>
        <w:rPr/>
      </w:pPr>
      <w:r>
        <w:rPr/>
      </w:r>
    </w:p>
    <w:p>
      <w:pPr>
        <w:pStyle w:val="Caption1"/>
        <w:keepNext/>
        <w:rPr/>
      </w:pPr>
      <w:bookmarkStart w:id="66" w:name="_Ref473812346"/>
      <w:r>
        <w:rPr/>
        <w:t xml:space="preserve">Table </w:t>
      </w:r>
      <w:r>
        <w:rPr/>
        <w:fldChar w:fldCharType="begin"/>
      </w:r>
      <w:r>
        <w:instrText> SEQ Table \* ARABIC </w:instrText>
      </w:r>
      <w:r>
        <w:fldChar w:fldCharType="separate"/>
      </w:r>
      <w:r>
        <w:t>1</w:t>
      </w:r>
      <w:r>
        <w:fldChar w:fldCharType="end"/>
      </w:r>
      <w:bookmarkEnd w:id="66"/>
      <w:r>
        <w:rPr/>
        <w:t>. Predictors used in models.</w:t>
      </w:r>
    </w:p>
    <w:tbl>
      <w:tblPr>
        <w:tblStyle w:val="TableGrid"/>
        <w:tblW w:w="8118" w:type="dxa"/>
        <w:jc w:val="left"/>
        <w:tblInd w:w="0" w:type="dxa"/>
        <w:tblCellMar>
          <w:top w:w="0" w:type="dxa"/>
          <w:left w:w="108" w:type="dxa"/>
          <w:bottom w:w="0" w:type="dxa"/>
          <w:right w:w="108" w:type="dxa"/>
        </w:tblCellMar>
        <w:tblLook w:val="04a0" w:noVBand="1" w:noHBand="0" w:lastColumn="0" w:firstColumn="1" w:lastRow="0" w:firstRow="1"/>
      </w:tblPr>
      <w:tblGrid>
        <w:gridCol w:w="3472"/>
        <w:gridCol w:w="3205"/>
        <w:gridCol w:w="1441"/>
      </w:tblGrid>
      <w:tr>
        <w:trPr/>
        <w:tc>
          <w:tcPr>
            <w:tcW w:w="3472"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Predictor variable name</w:t>
            </w:r>
          </w:p>
        </w:tc>
        <w:tc>
          <w:tcPr>
            <w:tcW w:w="3205"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Definition</w:t>
            </w:r>
          </w:p>
        </w:tc>
        <w:tc>
          <w:tcPr>
            <w:tcW w:w="1441"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Source</w:t>
            </w:r>
          </w:p>
        </w:tc>
      </w:tr>
      <w:tr>
        <w:trPr/>
        <w:tc>
          <w:tcPr>
            <w:tcW w:w="3472"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color w:val="222222"/>
                <w:szCs w:val="24"/>
                <w:highlight w:val="white"/>
              </w:rPr>
            </w:pPr>
            <w:r>
              <w:rPr>
                <w:rFonts w:cs="Times New Roman"/>
                <w:color w:val="222222"/>
                <w:szCs w:val="24"/>
                <w:shd w:fill="FFFFFF" w:val="clear"/>
              </w:rPr>
              <w:t>effort_length</w:t>
            </w:r>
          </w:p>
        </w:tc>
        <w:tc>
          <w:tcPr>
            <w:tcW w:w="3205"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Length of survey (km)</w:t>
            </w:r>
          </w:p>
        </w:tc>
        <w:tc>
          <w:tcPr>
            <w:tcW w:w="1441"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Survey data</w:t>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color w:val="222222"/>
                <w:szCs w:val="24"/>
                <w:highlight w:val="white"/>
              </w:rPr>
            </w:pPr>
            <w:r>
              <w:rPr>
                <w:rFonts w:cs="Times New Roman"/>
                <w:color w:val="222222"/>
                <w:szCs w:val="24"/>
                <w:shd w:fill="FFFFFF" w:val="clear"/>
              </w:rPr>
              <w:t>effort_time</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Duration of survey (hr)</w:t>
            </w:r>
          </w:p>
        </w:tc>
        <w:tc>
          <w:tcPr>
            <w:tcW w:w="1441"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Survey data</w:t>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color w:val="222222"/>
                <w:szCs w:val="24"/>
                <w:highlight w:val="white"/>
              </w:rPr>
            </w:pPr>
            <w:r>
              <w:rPr>
                <w:rFonts w:cs="Times New Roman"/>
                <w:color w:val="222222"/>
                <w:szCs w:val="24"/>
                <w:shd w:fill="FFFFFF" w:val="clear"/>
              </w:rPr>
              <w:t>time_of_day</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Time of survey</w:t>
            </w:r>
          </w:p>
        </w:tc>
        <w:tc>
          <w:tcPr>
            <w:tcW w:w="1441"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Survey data</w:t>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color w:val="222222"/>
                <w:szCs w:val="24"/>
                <w:shd w:fill="FFFFFF" w:val="clear"/>
              </w:rPr>
              <w:t xml:space="preserve">conservation_easements_presenceabsence </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Presence (1) or absence (0) of a conservation easement</w:t>
            </w:r>
          </w:p>
        </w:tc>
        <w:tc>
          <w:tcPr>
            <w:tcW w:w="1441"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bookmarkStart w:id="67" w:name="ZOTERO_BREF_WQz87tRGm9WL"/>
            <w:bookmarkEnd w:id="67"/>
            <w:r>
              <w:rPr>
                <w:rFonts w:cs="Times New Roman"/>
                <w:szCs w:val="24"/>
              </w:rPr>
              <w:t>(USDA/NRCS - National Geospatial Center of Excellence 2010)</w:t>
            </w:r>
          </w:p>
        </w:tc>
      </w:tr>
      <w:tr>
        <w:trPr/>
        <w:tc>
          <w:tcPr>
            <w:tcW w:w="3472" w:type="dxa"/>
            <w:tcBorders>
              <w:top w:val="nil"/>
              <w:left w:val="nil"/>
              <w:right w:val="nil"/>
              <w:insideV w:val="nil"/>
            </w:tcBorders>
            <w:shd w:fill="auto" w:val="clear"/>
          </w:tcPr>
          <w:p>
            <w:pPr>
              <w:pStyle w:val="Normal"/>
              <w:widowControl/>
              <w:bidi w:val="0"/>
              <w:spacing w:lineRule="auto" w:line="276" w:before="0" w:after="200"/>
              <w:jc w:val="left"/>
              <w:rPr>
                <w:rFonts w:cs="Times New Roman"/>
                <w:color w:val="222222"/>
                <w:szCs w:val="24"/>
                <w:highlight w:val="white"/>
              </w:rPr>
            </w:pPr>
            <w:r>
              <w:rPr>
                <w:rFonts w:cs="Times New Roman"/>
                <w:color w:val="222222"/>
                <w:szCs w:val="24"/>
                <w:shd w:fill="FFFFFF" w:val="clear"/>
              </w:rPr>
              <w:t xml:space="preserve">conservation_easements_CalcArea </w:t>
            </w:r>
          </w:p>
        </w:tc>
        <w:tc>
          <w:tcPr>
            <w:tcW w:w="3205"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Area of the conservation easement in which a given pixel exists (acres)</w:t>
            </w:r>
          </w:p>
        </w:tc>
        <w:tc>
          <w:tcPr>
            <w:tcW w:w="1441"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nlcd_ok_utm14_okmask</w:t>
            </w:r>
          </w:p>
        </w:tc>
        <w:tc>
          <w:tcPr>
            <w:tcW w:w="3205"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NLCD2011 Landcover Classes</w:t>
            </w:r>
          </w:p>
        </w:tc>
        <w:tc>
          <w:tcPr>
            <w:tcW w:w="1441" w:type="dxa"/>
            <w:vMerge w:val="restart"/>
            <w:tcBorders>
              <w:left w:val="nil"/>
              <w:bottom w:val="nil"/>
              <w:right w:val="nil"/>
              <w:insideH w:val="nil"/>
              <w:insideV w:val="nil"/>
            </w:tcBorders>
            <w:shd w:fill="auto" w:val="clear"/>
          </w:tcPr>
          <w:p>
            <w:pPr>
              <w:pStyle w:val="Normal"/>
              <w:rPr>
                <w:rFonts w:cs="Times New Roman"/>
                <w:szCs w:val="24"/>
              </w:rPr>
            </w:pPr>
            <w:bookmarkStart w:id="68" w:name="ZOTERO_BREF_HvbvPJLOWNpe"/>
            <w:bookmarkEnd w:id="68"/>
            <w:r>
              <w:rPr>
                <w:rFonts w:cs="Times New Roman"/>
                <w:szCs w:val="24"/>
              </w:rPr>
              <w:t>(USDA/NRCS - National Geospatial Center of Excellence 2011)</w:t>
            </w:r>
          </w:p>
          <w:p>
            <w:pPr>
              <w:pStyle w:val="Normal"/>
              <w:widowControl/>
              <w:bidi w:val="0"/>
              <w:spacing w:lineRule="auto" w:line="276" w:before="0" w:after="200"/>
              <w:jc w:val="left"/>
              <w:rPr>
                <w:rFonts w:cs="Times New Roman"/>
                <w:szCs w:val="24"/>
              </w:rPr>
            </w:pPr>
            <w:r>
              <w:rPr>
                <w:rFonts w:cs="Times New Roman"/>
                <w:szCs w:val="24"/>
              </w:rPr>
              <w:t>Neighborhoods modified from NLCD landcover classes.</w:t>
            </w:r>
          </w:p>
        </w:tc>
      </w:tr>
      <w:tr>
        <w:trPr/>
        <w:tc>
          <w:tcPr>
            <w:tcW w:w="3472" w:type="dxa"/>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NLCD 2.25 ha (5x5 cells) and 20.25 ha (15 x 15 cells) neighborhoods: proportion of neighborhood with the named land cover classes (values range from 0 to 1).  Definitions described the land cover type and list the category numbers included in each neighborhood.</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rPr>
                <w:rFonts w:cs="Times New Roman"/>
                <w:szCs w:val="24"/>
              </w:rPr>
            </w:pPr>
            <w:r>
              <w:rPr>
                <w:rFonts w:cs="Times New Roman"/>
                <w:szCs w:val="24"/>
              </w:rPr>
              <w:t>undevopenspace_5cell_okmask</w:t>
            </w:r>
          </w:p>
          <w:p>
            <w:pPr>
              <w:pStyle w:val="Normal"/>
              <w:widowControl/>
              <w:bidi w:val="0"/>
              <w:spacing w:lineRule="auto" w:line="276" w:before="0" w:after="200"/>
              <w:jc w:val="left"/>
              <w:rPr>
                <w:rFonts w:cs="Times New Roman"/>
                <w:szCs w:val="24"/>
              </w:rPr>
            </w:pPr>
            <w:r>
              <w:rPr>
                <w:rFonts w:cs="Times New Roman"/>
                <w:szCs w:val="24"/>
              </w:rPr>
              <w:t>undevopenspace_15cell_okmask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Undeveloped open space (11, 31, 71, 81, 82, 95)</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rPr>
                <w:rFonts w:cs="Times New Roman"/>
                <w:szCs w:val="24"/>
              </w:rPr>
            </w:pPr>
            <w:r>
              <w:rPr>
                <w:rFonts w:cs="Times New Roman"/>
                <w:szCs w:val="24"/>
              </w:rPr>
              <w:t>openwater11_5cell_okmask</w:t>
            </w:r>
          </w:p>
          <w:p>
            <w:pPr>
              <w:pStyle w:val="Normal"/>
              <w:widowControl/>
              <w:bidi w:val="0"/>
              <w:spacing w:lineRule="auto" w:line="276" w:before="0" w:after="200"/>
              <w:jc w:val="left"/>
              <w:rPr>
                <w:rFonts w:cs="Times New Roman"/>
                <w:szCs w:val="24"/>
              </w:rPr>
            </w:pPr>
            <w:r>
              <w:rPr>
                <w:rFonts w:cs="Times New Roman"/>
                <w:szCs w:val="24"/>
              </w:rPr>
              <w:t>openwater11_15cell_okmask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Open water (11)</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rPr>
                <w:rFonts w:cs="Times New Roman"/>
                <w:szCs w:val="24"/>
              </w:rPr>
            </w:pPr>
            <w:r>
              <w:rPr>
                <w:rFonts w:cs="Times New Roman"/>
                <w:szCs w:val="24"/>
              </w:rPr>
              <w:t>dev_openspace21_5cell_okmask</w:t>
            </w:r>
          </w:p>
          <w:p>
            <w:pPr>
              <w:pStyle w:val="Normal"/>
              <w:widowControl/>
              <w:bidi w:val="0"/>
              <w:spacing w:lineRule="auto" w:line="276" w:before="0" w:after="200"/>
              <w:jc w:val="left"/>
              <w:rPr>
                <w:rFonts w:cs="Times New Roman"/>
                <w:szCs w:val="24"/>
              </w:rPr>
            </w:pPr>
            <w:r>
              <w:rPr>
                <w:rFonts w:cs="Times New Roman"/>
                <w:szCs w:val="24"/>
              </w:rPr>
              <w:t>dev_openspace21_15cell_okmask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Developed open space (21)</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dev_low22_5cell_okmask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Low intensity development (22)</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dev_med23_5cell_okmask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Medium intensity development (23)</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dev_high24_5cell_okmask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High intensity development (24)</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rPr>
                <w:rFonts w:cs="Times New Roman"/>
                <w:szCs w:val="24"/>
              </w:rPr>
            </w:pPr>
            <w:r>
              <w:rPr>
                <w:rFonts w:cs="Times New Roman"/>
                <w:szCs w:val="24"/>
              </w:rPr>
              <w:t>barren31_5cell_okmask</w:t>
            </w:r>
          </w:p>
          <w:p>
            <w:pPr>
              <w:pStyle w:val="Normal"/>
              <w:widowControl/>
              <w:bidi w:val="0"/>
              <w:spacing w:lineRule="auto" w:line="276" w:before="0" w:after="200"/>
              <w:jc w:val="left"/>
              <w:rPr>
                <w:rFonts w:cs="Times New Roman"/>
                <w:szCs w:val="24"/>
              </w:rPr>
            </w:pPr>
            <w:r>
              <w:rPr>
                <w:rFonts w:cs="Times New Roman"/>
                <w:szCs w:val="24"/>
              </w:rPr>
              <w:t>barren31_15cell_okmask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Barren (31)</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forest41to43_5cell_okmask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Forest (41, 42, 43)</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scrub52_5cell_okmask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Scrub and shrubland (52)</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grasslands71_5cell_okmask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Grasslands (71)</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pasturehay81_5cell_okmask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Pasture and hay (81)</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croplands82_5cell_okmask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Croplands (82)</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woodywetlands90_5cell_okmask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Woody wetlands (90)</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herbwetlands95_5cell_okmask</w:t>
            </w:r>
          </w:p>
        </w:tc>
        <w:tc>
          <w:tcPr>
            <w:tcW w:w="3205"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Herbaceous wetlands (95)</w:t>
            </w:r>
          </w:p>
        </w:tc>
        <w:tc>
          <w:tcPr>
            <w:tcW w:w="1441"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census_utm_30m</w:t>
            </w:r>
          </w:p>
        </w:tc>
        <w:tc>
          <w:tcPr>
            <w:tcW w:w="3205"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Human population density in number per km</w:t>
            </w:r>
            <w:r>
              <w:rPr>
                <w:rFonts w:cs="Times New Roman"/>
                <w:szCs w:val="24"/>
                <w:vertAlign w:val="superscript"/>
              </w:rPr>
              <w:t>2</w:t>
            </w:r>
          </w:p>
        </w:tc>
        <w:tc>
          <w:tcPr>
            <w:tcW w:w="1441"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bookmarkStart w:id="69" w:name="ZOTERO_BREF_jEB2MYRshlNH"/>
            <w:bookmarkEnd w:id="69"/>
            <w:r>
              <w:rPr>
                <w:rFonts w:cs="Times New Roman"/>
                <w:szCs w:val="24"/>
              </w:rPr>
              <w:t>(U.S. Department of Commerce/U.S. Census Bureau 2010)</w:t>
            </w:r>
          </w:p>
        </w:tc>
      </w:tr>
      <w:tr>
        <w:trPr/>
        <w:tc>
          <w:tcPr>
            <w:tcW w:w="3472"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bio1_12_OK</w:t>
            </w:r>
          </w:p>
        </w:tc>
        <w:tc>
          <w:tcPr>
            <w:tcW w:w="3205"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 = Annual Mean Temperature</w:t>
            </w:r>
          </w:p>
        </w:tc>
        <w:tc>
          <w:tcPr>
            <w:tcW w:w="1441" w:type="dxa"/>
            <w:vMerge w:val="restart"/>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 xml:space="preserve">Bioclim variables from Worldclim </w:t>
            </w:r>
            <w:bookmarkStart w:id="70" w:name="ZOTERO_BREF_cWhR9UFZ5gWH"/>
            <w:r>
              <w:rPr>
                <w:rFonts w:cs="Times New Roman"/>
                <w:szCs w:val="24"/>
              </w:rPr>
              <w:t xml:space="preserve">(Hijmans </w:t>
            </w:r>
            <w:r>
              <w:rPr>
                <w:rFonts w:cs="Times New Roman"/>
                <w:i/>
                <w:iCs/>
                <w:szCs w:val="24"/>
              </w:rPr>
              <w:t>et al.</w:t>
            </w:r>
            <w:bookmarkEnd w:id="70"/>
            <w:r>
              <w:rPr>
                <w:rFonts w:cs="Times New Roman"/>
                <w:szCs w:val="24"/>
              </w:rPr>
              <w:t xml:space="preserve"> 2005)</w:t>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BIO2 = Mean Diurnal Range (Mean of monthly (max temp - min temp))</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bio3_12_OK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BIO3 = Isothermality (BIO2/BIO7) (* 100)</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bio4_12_OK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BIO4 = Temperature Seasonality (standard deviation *100)</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bio5_12_OK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BIO5 = Max Temperature of Warmest Month</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bio6_12_OK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BIO6 = Min Temperature of Coldest Month</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bio7_12_OK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BIO7 = Temperature Annual Range (BIO5-BIO6)</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bio8_12_OK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BIO8 = Mean Temperature of Wettest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bio9_12_OK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BIO9 = Mean Temperature of Driest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bio10_12_OK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BIO10 = Mean Temperature of Warmest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bio11_12_OK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BIO11 = Mean Temperature of Coldest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bio12_12_OK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BIO12 = Annual Precipitation</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bio13_12_OK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BIO13 = Precipitation of Wettest Month</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bio14_12_OK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BIO14 = Precipitation of Driest Month</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bio15_12_OK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BIO15 = Precipitation Seasonality (Coefficient of Variation)</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bio16_12_OK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BIO16 = Precipitation of Wettest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bio17_12_OK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BIO17 = Precipitation of Driest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bio18_12_OK</w:t>
            </w:r>
          </w:p>
        </w:tc>
        <w:tc>
          <w:tcPr>
            <w:tcW w:w="3205"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BIO18 = Precipitation of Warmest Quarter</w:t>
            </w:r>
          </w:p>
        </w:tc>
        <w:tc>
          <w:tcPr>
            <w:tcW w:w="1441"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r>
      <w:tr>
        <w:trPr/>
        <w:tc>
          <w:tcPr>
            <w:tcW w:w="3472"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bio19_12_OK</w:t>
            </w:r>
          </w:p>
        </w:tc>
        <w:tc>
          <w:tcPr>
            <w:tcW w:w="3205" w:type="dxa"/>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BIO19 = Precipitation of Coldest Quarter</w:t>
            </w:r>
          </w:p>
        </w:tc>
        <w:tc>
          <w:tcPr>
            <w:tcW w:w="1441"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r>
    </w:tbl>
    <w:p>
      <w:pPr>
        <w:pStyle w:val="Normal"/>
        <w:rPr/>
      </w:pPr>
      <w:r>
        <w:rPr/>
      </w:r>
    </w:p>
    <w:p>
      <w:pPr>
        <w:pStyle w:val="Normal"/>
        <w:spacing w:lineRule="auto" w:line="240" w:before="0" w:after="0"/>
        <w:rPr/>
      </w:pPr>
      <w:r>
        <w:rPr/>
      </w:r>
      <w:r>
        <w:br w:type="page"/>
      </w:r>
    </w:p>
    <w:p>
      <w:pPr>
        <w:pStyle w:val="Caption1"/>
        <w:keepNext/>
        <w:rPr/>
      </w:pPr>
      <w:bookmarkStart w:id="71" w:name="_Ref475964207"/>
      <w:r>
        <w:rPr/>
        <w:t xml:space="preserve">Table </w:t>
      </w:r>
      <w:r>
        <w:rPr/>
        <w:fldChar w:fldCharType="begin"/>
      </w:r>
      <w:r>
        <w:instrText> SEQ Table \* ARABIC </w:instrText>
      </w:r>
      <w:r>
        <w:fldChar w:fldCharType="separate"/>
      </w:r>
      <w:r>
        <w:t>2</w:t>
      </w:r>
      <w:r>
        <w:fldChar w:fldCharType="end"/>
      </w:r>
      <w:bookmarkEnd w:id="71"/>
      <w:r>
        <w:rPr/>
        <w:t xml:space="preserve">. Study species with their Breeding Bird Survey trends for Oklahoma and North America </w:t>
      </w:r>
      <w:bookmarkStart w:id="72" w:name="ZOTERO_BREF_msN0es1BvSfb"/>
      <w:r>
        <w:rPr>
          <w:rFonts w:cs="Times New Roman"/>
        </w:rPr>
        <w:t xml:space="preserve">(Sauer </w:t>
      </w:r>
      <w:r>
        <w:rPr>
          <w:rFonts w:cs="Times New Roman"/>
          <w:i w:val="false"/>
          <w:iCs w:val="false"/>
        </w:rPr>
        <w:t>et al.</w:t>
      </w:r>
      <w:r>
        <w:rPr>
          <w:rFonts w:cs="Times New Roman"/>
        </w:rPr>
        <w:t xml:space="preserve"> 2017)</w:t>
      </w:r>
      <w:bookmarkEnd w:id="72"/>
      <w:r>
        <w:rPr>
          <w:rFonts w:cs="Times New Roman"/>
        </w:rPr>
        <w:t xml:space="preserve">.  </w:t>
      </w:r>
      <w:r>
        <w:rPr/>
        <w:t xml:space="preserve">Values are reported as trends with 95% credible intervals (lower, upper).  Significant declines are marked with </w:t>
      </w:r>
      <w:r>
        <w:rPr>
          <w:b/>
        </w:rPr>
        <w:t>boldface</w:t>
      </w:r>
      <w:r>
        <w:rPr/>
        <w:t xml:space="preserve">.  Sample size is reported as number of routes. Species with a decline at any region or timeframe are in </w:t>
      </w:r>
      <w:r>
        <w:rPr>
          <w:i w:val="false"/>
        </w:rPr>
        <w:t>italics</w:t>
      </w:r>
      <w:r>
        <w:rPr/>
        <w:t>.</w:t>
      </w:r>
    </w:p>
    <w:tbl>
      <w:tblPr>
        <w:tblStyle w:val="TableGrid"/>
        <w:tblW w:w="8972" w:type="dxa"/>
        <w:jc w:val="left"/>
        <w:tblInd w:w="0" w:type="dxa"/>
        <w:tblCellMar>
          <w:top w:w="0" w:type="dxa"/>
          <w:left w:w="108" w:type="dxa"/>
          <w:bottom w:w="0" w:type="dxa"/>
          <w:right w:w="108" w:type="dxa"/>
        </w:tblCellMar>
        <w:tblLook w:val="04a0" w:noVBand="1" w:noHBand="0" w:lastColumn="0" w:firstColumn="1" w:lastRow="0" w:firstRow="1"/>
      </w:tblPr>
      <w:tblGrid>
        <w:gridCol w:w="1328"/>
        <w:gridCol w:w="1500"/>
        <w:gridCol w:w="1528"/>
        <w:gridCol w:w="515"/>
        <w:gridCol w:w="1922"/>
        <w:gridCol w:w="1441"/>
        <w:gridCol w:w="737"/>
      </w:tblGrid>
      <w:tr>
        <w:trPr/>
        <w:tc>
          <w:tcPr>
            <w:tcW w:w="1328"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Species</w:t>
            </w:r>
          </w:p>
        </w:tc>
        <w:tc>
          <w:tcPr>
            <w:tcW w:w="1500"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Breeding bird survey trend in Oklahoma 1966-2015</w:t>
            </w:r>
          </w:p>
        </w:tc>
        <w:tc>
          <w:tcPr>
            <w:tcW w:w="1528"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2005-2015</w:t>
            </w:r>
          </w:p>
        </w:tc>
        <w:tc>
          <w:tcPr>
            <w:tcW w:w="515"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n</w:t>
            </w:r>
          </w:p>
        </w:tc>
        <w:tc>
          <w:tcPr>
            <w:tcW w:w="1922"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BBS trend North America 1966-2015</w:t>
            </w:r>
          </w:p>
        </w:tc>
        <w:tc>
          <w:tcPr>
            <w:tcW w:w="1441"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2005-2015</w:t>
            </w:r>
          </w:p>
        </w:tc>
        <w:tc>
          <w:tcPr>
            <w:tcW w:w="737" w:type="dxa"/>
            <w:tcBorders>
              <w:top w:val="nil"/>
              <w:left w:val="nil"/>
              <w:right w:val="nil"/>
              <w:insideV w:val="nil"/>
            </w:tcBorders>
            <w:shd w:fill="auto" w:val="clear"/>
          </w:tcPr>
          <w:p>
            <w:pPr>
              <w:pStyle w:val="Normal"/>
              <w:widowControl/>
              <w:bidi w:val="0"/>
              <w:spacing w:lineRule="auto" w:line="276" w:before="0" w:after="200"/>
              <w:jc w:val="left"/>
              <w:rPr>
                <w:sz w:val="20"/>
                <w:szCs w:val="20"/>
              </w:rPr>
            </w:pPr>
            <w:r>
              <w:rPr>
                <w:sz w:val="20"/>
                <w:szCs w:val="20"/>
              </w:rPr>
              <w:t>n</w:t>
            </w:r>
          </w:p>
        </w:tc>
      </w:tr>
      <w:tr>
        <w:trPr/>
        <w:tc>
          <w:tcPr>
            <w:tcW w:w="1328" w:type="dxa"/>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Northern Bobwhite</w:t>
            </w:r>
          </w:p>
        </w:tc>
        <w:tc>
          <w:tcPr>
            <w:tcW w:w="1500" w:type="dxa"/>
            <w:tcBorders>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-1.57</w:t>
            </w:r>
          </w:p>
          <w:p>
            <w:pPr>
              <w:pStyle w:val="HTMLPreformatted"/>
              <w:rPr>
                <w:rFonts w:ascii="Times New Roman" w:hAnsi="Times New Roman" w:cs="Times New Roman"/>
                <w:b/>
                <w:b/>
              </w:rPr>
            </w:pPr>
            <w:r>
              <w:rPr>
                <w:rFonts w:cs="Times New Roman" w:ascii="Times New Roman" w:hAnsi="Times New Roman"/>
                <w:b/>
                <w:bCs/>
              </w:rPr>
              <w:t>(-2.24, -0.89)</w:t>
            </w:r>
          </w:p>
        </w:tc>
        <w:tc>
          <w:tcPr>
            <w:tcW w:w="1528" w:type="dxa"/>
            <w:tcBorders>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-3.03</w:t>
            </w:r>
          </w:p>
          <w:p>
            <w:pPr>
              <w:pStyle w:val="HTMLPreformatted"/>
              <w:rPr>
                <w:rFonts w:ascii="Times New Roman" w:hAnsi="Times New Roman" w:cs="Times New Roman"/>
                <w:b/>
                <w:b/>
                <w:bCs/>
              </w:rPr>
            </w:pPr>
            <w:r>
              <w:rPr>
                <w:rFonts w:cs="Times New Roman" w:ascii="Times New Roman" w:hAnsi="Times New Roman"/>
                <w:b/>
                <w:bCs/>
              </w:rPr>
              <w:t>(-5.50, -0.57)</w:t>
            </w:r>
          </w:p>
        </w:tc>
        <w:tc>
          <w:tcPr>
            <w:tcW w:w="515" w:type="dxa"/>
            <w:tcBorders>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60</w:t>
            </w:r>
          </w:p>
        </w:tc>
        <w:tc>
          <w:tcPr>
            <w:tcW w:w="1922" w:type="dxa"/>
            <w:tcBorders>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-3.48</w:t>
            </w:r>
          </w:p>
          <w:p>
            <w:pPr>
              <w:pStyle w:val="HTMLPreformatted"/>
              <w:rPr>
                <w:rFonts w:ascii="Times New Roman" w:hAnsi="Times New Roman" w:cs="Times New Roman"/>
                <w:b/>
                <w:b/>
                <w:bCs/>
              </w:rPr>
            </w:pPr>
            <w:r>
              <w:rPr>
                <w:rFonts w:cs="Times New Roman" w:ascii="Times New Roman" w:hAnsi="Times New Roman"/>
                <w:b/>
                <w:bCs/>
              </w:rPr>
              <w:t>(-3.77, -3.24)</w:t>
            </w:r>
          </w:p>
        </w:tc>
        <w:tc>
          <w:tcPr>
            <w:tcW w:w="1441" w:type="dxa"/>
            <w:tcBorders>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-2.79</w:t>
            </w:r>
          </w:p>
          <w:p>
            <w:pPr>
              <w:pStyle w:val="HTMLPreformatted"/>
              <w:rPr>
                <w:rFonts w:ascii="Times New Roman" w:hAnsi="Times New Roman" w:cs="Times New Roman"/>
                <w:b/>
                <w:b/>
              </w:rPr>
            </w:pPr>
            <w:r>
              <w:rPr>
                <w:rFonts w:cs="Times New Roman" w:ascii="Times New Roman" w:hAnsi="Times New Roman"/>
                <w:b/>
                <w:bCs/>
              </w:rPr>
              <w:t>(-3.51, -2.07)</w:t>
            </w:r>
          </w:p>
          <w:p>
            <w:pPr>
              <w:pStyle w:val="Normal"/>
              <w:spacing w:before="0" w:after="200"/>
              <w:rPr>
                <w:rFonts w:cs="Times New Roman"/>
                <w:b/>
                <w:b/>
                <w:sz w:val="20"/>
                <w:szCs w:val="20"/>
              </w:rPr>
            </w:pPr>
            <w:r>
              <w:rPr>
                <w:rFonts w:cs="Times New Roman"/>
                <w:b/>
                <w:sz w:val="20"/>
                <w:szCs w:val="20"/>
              </w:rPr>
            </w:r>
          </w:p>
        </w:tc>
        <w:tc>
          <w:tcPr>
            <w:tcW w:w="737" w:type="dxa"/>
            <w:tcBorders>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 xml:space="preserve">1983 </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 w:val="20"/>
                <w:szCs w:val="20"/>
              </w:rPr>
            </w:pPr>
            <w:r>
              <w:rPr>
                <w:rFonts w:cs="Times New Roman"/>
                <w:sz w:val="20"/>
                <w:szCs w:val="20"/>
              </w:rPr>
              <w:t>Upland Sandpiper</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0.20</w:t>
            </w:r>
          </w:p>
          <w:p>
            <w:pPr>
              <w:pStyle w:val="HTMLPreformatted"/>
              <w:rPr>
                <w:rFonts w:ascii="Times New Roman" w:hAnsi="Times New Roman" w:cs="Times New Roman"/>
              </w:rPr>
            </w:pPr>
            <w:r>
              <w:rPr>
                <w:rFonts w:cs="Times New Roman" w:ascii="Times New Roman" w:hAnsi="Times New Roman"/>
                <w:bCs/>
              </w:rPr>
              <w:t xml:space="preserve">(-2.71, 2.51) </w:t>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3.21</w:t>
            </w:r>
          </w:p>
          <w:p>
            <w:pPr>
              <w:pStyle w:val="HTMLPreformatted"/>
              <w:rPr>
                <w:rFonts w:ascii="Times New Roman" w:hAnsi="Times New Roman" w:cs="Times New Roman"/>
                <w:bCs/>
              </w:rPr>
            </w:pPr>
            <w:r>
              <w:rPr>
                <w:rFonts w:cs="Times New Roman" w:ascii="Times New Roman" w:hAnsi="Times New Roman"/>
                <w:bCs/>
              </w:rPr>
              <w:t xml:space="preserve">(-6.07, 14.80) </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32</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0.40</w:t>
            </w:r>
          </w:p>
          <w:p>
            <w:pPr>
              <w:pStyle w:val="HTMLPreformatted"/>
              <w:rPr>
                <w:rFonts w:ascii="Times New Roman" w:hAnsi="Times New Roman" w:cs="Times New Roman"/>
                <w:bCs/>
              </w:rPr>
            </w:pPr>
            <w:r>
              <w:rPr>
                <w:rFonts w:cs="Times New Roman" w:ascii="Times New Roman" w:hAnsi="Times New Roman"/>
                <w:bCs/>
              </w:rPr>
              <w:t xml:space="preserve">(-0.14, 0.87) </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1.50</w:t>
            </w:r>
          </w:p>
          <w:p>
            <w:pPr>
              <w:pStyle w:val="HTMLPreformatted"/>
              <w:rPr>
                <w:rFonts w:ascii="Times New Roman" w:hAnsi="Times New Roman" w:cs="Times New Roman"/>
              </w:rPr>
            </w:pPr>
            <w:r>
              <w:rPr>
                <w:rFonts w:cs="Times New Roman" w:ascii="Times New Roman" w:hAnsi="Times New Roman"/>
                <w:bCs/>
              </w:rPr>
              <w:t>(0.33, 2.77)</w:t>
            </w:r>
          </w:p>
          <w:p>
            <w:pPr>
              <w:pStyle w:val="Normal"/>
              <w:spacing w:before="0" w:after="200"/>
              <w:rPr>
                <w:rFonts w:cs="Times New Roman"/>
                <w:sz w:val="20"/>
                <w:szCs w:val="20"/>
              </w:rPr>
            </w:pPr>
            <w:r>
              <w:rPr>
                <w:rFonts w:cs="Times New Roman"/>
                <w:sz w:val="20"/>
                <w:szCs w:val="20"/>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994</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Horned Lark</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0.61</w:t>
            </w:r>
          </w:p>
          <w:p>
            <w:pPr>
              <w:pStyle w:val="HTMLPreformatted"/>
              <w:rPr>
                <w:rFonts w:ascii="Times New Roman" w:hAnsi="Times New Roman" w:cs="Times New Roman"/>
              </w:rPr>
            </w:pPr>
            <w:r>
              <w:rPr>
                <w:rFonts w:cs="Times New Roman" w:ascii="Times New Roman" w:hAnsi="Times New Roman"/>
                <w:bCs/>
              </w:rPr>
              <w:t xml:space="preserve">(-1.47, 2.78) </w:t>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1.64</w:t>
            </w:r>
          </w:p>
          <w:p>
            <w:pPr>
              <w:pStyle w:val="HTMLPreformatted"/>
              <w:rPr>
                <w:rFonts w:ascii="Times New Roman" w:hAnsi="Times New Roman" w:cs="Times New Roman"/>
                <w:bCs/>
              </w:rPr>
            </w:pPr>
            <w:r>
              <w:rPr>
                <w:rFonts w:cs="Times New Roman" w:ascii="Times New Roman" w:hAnsi="Times New Roman"/>
                <w:bCs/>
              </w:rPr>
              <w:t>(-2.20, 7.89)</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53</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-2.46</w:t>
            </w:r>
          </w:p>
          <w:p>
            <w:pPr>
              <w:pStyle w:val="HTMLPreformatted"/>
              <w:rPr>
                <w:rFonts w:ascii="Times New Roman" w:hAnsi="Times New Roman" w:cs="Times New Roman"/>
                <w:b/>
                <w:b/>
                <w:bCs/>
              </w:rPr>
            </w:pPr>
            <w:r>
              <w:rPr>
                <w:rFonts w:cs="Times New Roman" w:ascii="Times New Roman" w:hAnsi="Times New Roman"/>
                <w:b/>
                <w:bCs/>
              </w:rPr>
              <w:t>(-2.84, -2.12)</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-2.08</w:t>
            </w:r>
          </w:p>
          <w:p>
            <w:pPr>
              <w:pStyle w:val="HTMLPreformatted"/>
              <w:rPr>
                <w:rFonts w:ascii="Times New Roman" w:hAnsi="Times New Roman" w:cs="Times New Roman"/>
                <w:b/>
                <w:b/>
              </w:rPr>
            </w:pPr>
            <w:r>
              <w:rPr>
                <w:rFonts w:cs="Times New Roman" w:ascii="Times New Roman" w:hAnsi="Times New Roman"/>
                <w:b/>
                <w:bCs/>
              </w:rPr>
              <w:t>(-2.66, -1.48)</w:t>
            </w:r>
          </w:p>
          <w:p>
            <w:pPr>
              <w:pStyle w:val="Normal"/>
              <w:spacing w:before="0" w:after="200"/>
              <w:rPr>
                <w:rFonts w:cs="Times New Roman"/>
                <w:b/>
                <w:b/>
                <w:sz w:val="20"/>
                <w:szCs w:val="20"/>
              </w:rPr>
            </w:pPr>
            <w:r>
              <w:rPr>
                <w:rFonts w:cs="Times New Roman"/>
                <w:b/>
                <w:sz w:val="20"/>
                <w:szCs w:val="20"/>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2598</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 w:val="20"/>
                <w:szCs w:val="20"/>
              </w:rPr>
            </w:pPr>
            <w:r>
              <w:rPr>
                <w:rFonts w:cs="Times New Roman"/>
                <w:sz w:val="20"/>
                <w:szCs w:val="20"/>
              </w:rPr>
              <w:t>Cassin’s Sparrow</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0.01</w:t>
            </w:r>
          </w:p>
          <w:p>
            <w:pPr>
              <w:pStyle w:val="HTMLPreformatted"/>
              <w:rPr>
                <w:rFonts w:ascii="Times New Roman" w:hAnsi="Times New Roman" w:cs="Times New Roman"/>
              </w:rPr>
            </w:pPr>
            <w:r>
              <w:rPr>
                <w:rFonts w:cs="Times New Roman" w:ascii="Times New Roman" w:hAnsi="Times New Roman"/>
                <w:bCs/>
              </w:rPr>
              <w:t xml:space="preserve">(-4.03, 4.13) </w:t>
            </w:r>
          </w:p>
          <w:p>
            <w:pPr>
              <w:pStyle w:val="Normal"/>
              <w:spacing w:before="0" w:after="200"/>
              <w:rPr>
                <w:rFonts w:cs="Times New Roman"/>
                <w:sz w:val="20"/>
                <w:szCs w:val="20"/>
              </w:rPr>
            </w:pPr>
            <w:r>
              <w:rPr>
                <w:rFonts w:cs="Times New Roman"/>
                <w:sz w:val="20"/>
                <w:szCs w:val="20"/>
              </w:rPr>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2.29</w:t>
            </w:r>
          </w:p>
          <w:p>
            <w:pPr>
              <w:pStyle w:val="HTMLPreformatted"/>
              <w:rPr>
                <w:rFonts w:ascii="Times New Roman" w:hAnsi="Times New Roman" w:cs="Times New Roman"/>
                <w:bCs/>
              </w:rPr>
            </w:pPr>
            <w:r>
              <w:rPr>
                <w:rFonts w:cs="Times New Roman" w:ascii="Times New Roman" w:hAnsi="Times New Roman"/>
                <w:bCs/>
              </w:rPr>
              <w:t xml:space="preserve">(-6.71, 13.46) </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25</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-0.75</w:t>
            </w:r>
          </w:p>
          <w:p>
            <w:pPr>
              <w:pStyle w:val="HTMLPreformatted"/>
              <w:rPr>
                <w:rFonts w:ascii="Times New Roman" w:hAnsi="Times New Roman" w:cs="Times New Roman"/>
                <w:bCs/>
              </w:rPr>
            </w:pPr>
            <w:r>
              <w:rPr>
                <w:rFonts w:cs="Times New Roman" w:ascii="Times New Roman" w:hAnsi="Times New Roman"/>
                <w:bCs/>
              </w:rPr>
              <w:t xml:space="preserve">(-2.30, 0.33) </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-1.72</w:t>
            </w:r>
          </w:p>
          <w:p>
            <w:pPr>
              <w:pStyle w:val="HTMLPreformatted"/>
              <w:rPr>
                <w:rFonts w:ascii="Times New Roman" w:hAnsi="Times New Roman" w:cs="Times New Roman"/>
              </w:rPr>
            </w:pPr>
            <w:r>
              <w:rPr>
                <w:rFonts w:cs="Times New Roman" w:ascii="Times New Roman" w:hAnsi="Times New Roman"/>
                <w:bCs/>
              </w:rPr>
              <w:t>(-4.27, 1.20)</w:t>
            </w:r>
          </w:p>
          <w:p>
            <w:pPr>
              <w:pStyle w:val="HTMLPreformatted"/>
              <w:rPr>
                <w:rFonts w:ascii="Times New Roman" w:hAnsi="Times New Roman" w:cs="Times New Roman"/>
                <w:bCs/>
              </w:rPr>
            </w:pPr>
            <w:r>
              <w:rPr>
                <w:rFonts w:cs="Times New Roman" w:ascii="Times New Roman" w:hAnsi="Times New Roman"/>
                <w:bCs/>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333</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Field Sparrow</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-2.94</w:t>
            </w:r>
          </w:p>
          <w:p>
            <w:pPr>
              <w:pStyle w:val="HTMLPreformatted"/>
              <w:rPr>
                <w:rFonts w:ascii="Times New Roman" w:hAnsi="Times New Roman" w:cs="Times New Roman"/>
                <w:b/>
                <w:b/>
              </w:rPr>
            </w:pPr>
            <w:r>
              <w:rPr>
                <w:rFonts w:cs="Times New Roman" w:ascii="Times New Roman" w:hAnsi="Times New Roman"/>
                <w:b/>
                <w:bCs/>
              </w:rPr>
              <w:t>(-3.59, -2.29)</w:t>
            </w:r>
          </w:p>
          <w:p>
            <w:pPr>
              <w:pStyle w:val="Normal"/>
              <w:spacing w:before="0" w:after="200"/>
              <w:rPr>
                <w:rFonts w:cs="Times New Roman"/>
                <w:b/>
                <w:b/>
                <w:sz w:val="20"/>
                <w:szCs w:val="20"/>
              </w:rPr>
            </w:pPr>
            <w:r>
              <w:rPr>
                <w:rFonts w:cs="Times New Roman"/>
                <w:b/>
                <w:sz w:val="20"/>
                <w:szCs w:val="20"/>
              </w:rPr>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-6.63</w:t>
            </w:r>
          </w:p>
          <w:p>
            <w:pPr>
              <w:pStyle w:val="HTMLPreformatted"/>
              <w:rPr>
                <w:rFonts w:ascii="Times New Roman" w:hAnsi="Times New Roman" w:cs="Times New Roman"/>
                <w:b/>
                <w:b/>
                <w:bCs/>
              </w:rPr>
            </w:pPr>
            <w:r>
              <w:rPr>
                <w:rFonts w:cs="Times New Roman" w:ascii="Times New Roman" w:hAnsi="Times New Roman"/>
                <w:b/>
                <w:bCs/>
              </w:rPr>
              <w:t>(-9.05, -4.26)</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53</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-2.33</w:t>
            </w:r>
          </w:p>
          <w:p>
            <w:pPr>
              <w:pStyle w:val="HTMLPreformatted"/>
              <w:rPr>
                <w:rFonts w:ascii="Times New Roman" w:hAnsi="Times New Roman" w:cs="Times New Roman"/>
                <w:b/>
                <w:b/>
                <w:bCs/>
              </w:rPr>
            </w:pPr>
            <w:r>
              <w:rPr>
                <w:rFonts w:cs="Times New Roman" w:ascii="Times New Roman" w:hAnsi="Times New Roman"/>
                <w:b/>
                <w:bCs/>
              </w:rPr>
              <w:t>(-2.60, -2.17)</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-2.18</w:t>
            </w:r>
          </w:p>
          <w:p>
            <w:pPr>
              <w:pStyle w:val="HTMLPreformatted"/>
              <w:rPr>
                <w:rFonts w:ascii="Times New Roman" w:hAnsi="Times New Roman" w:cs="Times New Roman"/>
                <w:b/>
                <w:b/>
              </w:rPr>
            </w:pPr>
            <w:r>
              <w:rPr>
                <w:rFonts w:cs="Times New Roman" w:ascii="Times New Roman" w:hAnsi="Times New Roman"/>
                <w:b/>
                <w:bCs/>
              </w:rPr>
              <w:t>(-2.71, -1.67)</w:t>
            </w:r>
          </w:p>
          <w:p>
            <w:pPr>
              <w:pStyle w:val="Normal"/>
              <w:spacing w:before="0" w:after="200"/>
              <w:rPr>
                <w:rFonts w:cs="Times New Roman"/>
                <w:b/>
                <w:b/>
                <w:sz w:val="20"/>
                <w:szCs w:val="20"/>
              </w:rPr>
            </w:pPr>
            <w:r>
              <w:rPr>
                <w:rFonts w:cs="Times New Roman"/>
                <w:b/>
                <w:sz w:val="20"/>
                <w:szCs w:val="20"/>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2192</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Lark Sparrow</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-1.20</w:t>
            </w:r>
          </w:p>
          <w:p>
            <w:pPr>
              <w:pStyle w:val="HTMLPreformatted"/>
              <w:rPr>
                <w:rFonts w:ascii="Times New Roman" w:hAnsi="Times New Roman" w:cs="Times New Roman"/>
                <w:b/>
                <w:b/>
              </w:rPr>
            </w:pPr>
            <w:r>
              <w:rPr>
                <w:rFonts w:cs="Times New Roman" w:ascii="Times New Roman" w:hAnsi="Times New Roman"/>
                <w:b/>
                <w:bCs/>
              </w:rPr>
              <w:t>(-1.97, -0.39)</w:t>
            </w:r>
          </w:p>
          <w:p>
            <w:pPr>
              <w:pStyle w:val="Normal"/>
              <w:spacing w:before="0" w:after="200"/>
              <w:rPr>
                <w:rFonts w:cs="Times New Roman"/>
                <w:b/>
                <w:b/>
                <w:sz w:val="20"/>
                <w:szCs w:val="20"/>
              </w:rPr>
            </w:pPr>
            <w:r>
              <w:rPr>
                <w:rFonts w:cs="Times New Roman"/>
                <w:b/>
                <w:sz w:val="20"/>
                <w:szCs w:val="20"/>
              </w:rPr>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-0.88</w:t>
            </w:r>
          </w:p>
          <w:p>
            <w:pPr>
              <w:pStyle w:val="HTMLPreformatted"/>
              <w:rPr>
                <w:rFonts w:ascii="Times New Roman" w:hAnsi="Times New Roman" w:cs="Times New Roman"/>
                <w:bCs/>
              </w:rPr>
            </w:pPr>
            <w:r>
              <w:rPr>
                <w:rFonts w:cs="Times New Roman" w:ascii="Times New Roman" w:hAnsi="Times New Roman"/>
                <w:bCs/>
              </w:rPr>
              <w:t xml:space="preserve">(-2.44, 0.88) </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60</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-0.78</w:t>
            </w:r>
          </w:p>
          <w:p>
            <w:pPr>
              <w:pStyle w:val="HTMLPreformatted"/>
              <w:rPr>
                <w:rFonts w:ascii="Times New Roman" w:hAnsi="Times New Roman" w:cs="Times New Roman"/>
                <w:b/>
                <w:b/>
                <w:bCs/>
              </w:rPr>
            </w:pPr>
            <w:r>
              <w:rPr>
                <w:rFonts w:cs="Times New Roman" w:ascii="Times New Roman" w:hAnsi="Times New Roman"/>
                <w:b/>
                <w:bCs/>
              </w:rPr>
              <w:t>(-1.19, -0.39)</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0.07</w:t>
            </w:r>
          </w:p>
          <w:p>
            <w:pPr>
              <w:pStyle w:val="HTMLPreformatted"/>
              <w:rPr>
                <w:rFonts w:ascii="Times New Roman" w:hAnsi="Times New Roman" w:cs="Times New Roman"/>
                <w:bCs/>
              </w:rPr>
            </w:pPr>
            <w:r>
              <w:rPr>
                <w:rFonts w:cs="Times New Roman" w:ascii="Times New Roman" w:hAnsi="Times New Roman"/>
                <w:bCs/>
              </w:rPr>
              <w:t>(-0.62, 0.77)</w:t>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1628</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Grasshopper Sparrow</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0.20</w:t>
            </w:r>
          </w:p>
          <w:p>
            <w:pPr>
              <w:pStyle w:val="HTMLPreformatted"/>
              <w:rPr>
                <w:rFonts w:ascii="Times New Roman" w:hAnsi="Times New Roman" w:cs="Times New Roman"/>
              </w:rPr>
            </w:pPr>
            <w:r>
              <w:rPr>
                <w:rFonts w:cs="Times New Roman" w:ascii="Times New Roman" w:hAnsi="Times New Roman"/>
                <w:bCs/>
              </w:rPr>
              <w:t xml:space="preserve">(-1.22, 1.61) </w:t>
            </w:r>
          </w:p>
          <w:p>
            <w:pPr>
              <w:pStyle w:val="Normal"/>
              <w:spacing w:before="0" w:after="200"/>
              <w:rPr>
                <w:rFonts w:cs="Times New Roman"/>
                <w:sz w:val="20"/>
                <w:szCs w:val="20"/>
              </w:rPr>
            </w:pPr>
            <w:r>
              <w:rPr>
                <w:rFonts w:cs="Times New Roman"/>
                <w:sz w:val="20"/>
                <w:szCs w:val="20"/>
              </w:rPr>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0.87</w:t>
            </w:r>
          </w:p>
          <w:p>
            <w:pPr>
              <w:pStyle w:val="HTMLPreformatted"/>
              <w:rPr>
                <w:rFonts w:ascii="Times New Roman" w:hAnsi="Times New Roman" w:cs="Times New Roman"/>
                <w:bCs/>
              </w:rPr>
            </w:pPr>
            <w:r>
              <w:rPr>
                <w:rFonts w:cs="Times New Roman" w:ascii="Times New Roman" w:hAnsi="Times New Roman"/>
                <w:bCs/>
              </w:rPr>
              <w:t>(-2.30, 4.73)</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56</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-2.52</w:t>
            </w:r>
          </w:p>
          <w:p>
            <w:pPr>
              <w:pStyle w:val="HTMLPreformatted"/>
              <w:rPr>
                <w:rFonts w:ascii="Times New Roman" w:hAnsi="Times New Roman" w:cs="Times New Roman"/>
                <w:b/>
                <w:b/>
                <w:bCs/>
              </w:rPr>
            </w:pPr>
            <w:r>
              <w:rPr>
                <w:rFonts w:cs="Times New Roman" w:ascii="Times New Roman" w:hAnsi="Times New Roman"/>
                <w:b/>
                <w:bCs/>
              </w:rPr>
              <w:t>(-3.69, -2.04)</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-0.77</w:t>
            </w:r>
          </w:p>
          <w:p>
            <w:pPr>
              <w:pStyle w:val="HTMLPreformatted"/>
              <w:rPr>
                <w:rFonts w:ascii="Times New Roman" w:hAnsi="Times New Roman" w:cs="Times New Roman"/>
                <w:b/>
                <w:b/>
              </w:rPr>
            </w:pPr>
            <w:r>
              <w:rPr>
                <w:rFonts w:cs="Times New Roman" w:ascii="Times New Roman" w:hAnsi="Times New Roman"/>
                <w:bCs/>
              </w:rPr>
              <w:t>(-1.98, 0.45)</w:t>
            </w:r>
            <w:r>
              <w:rPr>
                <w:rFonts w:cs="Times New Roman" w:ascii="Times New Roman" w:hAnsi="Times New Roman"/>
                <w:b/>
              </w:rPr>
              <w:t xml:space="preserve"> </w:t>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2161</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 w:val="20"/>
                <w:szCs w:val="20"/>
              </w:rPr>
            </w:pPr>
            <w:r>
              <w:rPr>
                <w:rFonts w:cs="Times New Roman"/>
                <w:sz w:val="20"/>
                <w:szCs w:val="20"/>
              </w:rPr>
              <w:t>Dickcissel</w:t>
            </w:r>
          </w:p>
        </w:tc>
        <w:tc>
          <w:tcPr>
            <w:tcW w:w="1500" w:type="dxa"/>
            <w:tcBorders>
              <w:top w:val="nil"/>
              <w:left w:val="nil"/>
              <w:bottom w:val="nil"/>
              <w:right w:val="nil"/>
              <w:insideH w:val="nil"/>
              <w:insideV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bCs/>
                <w:sz w:val="20"/>
                <w:szCs w:val="20"/>
              </w:rPr>
            </w:pPr>
            <w:r>
              <w:rPr>
                <w:rFonts w:eastAsia="Times New Roman" w:cs="Times New Roman"/>
                <w:bCs/>
                <w:sz w:val="20"/>
                <w:szCs w:val="20"/>
              </w:rPr>
              <w:t>0.65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rPr>
            </w:pPr>
            <w:r>
              <w:rPr>
                <w:rFonts w:eastAsia="Times New Roman" w:cs="Times New Roman"/>
                <w:bCs/>
                <w:sz w:val="20"/>
                <w:szCs w:val="20"/>
              </w:rPr>
              <w:t xml:space="preserve">(-0.22, 1.55) </w:t>
            </w:r>
          </w:p>
          <w:p>
            <w:pPr>
              <w:pStyle w:val="Normal"/>
              <w:spacing w:before="0" w:after="200"/>
              <w:rPr>
                <w:rFonts w:cs="Times New Roman"/>
                <w:sz w:val="20"/>
                <w:szCs w:val="20"/>
              </w:rPr>
            </w:pPr>
            <w:r>
              <w:rPr>
                <w:rFonts w:cs="Times New Roman"/>
                <w:sz w:val="20"/>
                <w:szCs w:val="20"/>
              </w:rPr>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1.18</w:t>
            </w:r>
          </w:p>
          <w:p>
            <w:pPr>
              <w:pStyle w:val="HTMLPreformatted"/>
              <w:rPr>
                <w:rFonts w:ascii="Times New Roman" w:hAnsi="Times New Roman" w:cs="Times New Roman"/>
                <w:bCs/>
              </w:rPr>
            </w:pPr>
            <w:r>
              <w:rPr>
                <w:rFonts w:cs="Times New Roman" w:ascii="Times New Roman" w:hAnsi="Times New Roman"/>
                <w:bCs/>
              </w:rPr>
              <w:t>(-1.60, 4.30)</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60</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-0.36</w:t>
            </w:r>
          </w:p>
          <w:p>
            <w:pPr>
              <w:pStyle w:val="HTMLPreformatted"/>
              <w:rPr>
                <w:rFonts w:ascii="Times New Roman" w:hAnsi="Times New Roman" w:cs="Times New Roman"/>
                <w:bCs/>
              </w:rPr>
            </w:pPr>
            <w:r>
              <w:rPr>
                <w:rFonts w:cs="Times New Roman" w:ascii="Times New Roman" w:hAnsi="Times New Roman"/>
                <w:bCs/>
              </w:rPr>
              <w:t xml:space="preserve">(-0.86, 0.05) </w:t>
            </w:r>
          </w:p>
        </w:tc>
        <w:tc>
          <w:tcPr>
            <w:tcW w:w="1441" w:type="dxa"/>
            <w:tcBorders>
              <w:top w:val="nil"/>
              <w:left w:val="nil"/>
              <w:bottom w:val="nil"/>
              <w:right w:val="nil"/>
              <w:insideH w:val="nil"/>
              <w:insideV w:val="nil"/>
            </w:tcBorders>
            <w:shd w:fill="auto" w:val="clear"/>
          </w:tcPr>
          <w:p>
            <w:pPr>
              <w:pStyle w:val="HTMLPreformatted"/>
              <w:spacing w:lineRule="auto" w:line="240"/>
              <w:rPr>
                <w:rFonts w:ascii="Times New Roman" w:hAnsi="Times New Roman" w:cs="Times New Roman"/>
                <w:bCs/>
              </w:rPr>
            </w:pPr>
            <w:r>
              <w:rPr>
                <w:rFonts w:cs="Times New Roman" w:ascii="Times New Roman" w:hAnsi="Times New Roman"/>
                <w:bCs/>
              </w:rPr>
              <w:t>0.74</w:t>
            </w:r>
          </w:p>
          <w:p>
            <w:pPr>
              <w:pStyle w:val="HTMLPreformatted"/>
              <w:spacing w:lineRule="auto" w:line="240"/>
              <w:rPr>
                <w:rFonts w:ascii="Times New Roman" w:hAnsi="Times New Roman" w:cs="Times New Roman"/>
              </w:rPr>
            </w:pPr>
            <w:r>
              <w:rPr>
                <w:rFonts w:cs="Times New Roman" w:ascii="Times New Roman" w:hAnsi="Times New Roman"/>
                <w:bCs/>
              </w:rPr>
              <w:t>(-0.27, 1.72)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bCs/>
                <w:sz w:val="20"/>
                <w:szCs w:val="20"/>
              </w:rPr>
            </w:pPr>
            <w:r>
              <w:rPr>
                <w:rFonts w:eastAsia="Times New Roman" w:cs="Times New Roman"/>
                <w:bCs/>
                <w:sz w:val="20"/>
                <w:szCs w:val="20"/>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1269</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Eastern Meadowlark</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-2.09</w:t>
            </w:r>
          </w:p>
          <w:p>
            <w:pPr>
              <w:pStyle w:val="HTMLPreformatted"/>
              <w:rPr>
                <w:rFonts w:ascii="Times New Roman" w:hAnsi="Times New Roman" w:cs="Times New Roman"/>
                <w:b/>
                <w:b/>
              </w:rPr>
            </w:pPr>
            <w:r>
              <w:rPr>
                <w:rFonts w:cs="Times New Roman" w:ascii="Times New Roman" w:hAnsi="Times New Roman"/>
                <w:b/>
                <w:bCs/>
              </w:rPr>
              <w:t>(-2.63, -1.53)</w:t>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-2.64</w:t>
            </w:r>
          </w:p>
          <w:p>
            <w:pPr>
              <w:pStyle w:val="HTMLPreformatted"/>
              <w:rPr>
                <w:rFonts w:ascii="Times New Roman" w:hAnsi="Times New Roman" w:cs="Times New Roman"/>
                <w:b/>
                <w:b/>
                <w:bCs/>
              </w:rPr>
            </w:pPr>
            <w:r>
              <w:rPr>
                <w:rFonts w:cs="Times New Roman" w:ascii="Times New Roman" w:hAnsi="Times New Roman"/>
                <w:b/>
                <w:bCs/>
              </w:rPr>
              <w:t>(-4.18, -1.03)</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55</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-3.28</w:t>
            </w:r>
          </w:p>
          <w:p>
            <w:pPr>
              <w:pStyle w:val="HTMLPreformatted"/>
              <w:rPr>
                <w:rFonts w:ascii="Times New Roman" w:hAnsi="Times New Roman" w:cs="Times New Roman"/>
                <w:b/>
                <w:b/>
                <w:bCs/>
              </w:rPr>
            </w:pPr>
            <w:r>
              <w:rPr>
                <w:rFonts w:cs="Times New Roman" w:ascii="Times New Roman" w:hAnsi="Times New Roman"/>
                <w:b/>
                <w:bCs/>
              </w:rPr>
              <w:t xml:space="preserve">(-3.60, -3.03) </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-3.05</w:t>
            </w:r>
          </w:p>
          <w:p>
            <w:pPr>
              <w:pStyle w:val="HTMLPreformatted"/>
              <w:rPr>
                <w:rFonts w:ascii="Times New Roman" w:hAnsi="Times New Roman" w:cs="Times New Roman"/>
                <w:b/>
                <w:b/>
              </w:rPr>
            </w:pPr>
            <w:r>
              <w:rPr>
                <w:rFonts w:cs="Times New Roman" w:ascii="Times New Roman" w:hAnsi="Times New Roman"/>
                <w:b/>
                <w:bCs/>
              </w:rPr>
              <w:t>(-3.56, -2.29)</w:t>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2526</w:t>
            </w:r>
          </w:p>
        </w:tc>
      </w:tr>
      <w:tr>
        <w:trPr/>
        <w:tc>
          <w:tcPr>
            <w:tcW w:w="1328" w:type="dxa"/>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Western Meadowlark</w:t>
            </w:r>
          </w:p>
        </w:tc>
        <w:tc>
          <w:tcPr>
            <w:tcW w:w="1500"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-1.24</w:t>
            </w:r>
          </w:p>
          <w:p>
            <w:pPr>
              <w:pStyle w:val="HTMLPreformatted"/>
              <w:rPr>
                <w:rFonts w:ascii="Times New Roman" w:hAnsi="Times New Roman" w:cs="Times New Roman"/>
                <w:b/>
                <w:b/>
              </w:rPr>
            </w:pPr>
            <w:r>
              <w:rPr>
                <w:rFonts w:cs="Times New Roman" w:ascii="Times New Roman" w:hAnsi="Times New Roman"/>
                <w:bCs/>
              </w:rPr>
              <w:t xml:space="preserve">(-2.47, 0.04) </w:t>
            </w:r>
          </w:p>
        </w:tc>
        <w:tc>
          <w:tcPr>
            <w:tcW w:w="1528"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-1.84</w:t>
            </w:r>
          </w:p>
          <w:p>
            <w:pPr>
              <w:pStyle w:val="HTMLPreformatted"/>
              <w:rPr>
                <w:rFonts w:ascii="Times New Roman" w:hAnsi="Times New Roman" w:cs="Times New Roman"/>
                <w:bCs/>
              </w:rPr>
            </w:pPr>
            <w:r>
              <w:rPr>
                <w:rFonts w:cs="Times New Roman" w:ascii="Times New Roman" w:hAnsi="Times New Roman"/>
                <w:bCs/>
              </w:rPr>
              <w:t>(-4.28, 0.96)</w:t>
            </w:r>
          </w:p>
        </w:tc>
        <w:tc>
          <w:tcPr>
            <w:tcW w:w="515"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38</w:t>
            </w:r>
          </w:p>
        </w:tc>
        <w:tc>
          <w:tcPr>
            <w:tcW w:w="1922"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-1.29</w:t>
            </w:r>
          </w:p>
          <w:p>
            <w:pPr>
              <w:pStyle w:val="HTMLPreformatted"/>
              <w:rPr>
                <w:rFonts w:ascii="Times New Roman" w:hAnsi="Times New Roman" w:cs="Times New Roman"/>
                <w:b/>
                <w:b/>
                <w:bCs/>
              </w:rPr>
            </w:pPr>
            <w:r>
              <w:rPr>
                <w:rFonts w:cs="Times New Roman" w:ascii="Times New Roman" w:hAnsi="Times New Roman"/>
                <w:b/>
                <w:bCs/>
              </w:rPr>
              <w:t>(-1.54, -1.11)</w:t>
            </w:r>
          </w:p>
        </w:tc>
        <w:tc>
          <w:tcPr>
            <w:tcW w:w="1441" w:type="dxa"/>
            <w:tcBorders>
              <w:top w:val="nil"/>
              <w:left w:val="nil"/>
              <w:bottom w:val="nil"/>
              <w:right w:val="nil"/>
              <w:insideH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-1.21</w:t>
            </w:r>
          </w:p>
          <w:p>
            <w:pPr>
              <w:pStyle w:val="HTMLPreformatted"/>
              <w:rPr>
                <w:rFonts w:ascii="Times New Roman" w:hAnsi="Times New Roman" w:cs="Times New Roman"/>
                <w:b/>
                <w:b/>
              </w:rPr>
            </w:pPr>
            <w:r>
              <w:rPr>
                <w:rFonts w:cs="Times New Roman" w:ascii="Times New Roman" w:hAnsi="Times New Roman"/>
                <w:b/>
                <w:bCs/>
              </w:rPr>
              <w:t>(-1.61, -0.83)</w:t>
            </w:r>
          </w:p>
          <w:p>
            <w:pPr>
              <w:pStyle w:val="Normal"/>
              <w:spacing w:before="0" w:after="200"/>
              <w:rPr>
                <w:rFonts w:cs="Times New Roman"/>
                <w:b/>
                <w:b/>
                <w:sz w:val="20"/>
                <w:szCs w:val="20"/>
              </w:rPr>
            </w:pPr>
            <w:r>
              <w:rPr>
                <w:rFonts w:cs="Times New Roman"/>
                <w:b/>
                <w:sz w:val="20"/>
                <w:szCs w:val="20"/>
              </w:rPr>
            </w:r>
          </w:p>
        </w:tc>
        <w:tc>
          <w:tcPr>
            <w:tcW w:w="737" w:type="dxa"/>
            <w:tcBorders>
              <w:top w:val="nil"/>
              <w:left w:val="nil"/>
              <w:bottom w:val="nil"/>
              <w:right w:val="nil"/>
              <w:insideH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2085</w:t>
            </w:r>
          </w:p>
        </w:tc>
      </w:tr>
      <w:tr>
        <w:trPr/>
        <w:tc>
          <w:tcPr>
            <w:tcW w:w="1328" w:type="dxa"/>
            <w:tcBorders>
              <w:top w:val="nil"/>
              <w:left w:val="nil"/>
              <w:right w:val="nil"/>
              <w:insideV w:val="nil"/>
            </w:tcBorders>
            <w:shd w:fill="auto" w:val="clear"/>
          </w:tcPr>
          <w:p>
            <w:pPr>
              <w:pStyle w:val="Normal"/>
              <w:widowControl/>
              <w:bidi w:val="0"/>
              <w:spacing w:lineRule="auto" w:line="276" w:before="0" w:after="200"/>
              <w:jc w:val="left"/>
              <w:rPr>
                <w:rFonts w:cs="Times New Roman"/>
                <w:i/>
                <w:i/>
                <w:sz w:val="20"/>
                <w:szCs w:val="20"/>
              </w:rPr>
            </w:pPr>
            <w:r>
              <w:rPr>
                <w:rFonts w:cs="Times New Roman"/>
                <w:i/>
                <w:sz w:val="20"/>
                <w:szCs w:val="20"/>
              </w:rPr>
              <w:t>Brown-headed Cowbird</w:t>
            </w:r>
          </w:p>
        </w:tc>
        <w:tc>
          <w:tcPr>
            <w:tcW w:w="1500" w:type="dxa"/>
            <w:tcBorders>
              <w:top w:val="nil"/>
              <w:left w:val="nil"/>
              <w:right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-1.34</w:t>
            </w:r>
          </w:p>
          <w:p>
            <w:pPr>
              <w:pStyle w:val="HTMLPreformatted"/>
              <w:rPr>
                <w:rFonts w:ascii="Times New Roman" w:hAnsi="Times New Roman" w:cs="Times New Roman"/>
                <w:b/>
                <w:b/>
              </w:rPr>
            </w:pPr>
            <w:r>
              <w:rPr>
                <w:rFonts w:cs="Times New Roman" w:ascii="Times New Roman" w:hAnsi="Times New Roman"/>
                <w:b/>
                <w:bCs/>
              </w:rPr>
              <w:t>(-1.87, -0.77)</w:t>
            </w:r>
          </w:p>
          <w:p>
            <w:pPr>
              <w:pStyle w:val="Normal"/>
              <w:spacing w:before="0" w:after="200"/>
              <w:rPr>
                <w:rFonts w:cs="Times New Roman"/>
                <w:b/>
                <w:b/>
                <w:sz w:val="20"/>
                <w:szCs w:val="20"/>
              </w:rPr>
            </w:pPr>
            <w:r>
              <w:rPr>
                <w:rFonts w:cs="Times New Roman"/>
                <w:b/>
                <w:sz w:val="20"/>
                <w:szCs w:val="20"/>
              </w:rPr>
            </w:r>
          </w:p>
        </w:tc>
        <w:tc>
          <w:tcPr>
            <w:tcW w:w="1528" w:type="dxa"/>
            <w:tcBorders>
              <w:top w:val="nil"/>
              <w:left w:val="nil"/>
              <w:right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-1.40</w:t>
            </w:r>
          </w:p>
          <w:p>
            <w:pPr>
              <w:pStyle w:val="HTMLPreformatted"/>
              <w:rPr>
                <w:rFonts w:ascii="Times New Roman" w:hAnsi="Times New Roman" w:cs="Times New Roman"/>
                <w:bCs/>
              </w:rPr>
            </w:pPr>
            <w:r>
              <w:rPr>
                <w:rFonts w:cs="Times New Roman" w:ascii="Times New Roman" w:hAnsi="Times New Roman"/>
                <w:bCs/>
              </w:rPr>
              <w:t>(-2.89, 0.22)</w:t>
            </w:r>
          </w:p>
        </w:tc>
        <w:tc>
          <w:tcPr>
            <w:tcW w:w="515" w:type="dxa"/>
            <w:tcBorders>
              <w:top w:val="nil"/>
              <w:left w:val="nil"/>
              <w:right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60</w:t>
            </w:r>
          </w:p>
        </w:tc>
        <w:tc>
          <w:tcPr>
            <w:tcW w:w="1922" w:type="dxa"/>
            <w:tcBorders>
              <w:top w:val="nil"/>
              <w:left w:val="nil"/>
              <w:right w:val="nil"/>
              <w:insideV w:val="nil"/>
            </w:tcBorders>
            <w:shd w:fill="auto" w:val="clear"/>
          </w:tcPr>
          <w:p>
            <w:pPr>
              <w:pStyle w:val="HTMLPreformatted"/>
              <w:rPr>
                <w:rFonts w:ascii="Times New Roman" w:hAnsi="Times New Roman" w:cs="Times New Roman"/>
                <w:b/>
                <w:b/>
                <w:bCs/>
              </w:rPr>
            </w:pPr>
            <w:r>
              <w:rPr>
                <w:rFonts w:cs="Times New Roman" w:ascii="Times New Roman" w:hAnsi="Times New Roman"/>
                <w:b/>
                <w:bCs/>
              </w:rPr>
              <w:t xml:space="preserve">-0.66 </w:t>
            </w:r>
          </w:p>
          <w:p>
            <w:pPr>
              <w:pStyle w:val="HTMLPreformatted"/>
              <w:rPr>
                <w:rFonts w:ascii="Times New Roman" w:hAnsi="Times New Roman" w:cs="Times New Roman"/>
                <w:b/>
                <w:b/>
                <w:bCs/>
              </w:rPr>
            </w:pPr>
            <w:r>
              <w:rPr>
                <w:rFonts w:cs="Times New Roman" w:ascii="Times New Roman" w:hAnsi="Times New Roman"/>
                <w:b/>
                <w:bCs/>
              </w:rPr>
              <w:t>(-0.81, -0.51)</w:t>
            </w:r>
          </w:p>
        </w:tc>
        <w:tc>
          <w:tcPr>
            <w:tcW w:w="1441" w:type="dxa"/>
            <w:tcBorders>
              <w:top w:val="nil"/>
              <w:left w:val="nil"/>
              <w:right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-0.07</w:t>
            </w:r>
          </w:p>
          <w:p>
            <w:pPr>
              <w:pStyle w:val="HTMLPreformatted"/>
              <w:rPr>
                <w:rFonts w:ascii="Times New Roman" w:hAnsi="Times New Roman" w:cs="Times New Roman"/>
              </w:rPr>
            </w:pPr>
            <w:r>
              <w:rPr>
                <w:rFonts w:cs="Times New Roman" w:ascii="Times New Roman" w:hAnsi="Times New Roman"/>
                <w:bCs/>
              </w:rPr>
              <w:t>(-0.51, 0.41)</w:t>
            </w:r>
          </w:p>
          <w:p>
            <w:pPr>
              <w:pStyle w:val="Normal"/>
              <w:spacing w:before="0" w:after="200"/>
              <w:rPr>
                <w:rFonts w:cs="Times New Roman"/>
                <w:b/>
                <w:b/>
                <w:sz w:val="20"/>
                <w:szCs w:val="20"/>
              </w:rPr>
            </w:pPr>
            <w:r>
              <w:rPr>
                <w:rFonts w:cs="Times New Roman"/>
                <w:b/>
                <w:sz w:val="20"/>
                <w:szCs w:val="20"/>
              </w:rPr>
            </w:r>
          </w:p>
        </w:tc>
        <w:tc>
          <w:tcPr>
            <w:tcW w:w="737" w:type="dxa"/>
            <w:tcBorders>
              <w:top w:val="nil"/>
              <w:left w:val="nil"/>
              <w:right w:val="nil"/>
              <w:insideV w:val="nil"/>
            </w:tcBorders>
            <w:shd w:fill="auto" w:val="clear"/>
          </w:tcPr>
          <w:p>
            <w:pPr>
              <w:pStyle w:val="HTMLPreformatted"/>
              <w:rPr>
                <w:rFonts w:ascii="Times New Roman" w:hAnsi="Times New Roman" w:cs="Times New Roman"/>
                <w:bCs/>
              </w:rPr>
            </w:pPr>
            <w:r>
              <w:rPr>
                <w:rFonts w:cs="Times New Roman" w:ascii="Times New Roman" w:hAnsi="Times New Roman"/>
                <w:bCs/>
              </w:rPr>
              <w:t>4409</w:t>
            </w:r>
          </w:p>
        </w:tc>
      </w:tr>
    </w:tbl>
    <w:p>
      <w:pPr>
        <w:pStyle w:val="Heading1"/>
        <w:rPr/>
      </w:pPr>
      <w:r>
        <w:rPr/>
      </w:r>
    </w:p>
    <w:p>
      <w:pPr>
        <w:pStyle w:val="Normal"/>
        <w:rPr>
          <w:i/>
          <w:i/>
        </w:rPr>
      </w:pPr>
      <w:r>
        <w:rPr>
          <w:i/>
        </w:rPr>
        <w:t xml:space="preserve">Table 3. </w:t>
      </w:r>
      <w:r>
        <w:rPr/>
        <w:t>A priori</w:t>
      </w:r>
      <w:r>
        <w:rPr>
          <w:i/>
        </w:rPr>
        <w:t xml:space="preserve"> comparisons between 50 evaluations each of large (L), medium (M), and small (S) scales to statewide models in linear models (species as random effect).  Values shown are </w:t>
      </w:r>
      <w:r>
        <w:rPr>
          <w:rFonts w:cs="Times New Roman"/>
          <w:i/>
        </w:rPr>
        <w:t>β±</w:t>
      </w:r>
      <w:r>
        <w:rPr>
          <w:i/>
        </w:rPr>
        <w:t xml:space="preserve">SE (P-value, Holm-corrected for multiple comparisons within each year and error type).  Cells in </w:t>
      </w:r>
      <w:r>
        <w:rPr>
          <w:b/>
          <w:i/>
        </w:rPr>
        <w:t>bold</w:t>
      </w:r>
      <w:r>
        <w:rPr>
          <w:i/>
        </w:rPr>
        <w:t xml:space="preserve"> have scaled models better than statewide. Cells in </w:t>
      </w:r>
      <w:r>
        <w:rPr/>
        <w:t>italic</w:t>
      </w:r>
      <w:r>
        <w:rPr>
          <w:i/>
        </w:rPr>
        <w:t xml:space="preserve"> have scaled models worse than statewide.</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1446"/>
        <w:gridCol w:w="1163"/>
        <w:gridCol w:w="1186"/>
        <w:gridCol w:w="1454"/>
        <w:gridCol w:w="1442"/>
        <w:gridCol w:w="1454"/>
        <w:gridCol w:w="1429"/>
      </w:tblGrid>
      <w:tr>
        <w:trPr/>
        <w:tc>
          <w:tcPr>
            <w:tcW w:w="1446" w:type="dxa"/>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5779" w:type="dxa"/>
            <w:gridSpan w:val="4"/>
            <w:tcBorders>
              <w:top w:val="nil"/>
              <w:left w:val="nil"/>
              <w:right w:val="nil"/>
              <w:insideV w:val="nil"/>
            </w:tcBorders>
            <w:shd w:fill="auto" w:val="clear"/>
          </w:tcPr>
          <w:p>
            <w:pPr>
              <w:pStyle w:val="Normal"/>
              <w:spacing w:before="0" w:after="200"/>
              <w:jc w:val="center"/>
              <w:rPr>
                <w:rFonts w:cs="Times New Roman"/>
                <w:szCs w:val="24"/>
              </w:rPr>
            </w:pPr>
            <w:r>
              <w:rPr>
                <w:rFonts w:cs="Times New Roman"/>
                <w:i/>
                <w:szCs w:val="24"/>
              </w:rPr>
              <w:t>β±SE (P)</w:t>
            </w:r>
          </w:p>
        </w:tc>
      </w:tr>
      <w:tr>
        <w:trPr/>
        <w:tc>
          <w:tcPr>
            <w:tcW w:w="1446" w:type="dxa"/>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1163" w:type="dxa"/>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2896" w:type="dxa"/>
            <w:gridSpan w:val="2"/>
            <w:tcBorders>
              <w:left w:val="nil"/>
              <w:right w:val="nil"/>
              <w:insideV w:val="nil"/>
            </w:tcBorders>
            <w:shd w:fill="auto" w:val="clear"/>
          </w:tcPr>
          <w:p>
            <w:pPr>
              <w:pStyle w:val="Normal"/>
              <w:spacing w:before="0" w:after="200"/>
              <w:jc w:val="center"/>
              <w:rPr>
                <w:rFonts w:cs="Times New Roman"/>
                <w:i/>
                <w:i/>
                <w:szCs w:val="24"/>
              </w:rPr>
            </w:pPr>
            <w:r>
              <w:rPr>
                <w:rFonts w:cs="Times New Roman"/>
                <w:szCs w:val="24"/>
              </w:rPr>
              <w:t>Same year evaluations</w:t>
            </w:r>
          </w:p>
        </w:tc>
        <w:tc>
          <w:tcPr>
            <w:tcW w:w="2883" w:type="dxa"/>
            <w:gridSpan w:val="2"/>
            <w:tcBorders>
              <w:left w:val="nil"/>
              <w:right w:val="nil"/>
              <w:insideV w:val="nil"/>
            </w:tcBorders>
            <w:shd w:fill="auto" w:val="clear"/>
          </w:tcPr>
          <w:p>
            <w:pPr>
              <w:pStyle w:val="Normal"/>
              <w:spacing w:before="0" w:after="200"/>
              <w:jc w:val="center"/>
              <w:rPr>
                <w:rFonts w:cs="Times New Roman"/>
                <w:szCs w:val="24"/>
              </w:rPr>
            </w:pPr>
            <w:r>
              <w:rPr>
                <w:rFonts w:cs="Times New Roman"/>
                <w:szCs w:val="24"/>
              </w:rPr>
              <w:t>Different year evaluations</w:t>
            </w:r>
          </w:p>
        </w:tc>
      </w:tr>
      <w:tr>
        <w:trPr/>
        <w:tc>
          <w:tcPr>
            <w:tcW w:w="1446"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Species</w:t>
            </w:r>
          </w:p>
        </w:tc>
        <w:tc>
          <w:tcPr>
            <w:tcW w:w="1163"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Presences out of 2711 checklists</w:t>
            </w:r>
          </w:p>
        </w:tc>
        <w:tc>
          <w:tcPr>
            <w:tcW w:w="1186" w:type="dxa"/>
            <w:tcBorders>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Scale compared to statewide</w:t>
            </w:r>
          </w:p>
        </w:tc>
        <w:tc>
          <w:tcPr>
            <w:tcW w:w="1454" w:type="dxa"/>
            <w:tcBorders>
              <w:left w:val="nil"/>
              <w:right w:val="nil"/>
              <w:insideV w:val="nil"/>
            </w:tcBorders>
            <w:shd w:fill="auto" w:val="clear"/>
          </w:tcPr>
          <w:p>
            <w:pPr>
              <w:pStyle w:val="Normal"/>
              <w:spacing w:before="0" w:after="200"/>
              <w:jc w:val="center"/>
              <w:rPr>
                <w:rFonts w:cs="Times New Roman"/>
                <w:szCs w:val="24"/>
              </w:rPr>
            </w:pPr>
            <w:r>
              <w:rPr>
                <w:rFonts w:cs="Times New Roman"/>
                <w:szCs w:val="24"/>
              </w:rPr>
              <w:t>AUC</w:t>
            </w:r>
          </w:p>
        </w:tc>
        <w:tc>
          <w:tcPr>
            <w:tcW w:w="1442" w:type="dxa"/>
            <w:tcBorders>
              <w:left w:val="nil"/>
              <w:right w:val="nil"/>
              <w:insideV w:val="nil"/>
            </w:tcBorders>
            <w:shd w:fill="auto" w:val="clear"/>
          </w:tcPr>
          <w:p>
            <w:pPr>
              <w:pStyle w:val="Normal"/>
              <w:spacing w:before="0" w:after="200"/>
              <w:jc w:val="center"/>
              <w:rPr>
                <w:rFonts w:cs="Times New Roman"/>
                <w:szCs w:val="24"/>
              </w:rPr>
            </w:pPr>
            <w:r>
              <w:rPr>
                <w:rFonts w:cs="Times New Roman"/>
                <w:szCs w:val="24"/>
              </w:rPr>
              <w:t>RMSE</w:t>
            </w:r>
          </w:p>
        </w:tc>
        <w:tc>
          <w:tcPr>
            <w:tcW w:w="1454" w:type="dxa"/>
            <w:tcBorders>
              <w:left w:val="nil"/>
              <w:right w:val="nil"/>
              <w:insideV w:val="nil"/>
            </w:tcBorders>
            <w:shd w:fill="auto" w:val="clear"/>
          </w:tcPr>
          <w:p>
            <w:pPr>
              <w:pStyle w:val="Normal"/>
              <w:spacing w:before="0" w:after="200"/>
              <w:jc w:val="center"/>
              <w:rPr>
                <w:rFonts w:cs="Times New Roman"/>
                <w:szCs w:val="24"/>
              </w:rPr>
            </w:pPr>
            <w:r>
              <w:rPr>
                <w:rFonts w:cs="Times New Roman"/>
                <w:szCs w:val="24"/>
              </w:rPr>
              <w:t>AUC</w:t>
            </w:r>
          </w:p>
        </w:tc>
        <w:tc>
          <w:tcPr>
            <w:tcW w:w="1429" w:type="dxa"/>
            <w:tcBorders>
              <w:left w:val="nil"/>
              <w:right w:val="nil"/>
              <w:insideV w:val="nil"/>
            </w:tcBorders>
            <w:shd w:fill="auto" w:val="clear"/>
          </w:tcPr>
          <w:p>
            <w:pPr>
              <w:pStyle w:val="Normal"/>
              <w:spacing w:before="0" w:after="200"/>
              <w:jc w:val="center"/>
              <w:rPr>
                <w:rFonts w:cs="Times New Roman"/>
                <w:szCs w:val="24"/>
              </w:rPr>
            </w:pPr>
            <w:r>
              <w:rPr>
                <w:rFonts w:cs="Times New Roman"/>
                <w:szCs w:val="24"/>
              </w:rPr>
              <w:t>RMSE</w:t>
            </w:r>
          </w:p>
        </w:tc>
      </w:tr>
      <w:tr>
        <w:trPr/>
        <w:tc>
          <w:tcPr>
            <w:tcW w:w="1446" w:type="dxa"/>
            <w:vMerge w:val="restart"/>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Northern Bobwhite</w:t>
            </w:r>
          </w:p>
        </w:tc>
        <w:tc>
          <w:tcPr>
            <w:tcW w:w="1163" w:type="dxa"/>
            <w:vMerge w:val="restart"/>
            <w:tcBorders>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305</w:t>
            </w:r>
          </w:p>
        </w:tc>
        <w:tc>
          <w:tcPr>
            <w:tcW w:w="1186" w:type="dxa"/>
            <w:tcBorders>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-0.002±0.001 (0.0021)</w:t>
            </w:r>
          </w:p>
        </w:tc>
        <w:tc>
          <w:tcPr>
            <w:tcW w:w="1454" w:type="dxa"/>
            <w:tcBorders>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0±0.004 (1)</w:t>
            </w:r>
          </w:p>
        </w:tc>
        <w:tc>
          <w:tcPr>
            <w:tcW w:w="1429" w:type="dxa"/>
            <w:tcBorders>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0.003±0.001 (0.1061)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-0.005±0.001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0.005±0.004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-0.005±0.001 (0.0004)</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-0.004±0.001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-0.01±0.004 (0.2025)</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-0.005±0.001 (0.001)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Upland Sandpiper</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52</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-0.008±0.003 (0.3093)</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(0.0681)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0.008±0.003 (0.3205)</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0.002±0.002 (1)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-0.008±0.003 (0.2524)</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0.004±0.002 (0.0674)</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-0.013±0.003 (0.0043)</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0.018±0.001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0.011±0.002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Horned Lark</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119</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(0.8859)</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-0.001±0.004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-0.003±0.001 (0.4889)</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(0.2378)</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-0.025±0.004 (&lt;0.0001)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0.005±0.001 (0.002)</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-0.025±0.001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-0.021±0.004 (&lt;0.0001)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0.006±0.001 (0.0006)</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Cassin’s Sparrow</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142</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(0.3232)</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0.011±0.004 (0.1024)</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(0.7755)</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-0.009±0.001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0.024±0.001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-0.003±0.004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0.013±0.001 (&lt;0.0001)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-0.014±0.001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0.032±0.001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-0.016±0.004 (0.0004)</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0.016±0.001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Field Sparrow</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162</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0.006±0.002 (0.0956)</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(0.8859)</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0.004±0.003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(0.2874)</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0±0.002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0.003±0.003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0.008±0.001 (&lt;0.0001)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0.006±0.002 (0.1245)</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0.006±0.001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-0.006±0.003 (0.8383)</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0.011±0.001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Lark Sparrow</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402</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(0.5436)</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(0.9947)</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(0.7297)</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(0.8859)</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0.01±0.003 (0.0807)</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0.006±0.001 (&lt;0.0001)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0.002±0.001 (0.0003)</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0.008±0.003 (0.3286)</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0.011±0.001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Grasshopper Sparrow</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206</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(0.3232)</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0.006±0.003 (0.9169)</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-0.004±0.001 (0.0023)</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0.003±0.001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-0.006±0.003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0.003±0.001 (0.1643)</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-0.014±0.001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0.008±0.001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-0.005±0.003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0.005±0.001 (0.0099)</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Dickcissel</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403</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0±0.001 (0.8859)</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0.009±0.004 (0.2264)</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0±0.001 (1)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-0.006±0.001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0.005±0.001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0.002±0.004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0.004±0.001 (0.0004)</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0.008±0.001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0.005±0.004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Eastern Meadowlark</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473</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(0.8859)</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0±0.001 (1)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-0.003±0.001 (0.0028)</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(0.3542)</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0.01±0.003 (0.1455)</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0.004±0.001 (0.0024)</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0.007±0.001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0±0.003 (1)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0.009±0.001 (&lt;0.0001)</w:t>
            </w:r>
          </w:p>
        </w:tc>
      </w:tr>
      <w:tr>
        <w:trPr/>
        <w:tc>
          <w:tcPr>
            <w:tcW w:w="1446"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Western Meadowlark</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182</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0.007±0.001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-0.001±0.001 (0.2056)</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0.008±0.004 (0.6145)</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-0.002±0.001 (0.9947)</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-0.003±0.001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0.011±0.001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-0.009±0.004 (0.2264)</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0.013±0.001 (&lt;0.0001)</w:t>
            </w:r>
          </w:p>
        </w:tc>
      </w:tr>
      <w:tr>
        <w:trPr/>
        <w:tc>
          <w:tcPr>
            <w:tcW w:w="1446"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-0.013±0.001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0.036±0.001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-0.025±0.004 (&lt;0.0001)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i/>
                <w:i/>
                <w:szCs w:val="24"/>
              </w:rPr>
            </w:pPr>
            <w:r>
              <w:rPr>
                <w:rFonts w:cs="Times New Roman"/>
                <w:i/>
                <w:szCs w:val="24"/>
              </w:rPr>
              <w:t>0.025±0.001 (&lt;0.0001)</w:t>
            </w:r>
          </w:p>
        </w:tc>
      </w:tr>
      <w:tr>
        <w:trPr/>
        <w:tc>
          <w:tcPr>
            <w:tcW w:w="1446" w:type="dxa"/>
            <w:vMerge w:val="restart"/>
            <w:tcBorders>
              <w:top w:val="nil"/>
              <w:left w:val="nil"/>
              <w:right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Brown-headed Cowbird</w:t>
            </w:r>
          </w:p>
        </w:tc>
        <w:tc>
          <w:tcPr>
            <w:tcW w:w="1163" w:type="dxa"/>
            <w:vMerge w:val="restart"/>
            <w:tcBorders>
              <w:top w:val="nil"/>
              <w:left w:val="nil"/>
              <w:bottom w:val="nil"/>
              <w:right w:val="nil"/>
              <w:insideH w:val="nil"/>
              <w:insideV w:val="nil"/>
            </w:tcBorders>
            <w:shd w:fill="auto" w:val="clear"/>
          </w:tcPr>
          <w:p>
            <w:pPr>
              <w:pStyle w:val="Normal"/>
              <w:widowControl/>
              <w:bidi w:val="0"/>
              <w:spacing w:lineRule="auto" w:line="276" w:before="0" w:after="200"/>
              <w:jc w:val="left"/>
              <w:rPr>
                <w:rFonts w:cs="Times New Roman"/>
                <w:szCs w:val="24"/>
              </w:rPr>
            </w:pPr>
            <w:r>
              <w:rPr>
                <w:rFonts w:cs="Times New Roman"/>
                <w:szCs w:val="24"/>
              </w:rPr>
              <w:t>591</w:t>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large</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0.021±0.002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-0.011±0.001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0.012±0.004 (0.0221)</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-0.012±0.001 (&lt;0.0001)</w:t>
            </w:r>
          </w:p>
        </w:tc>
      </w:tr>
      <w:tr>
        <w:trPr/>
        <w:tc>
          <w:tcPr>
            <w:tcW w:w="1446"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bottom w:val="nil"/>
              <w:right w:val="nil"/>
              <w:insideH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medium</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0.033±0.002 (&lt;0.0001)</w:t>
            </w:r>
          </w:p>
        </w:tc>
        <w:tc>
          <w:tcPr>
            <w:tcW w:w="1442"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-0.016±0.001 (&lt;0.0001)</w:t>
            </w:r>
          </w:p>
        </w:tc>
        <w:tc>
          <w:tcPr>
            <w:tcW w:w="1454"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0.016±0.004 (0.0004)</w:t>
            </w:r>
          </w:p>
        </w:tc>
        <w:tc>
          <w:tcPr>
            <w:tcW w:w="1429" w:type="dxa"/>
            <w:tcBorders>
              <w:top w:val="nil"/>
              <w:left w:val="nil"/>
              <w:bottom w:val="nil"/>
              <w:right w:val="nil"/>
              <w:insideH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-0.018±0.001 (&lt;0.0001)</w:t>
            </w:r>
          </w:p>
        </w:tc>
      </w:tr>
      <w:tr>
        <w:trPr/>
        <w:tc>
          <w:tcPr>
            <w:tcW w:w="1446"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1163" w:type="dxa"/>
            <w:vMerge w:val="continue"/>
            <w:tcBorders>
              <w:top w:val="nil"/>
              <w:left w:val="nil"/>
              <w:right w:val="nil"/>
              <w:insideV w:val="nil"/>
            </w:tcBorders>
            <w:shd w:fill="auto" w:val="clear"/>
          </w:tcPr>
          <w:p>
            <w:pPr>
              <w:pStyle w:val="Normal"/>
              <w:spacing w:before="0" w:after="200"/>
              <w:rPr>
                <w:rFonts w:cs="Times New Roman"/>
                <w:szCs w:val="24"/>
              </w:rPr>
            </w:pPr>
            <w:r>
              <w:rPr>
                <w:rFonts w:cs="Times New Roman"/>
                <w:szCs w:val="24"/>
              </w:rPr>
            </w:r>
          </w:p>
        </w:tc>
        <w:tc>
          <w:tcPr>
            <w:tcW w:w="1186" w:type="dxa"/>
            <w:tcBorders>
              <w:top w:val="nil"/>
              <w:left w:val="nil"/>
              <w:right w:val="nil"/>
              <w:insideV w:val="nil"/>
            </w:tcBorders>
            <w:shd w:fill="auto" w:val="clear"/>
            <w:vAlign w:val="center"/>
          </w:tcPr>
          <w:p>
            <w:pPr>
              <w:pStyle w:val="Normal"/>
              <w:widowControl/>
              <w:bidi w:val="0"/>
              <w:spacing w:lineRule="auto" w:line="276" w:before="0" w:after="200"/>
              <w:jc w:val="left"/>
              <w:rPr>
                <w:rFonts w:cs="Times New Roman"/>
                <w:szCs w:val="24"/>
              </w:rPr>
            </w:pPr>
            <w:r>
              <w:rPr>
                <w:rFonts w:cs="Times New Roman"/>
                <w:szCs w:val="24"/>
              </w:rPr>
              <w:t>small</w:t>
            </w:r>
          </w:p>
        </w:tc>
        <w:tc>
          <w:tcPr>
            <w:tcW w:w="1454" w:type="dxa"/>
            <w:tcBorders>
              <w:top w:val="nil"/>
              <w:left w:val="nil"/>
              <w:right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0.037±0.002 (&lt;0.0001)</w:t>
            </w:r>
          </w:p>
        </w:tc>
        <w:tc>
          <w:tcPr>
            <w:tcW w:w="1442" w:type="dxa"/>
            <w:tcBorders>
              <w:top w:val="nil"/>
              <w:left w:val="nil"/>
              <w:right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-0.012±0.001 (&lt;0.0001)</w:t>
            </w:r>
          </w:p>
        </w:tc>
        <w:tc>
          <w:tcPr>
            <w:tcW w:w="1454" w:type="dxa"/>
            <w:tcBorders>
              <w:top w:val="nil"/>
              <w:left w:val="nil"/>
              <w:right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0.018±0.004 (&lt;0.0001)</w:t>
            </w:r>
          </w:p>
        </w:tc>
        <w:tc>
          <w:tcPr>
            <w:tcW w:w="1429" w:type="dxa"/>
            <w:tcBorders>
              <w:top w:val="nil"/>
              <w:left w:val="nil"/>
              <w:right w:val="nil"/>
              <w:insideV w:val="nil"/>
            </w:tcBorders>
            <w:shd w:fill="auto" w:val="clear"/>
            <w:vAlign w:val="center"/>
          </w:tcPr>
          <w:p>
            <w:pPr>
              <w:pStyle w:val="Normal"/>
              <w:widowControl/>
              <w:bidi w:val="0"/>
              <w:spacing w:lineRule="auto" w:line="276" w:before="0" w:after="200"/>
              <w:jc w:val="left"/>
              <w:rPr>
                <w:rFonts w:cs="Times New Roman"/>
                <w:b/>
                <w:b/>
                <w:szCs w:val="24"/>
              </w:rPr>
            </w:pPr>
            <w:r>
              <w:rPr>
                <w:rFonts w:cs="Times New Roman"/>
                <w:b/>
                <w:szCs w:val="24"/>
              </w:rPr>
              <w:t>-0.006±0.001 (&lt;0.0001)</w:t>
            </w:r>
          </w:p>
        </w:tc>
      </w:tr>
    </w:tbl>
    <w:p>
      <w:pPr>
        <w:pStyle w:val="Normal"/>
        <w:rPr/>
      </w:pPr>
      <w:r>
        <w:rPr/>
      </w:r>
    </w:p>
    <w:p>
      <w:pPr>
        <w:pStyle w:val="Normal"/>
        <w:rPr>
          <w:rFonts w:eastAsia="Noto Sans CJK SC Regular" w:cs="FreeSans"/>
          <w:szCs w:val="28"/>
        </w:rPr>
      </w:pPr>
      <w:r>
        <w:rPr/>
        <w:t xml:space="preserve"> </w:t>
      </w:r>
      <w:r>
        <w:br w:type="page"/>
      </w:r>
    </w:p>
    <w:p>
      <w:pPr>
        <w:pStyle w:val="Heading1"/>
        <w:rPr/>
      </w:pPr>
      <w:r>
        <w:rPr/>
        <w:t>Figures</w:t>
      </w:r>
    </w:p>
    <w:p>
      <w:pPr>
        <w:pStyle w:val="Normal"/>
        <w:rPr/>
      </w:pPr>
      <w:r>
        <w:rPr/>
      </w:r>
    </w:p>
    <w:p>
      <w:pPr>
        <w:pStyle w:val="Normal"/>
        <w:rPr/>
      </w:pPr>
      <w:r>
        <w:rPr/>
        <w:t>Figs 1-4 see pdfs.</w:t>
      </w:r>
    </w:p>
    <w:p>
      <w:pPr>
        <w:pStyle w:val="Normal"/>
        <w:rPr/>
      </w:pPr>
      <w:r>
        <w:rPr/>
        <w:t xml:space="preserve">Fig. 5. Error evaluations for all 44 models relative to runtime.  Dashed line in a and b show AUC = 0.5, where prediction is random, and above which prediction is better than random.  a. AUC in same years; b. AUC in different years; c. RMSE in same years; d. RMSE in different years. </w:t>
      </w:r>
    </w:p>
    <w:p>
      <w:pPr>
        <w:pStyle w:val="Normal"/>
        <w:rPr/>
      </w:pPr>
      <w:r>
        <w:rPr/>
        <w:drawing>
          <wp:inline distT="0" distB="7620" distL="0" distR="0">
            <wp:extent cx="5943600" cy="420243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3"/>
                    <a:stretch>
                      <a:fillRect/>
                    </a:stretch>
                  </pic:blipFill>
                  <pic:spPr bwMode="auto">
                    <a:xfrm>
                      <a:off x="0" y="0"/>
                      <a:ext cx="5943600" cy="420243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277BFC03">
                <wp:simplePos x="0" y="0"/>
                <wp:positionH relativeFrom="column">
                  <wp:posOffset>78740</wp:posOffset>
                </wp:positionH>
                <wp:positionV relativeFrom="paragraph">
                  <wp:posOffset>27940</wp:posOffset>
                </wp:positionV>
                <wp:extent cx="2377440" cy="267335"/>
                <wp:effectExtent l="0" t="0" r="0" b="0"/>
                <wp:wrapNone/>
                <wp:docPr id="1" name="Text Box 2"/>
                <a:graphic xmlns:a="http://schemas.openxmlformats.org/drawingml/2006/main">
                  <a:graphicData uri="http://schemas.microsoft.com/office/word/2010/wordprocessingShape">
                    <wps:wsp>
                      <wps:cNvSpPr/>
                      <wps:spPr>
                        <a:xfrm>
                          <a:off x="0" y="0"/>
                          <a:ext cx="237672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stroked="f" style="position:absolute;margin-left:6.2pt;margin-top:2.2pt;width:187.1pt;height:20.95pt" wp14:anchorId="277BFC03">
                <w10:wrap type="square"/>
                <v:fill o:detectmouseclick="t" on="false"/>
                <v:stroke color="#3465a4" weight="9360" joinstyle="miter" endcap="flat"/>
                <v:textbox>
                  <w:txbxContent>
                    <w:p>
                      <w:pPr>
                        <w:pStyle w:val="FrameContents"/>
                        <w:spacing w:before="0" w:after="200"/>
                        <w:rPr>
                          <w:color w:val="auto"/>
                        </w:rPr>
                      </w:pPr>
                      <w:r>
                        <w:rPr>
                          <w:color w:val="auto"/>
                        </w:rPr>
                        <w:t>a</w:t>
                      </w:r>
                    </w:p>
                  </w:txbxContent>
                </v:textbox>
              </v:rect>
            </w:pict>
          </mc:Fallback>
        </mc:AlternateContent>
        <mc:AlternateContent>
          <mc:Choice Requires="wps">
            <w:drawing>
              <wp:anchor behindDoc="0" distT="0" distB="0" distL="114300" distR="114300" simplePos="0" locked="0" layoutInCell="1" allowOverlap="1" relativeHeight="3" wp14:anchorId="28A58DF4">
                <wp:simplePos x="0" y="0"/>
                <wp:positionH relativeFrom="column">
                  <wp:posOffset>3078480</wp:posOffset>
                </wp:positionH>
                <wp:positionV relativeFrom="paragraph">
                  <wp:posOffset>-635</wp:posOffset>
                </wp:positionV>
                <wp:extent cx="2377440" cy="267335"/>
                <wp:effectExtent l="0" t="0" r="0" b="0"/>
                <wp:wrapNone/>
                <wp:docPr id="3" name="Text Box 2"/>
                <a:graphic xmlns:a="http://schemas.openxmlformats.org/drawingml/2006/main">
                  <a:graphicData uri="http://schemas.microsoft.com/office/word/2010/wordprocessingShape">
                    <wps:wsp>
                      <wps:cNvSpPr/>
                      <wps:spPr>
                        <a:xfrm>
                          <a:off x="0" y="0"/>
                          <a:ext cx="237672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b</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stroked="f" style="position:absolute;margin-left:242.4pt;margin-top:-0.05pt;width:187.1pt;height:20.95pt" wp14:anchorId="28A58DF4">
                <w10:wrap type="square"/>
                <v:fill o:detectmouseclick="t" on="false"/>
                <v:stroke color="#3465a4" weight="9360" joinstyle="miter" endcap="flat"/>
                <v:textbox>
                  <w:txbxContent>
                    <w:p>
                      <w:pPr>
                        <w:pStyle w:val="FrameContents"/>
                        <w:spacing w:before="0" w:after="200"/>
                        <w:rPr>
                          <w:color w:val="auto"/>
                        </w:rPr>
                      </w:pPr>
                      <w:r>
                        <w:rPr>
                          <w:color w:val="auto"/>
                        </w:rPr>
                        <w:t>b</w:t>
                      </w:r>
                    </w:p>
                  </w:txbxContent>
                </v:textbox>
              </v:rect>
            </w:pict>
          </mc:Fallback>
        </mc:AlternateContent>
        <mc:AlternateContent>
          <mc:Choice Requires="wps">
            <w:drawing>
              <wp:anchor behindDoc="0" distT="0" distB="0" distL="114300" distR="114300" simplePos="0" locked="0" layoutInCell="1" allowOverlap="1" relativeHeight="4" wp14:anchorId="37B326F4">
                <wp:simplePos x="0" y="0"/>
                <wp:positionH relativeFrom="column">
                  <wp:posOffset>78740</wp:posOffset>
                </wp:positionH>
                <wp:positionV relativeFrom="paragraph">
                  <wp:posOffset>2119630</wp:posOffset>
                </wp:positionV>
                <wp:extent cx="2377440" cy="267335"/>
                <wp:effectExtent l="0" t="0" r="0" b="0"/>
                <wp:wrapNone/>
                <wp:docPr id="5" name="Text Box 2"/>
                <a:graphic xmlns:a="http://schemas.openxmlformats.org/drawingml/2006/main">
                  <a:graphicData uri="http://schemas.microsoft.com/office/word/2010/wordprocessingShape">
                    <wps:wsp>
                      <wps:cNvSpPr/>
                      <wps:spPr>
                        <a:xfrm>
                          <a:off x="0" y="0"/>
                          <a:ext cx="237672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c</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stroked="f" style="position:absolute;margin-left:6.2pt;margin-top:166.9pt;width:187.1pt;height:20.95pt" wp14:anchorId="37B326F4">
                <w10:wrap type="square"/>
                <v:fill o:detectmouseclick="t" on="false"/>
                <v:stroke color="#3465a4" weight="9360" joinstyle="miter" endcap="flat"/>
                <v:textbox>
                  <w:txbxContent>
                    <w:p>
                      <w:pPr>
                        <w:pStyle w:val="FrameContents"/>
                        <w:spacing w:before="0" w:after="200"/>
                        <w:rPr>
                          <w:color w:val="auto"/>
                        </w:rPr>
                      </w:pPr>
                      <w:r>
                        <w:rPr>
                          <w:color w:val="auto"/>
                        </w:rPr>
                        <w:t>c</w:t>
                      </w:r>
                    </w:p>
                  </w:txbxContent>
                </v:textbox>
              </v:rect>
            </w:pict>
          </mc:Fallback>
        </mc:AlternateContent>
        <mc:AlternateContent>
          <mc:Choice Requires="wps">
            <w:drawing>
              <wp:anchor behindDoc="0" distT="0" distB="0" distL="114300" distR="114300" simplePos="0" locked="0" layoutInCell="1" allowOverlap="1" relativeHeight="5" wp14:anchorId="74DD3DB3">
                <wp:simplePos x="0" y="0"/>
                <wp:positionH relativeFrom="column">
                  <wp:posOffset>3077845</wp:posOffset>
                </wp:positionH>
                <wp:positionV relativeFrom="paragraph">
                  <wp:posOffset>1981200</wp:posOffset>
                </wp:positionV>
                <wp:extent cx="2377440" cy="267335"/>
                <wp:effectExtent l="0" t="0" r="0" b="0"/>
                <wp:wrapNone/>
                <wp:docPr id="7" name="Text Box 2"/>
                <a:graphic xmlns:a="http://schemas.openxmlformats.org/drawingml/2006/main">
                  <a:graphicData uri="http://schemas.microsoft.com/office/word/2010/wordprocessingShape">
                    <wps:wsp>
                      <wps:cNvSpPr/>
                      <wps:spPr>
                        <a:xfrm>
                          <a:off x="0" y="0"/>
                          <a:ext cx="237672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rPr>
                              <w:t>d</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stroked="f" style="position:absolute;margin-left:242.35pt;margin-top:156pt;width:187.1pt;height:20.95pt" wp14:anchorId="74DD3DB3">
                <w10:wrap type="square"/>
                <v:fill o:detectmouseclick="t" on="false"/>
                <v:stroke color="#3465a4" weight="9360" joinstyle="miter" endcap="flat"/>
                <v:textbox>
                  <w:txbxContent>
                    <w:p>
                      <w:pPr>
                        <w:pStyle w:val="FrameContents"/>
                        <w:spacing w:before="0" w:after="200"/>
                        <w:rPr>
                          <w:color w:val="auto"/>
                        </w:rPr>
                      </w:pPr>
                      <w:r>
                        <w:rPr>
                          <w:color w:val="auto"/>
                        </w:rPr>
                        <w:t>d</w:t>
                      </w:r>
                    </w:p>
                  </w:txbxContent>
                </v:textbox>
              </v:rect>
            </w:pict>
          </mc:Fallback>
        </mc:AlternateContent>
      </w:r>
    </w:p>
    <w:p>
      <w:pPr>
        <w:pStyle w:val="Heading1"/>
        <w:rPr/>
      </w:pPr>
      <w:r>
        <w:rPr/>
        <w:t>Supplemental figures S1-S18</w:t>
      </w:r>
    </w:p>
    <w:p>
      <w:pPr>
        <w:pStyle w:val="Normal"/>
        <w:rPr/>
      </w:pPr>
      <w:r>
        <w:rPr/>
        <w:t>See pdfs</w:t>
      </w:r>
    </w:p>
    <w:p>
      <w:pPr>
        <w:pStyle w:val="Heading1"/>
        <w:rPr/>
      </w:pPr>
      <w:r>
        <w:rPr/>
        <w:t>Appendix A.</w:t>
      </w:r>
    </w:p>
    <w:p>
      <w:pPr>
        <w:pStyle w:val="Normal"/>
        <w:widowControl/>
        <w:bidi w:val="0"/>
        <w:spacing w:lineRule="auto" w:line="276" w:before="0" w:after="200"/>
        <w:jc w:val="left"/>
        <w:rPr/>
      </w:pPr>
      <w:r>
        <w:rPr/>
        <w:t>Separate R code files to be added</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ire" w:date="2017-04-18T18:05:00Z" w:initials="C">
    <w:p>
      <w:r>
        <w:rPr>
          <w:rFonts w:ascii="Verdana" w:hAnsi="Verdana" w:eastAsia="Times New Roman" w:cs="Times New Roman"/>
          <w:color w:val="3F3F3F"/>
          <w:sz w:val="26"/>
          <w:szCs w:val="26"/>
          <w:lang w:val="en-US" w:eastAsia="en-US" w:bidi="en-US"/>
        </w:rPr>
        <w:t> 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is the most important of all in maximising the impact of the paper. It should synthesise the paper's key messages and should be generic, seminal and accessible to non-specialists, and must carry one of the following subheadings:</w:t>
      </w:r>
    </w:p>
    <w:p>
      <w:r>
        <w:rPr>
          <w:rFonts w:ascii="Verdana" w:hAnsi="Verdana" w:eastAsia="Times New Roman" w:cs="Times New Roman"/>
          <w:color w:val="3F3F3F"/>
          <w:sz w:val="26"/>
          <w:szCs w:val="26"/>
          <w:lang w:val="en-US" w:eastAsia="en-US" w:bidi="en-US"/>
        </w:rPr>
        <w:t>'</w:t>
      </w:r>
      <w:r>
        <w:rPr>
          <w:rFonts w:ascii="Verdana" w:hAnsi="Verdana" w:eastAsia="Times New Roman" w:cs="Times New Roman"/>
          <w:b/>
          <w:bCs/>
          <w:i/>
          <w:iCs/>
          <w:color w:val="3F3F3F"/>
          <w:sz w:val="26"/>
          <w:szCs w:val="26"/>
          <w:lang w:val="en-US" w:eastAsia="en-US" w:bidi="en-US"/>
        </w:rPr>
        <w:t>Synthesis and applications'</w:t>
      </w:r>
      <w:r>
        <w:rPr>
          <w:rFonts w:ascii="Verdana" w:hAnsi="Verdana" w:eastAsia="Times New Roman" w:cs="Times New Roman"/>
          <w:color w:val="3F3F3F"/>
          <w:sz w:val="26"/>
          <w:szCs w:val="26"/>
          <w:lang w:val="en-US" w:eastAsia="en-US" w:bidi="en-US"/>
        </w:rPr>
        <w:t> for articles that identify recommendations for management practices.</w:t>
      </w:r>
    </w:p>
    <w:p>
      <w:r>
        <w:rPr>
          <w:rFonts w:ascii="Verdana" w:hAnsi="Verdana" w:eastAsia="Times New Roman" w:cs="Times New Roman"/>
          <w:color w:val="3F3F3F"/>
          <w:sz w:val="26"/>
          <w:szCs w:val="26"/>
          <w:lang w:val="en-US" w:eastAsia="en-US" w:bidi="en-US"/>
        </w:rPr>
        <w:t>‘</w:t>
      </w:r>
      <w:r>
        <w:rPr>
          <w:rFonts w:ascii="Verdana" w:hAnsi="Verdana" w:eastAsia="Times New Roman" w:cs="Times New Roman"/>
          <w:b/>
          <w:bCs/>
          <w:i/>
          <w:iCs/>
          <w:color w:val="3F3F3F"/>
          <w:sz w:val="26"/>
          <w:szCs w:val="26"/>
          <w:lang w:val="en-US" w:eastAsia="en-US" w:bidi="en-US"/>
        </w:rPr>
        <w:t>Policy implications’</w:t>
      </w:r>
      <w:r>
        <w:rPr>
          <w:rFonts w:ascii="Verdana" w:hAnsi="Verdana" w:eastAsia="Times New Roman" w:cs="Times New Roman"/>
          <w:color w:val="3F3F3F"/>
          <w:sz w:val="26"/>
          <w:szCs w:val="26"/>
          <w:lang w:val="en-US" w:eastAsia="en-US" w:bidi="en-US"/>
        </w:rPr>
        <w:t> for articles that are less directly tied to on-the-ground management and include discussion on conservation implications or links to policy.</w:t>
      </w:r>
    </w:p>
    <w:p>
      <w:r>
        <w:rPr>
          <w:rFonts w:ascii="Verdana" w:hAnsi="Verdana" w:eastAsia="Times New Roman" w:cs="Times New Roman"/>
          <w:i/>
          <w:iCs/>
          <w:color w:val="3F3F3F"/>
          <w:sz w:val="26"/>
          <w:szCs w:val="26"/>
          <w:lang w:val="en-US" w:eastAsia="en-US" w:bidi="en-US"/>
        </w:rPr>
        <w:t>Keywords</w:t>
      </w:r>
      <w:r>
        <w:rPr>
          <w:rFonts w:ascii="Verdana" w:hAnsi="Verdana" w:eastAsia="Times New Roman" w:cs="Times New Roman"/>
          <w:color w:val="3F3F3F"/>
          <w:sz w:val="26"/>
          <w:szCs w:val="26"/>
          <w:lang w:val="en-US" w:eastAsia="en-US" w:bidi="en-US"/>
        </w:rPr>
        <w:t>. A list in alphabetical order not exceeding ten words or short phrases, excluding words used in the title and chosen carefully to reflect the precise content of the paper.</w:t>
      </w:r>
    </w:p>
    <w:p>
      <w:r>
        <w:rPr>
          <w:rFonts w:ascii="Liberation Serif" w:hAnsi="Liberation Serif" w:eastAsia="DejaVu Sans" w:cs="DejaVu Sans"/>
          <w:szCs w:val="24"/>
          <w:lang w:val="en-US" w:eastAsia="en-US" w:bidi="en-US"/>
        </w:rPr>
      </w:r>
    </w:p>
  </w:comment>
  <w:comment w:id="1" w:author="Unknown Author" w:date="2017-11-10T14:58:2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gdalwarp -overwrite -r near -of GTiff -tr 4300 4300 /media/Data/Documents/college/OU-postdoc/research/grassland_bird_surveys/ougrassland/gis_layers_processed/bio_12_ok_shape/bio2_12_OK.tif /media/Data/Documents/college/OU-postdoc/research/grassland_bird_surveys/ougrassland/gis_layers_processed/lower_res_versions/bio2_12_OK_4km.tif</w:t>
      </w:r>
    </w:p>
  </w:comment>
  <w:comment w:id="2" w:author="Claire" w:date="2017-07-27T17:50:00Z" w:initials="C">
    <w:p>
      <w:r>
        <w:rPr>
          <w:rFonts w:ascii="Liberation Serif" w:hAnsi="Liberation Serif" w:eastAsia="DejaVu Sans" w:cs="DejaVu Sans"/>
          <w:szCs w:val="24"/>
          <w:lang w:val="en-US" w:eastAsia="en-US" w:bidi="en-US"/>
        </w:rPr>
        <w:t>Some sort of policy or management application seems to be critical for J of Applied Ecology, so this is the recommendation paragraph.</w:t>
      </w:r>
    </w:p>
  </w:comment>
  <w:comment w:id="3" w:author="Claire" w:date="2017-04-18T13:29:00Z" w:initials="C">
    <w:p>
      <w:r>
        <w:rPr>
          <w:rFonts w:ascii="Liberation Serif" w:hAnsi="Liberation Serif" w:eastAsia="DejaVu Sans" w:cs="DejaVu Sans"/>
          <w:szCs w:val="24"/>
          <w:lang w:val="en-US" w:eastAsia="en-US" w:bidi="en-US"/>
        </w:rPr>
        <w:t>.   Authors' Contributions. All submissions with more than one author must include an Author Contributions statement. All persons listed as authors on a paper are expected to meet ALL of the following criteria for authorship: – substantial contributions to conception and design, or acquisition of data, or analysis and interpretation of data, or drafting the article or revising it critically for important intellectual content; – final approval of the version to be published; – agreement to be accountable for the aspects of the work that they conducted and ensuring that questions related to the accuracy or integrity of any part of their work are appropriately investigated and resolved. Acquisition of funding, provision of facilities, or supervising the research group of authors without additional contribution are not usually sufficient justifications for authorship. The statement should include an explanation of the contribution of each author. We suggest the following format for the Author Contributions statement: – AB and CD conceived the ideas and designed methodology; CD and EF collected the data; EF and GH analysed the data; AB and CD led the writing of the manuscript. All authors contributed critically to the drafts and gave final approval for publication.</w:t>
      </w:r>
    </w:p>
    <w:p>
      <w:r>
        <w:rPr>
          <w:rFonts w:ascii="Liberation Serif" w:hAnsi="Liberation Serif" w:eastAsia="DejaVu Sans" w:cs="DejaVu Sans"/>
          <w:szCs w:val="24"/>
          <w:lang w:val="en-US" w:eastAsia="en-US" w:bidi="en-US"/>
        </w:rPr>
      </w:r>
    </w:p>
  </w:comment>
  <w:comment w:id="4" w:author="Claire" w:date="2017-07-27T21:01:00Z" w:initials="C">
    <w:p>
      <w:r>
        <w:rPr>
          <w:rFonts w:ascii="Liberation Serif" w:hAnsi="Liberation Serif" w:eastAsia="DejaVu Sans" w:cs="DejaVu Sans"/>
          <w:szCs w:val="24"/>
          <w:lang w:val="en-US" w:eastAsia="en-US" w:bidi="en-US"/>
        </w:rPr>
        <w:t>Needs editing/format/polishing some entries.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Courier New">
    <w:charset w:val="01"/>
    <w:family w:val="roman"/>
    <w:pitch w:val="variable"/>
  </w:font>
  <w:font w:name="CMR10">
    <w:charset w:val="01"/>
    <w:family w:val="roman"/>
    <w:pitch w:val="variable"/>
  </w:font>
  <w:font w:name="CMTI10">
    <w:charset w:val="01"/>
    <w:family w:val="roman"/>
    <w:pitch w:val="variable"/>
  </w:font>
  <w:font w:name="CMBX10">
    <w:charset w:val="01"/>
    <w:family w:val="roman"/>
    <w:pitch w:val="variable"/>
  </w:font>
  <w:font w:name="Liberation Sans">
    <w:altName w:val="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7173"/>
    <w:pPr>
      <w:widowControl/>
      <w:bidi w:val="0"/>
      <w:spacing w:lineRule="auto" w:line="276" w:before="0" w:after="20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hAnsi="Times New Roman" w:eastAsia="" w:cs="" w:cstheme="majorBidi" w:eastAsiaTheme="majorEastAsia"/>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hAnsi="Times New Roman" w:eastAsia="" w:cs="" w:cstheme="majorBidi" w:eastAsiaTheme="majorEastAsia"/>
      <w:bCs/>
      <w:i/>
      <w:sz w:val="24"/>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sid w:val="003d6765"/>
    <w:rPr>
      <w:rFonts w:ascii="Times New Roman" w:hAnsi="Times New Roman"/>
      <w:bCs/>
      <w:smallCaps/>
      <w:sz w:val="24"/>
      <w:szCs w:val="28"/>
    </w:rPr>
  </w:style>
  <w:style w:type="character" w:styleId="InternetLink">
    <w:name w:val="Internet Link"/>
    <w:basedOn w:val="DefaultParagraphFont"/>
    <w:uiPriority w:val="99"/>
    <w:unhideWhenUsed/>
    <w:rsid w:val="005f1c91"/>
    <w:rPr>
      <w:color w:val="0000FF" w:themeColor="hyperlink"/>
      <w:u w:val="single"/>
    </w:rPr>
  </w:style>
  <w:style w:type="character" w:styleId="Heading2Char" w:customStyle="1">
    <w:name w:val="Heading 2 Char"/>
    <w:basedOn w:val="DefaultParagraphFont"/>
    <w:link w:val="Heading2"/>
    <w:uiPriority w:val="9"/>
    <w:qFormat/>
    <w:rsid w:val="003d6765"/>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3d6765"/>
    <w:rPr>
      <w:rFonts w:ascii="Times New Roman" w:hAnsi="Times New Roman" w:eastAsia="" w:cs="" w:cstheme="majorBidi" w:eastAsiaTheme="majorEastAsia"/>
      <w:bCs/>
      <w:i/>
      <w:sz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Annotationreference">
    <w:name w:val="annotation reference"/>
    <w:basedOn w:val="DefaultParagraphFont"/>
    <w:uiPriority w:val="99"/>
    <w:semiHidden/>
    <w:unhideWhenUsed/>
    <w:qFormat/>
    <w:rsid w:val="00062335"/>
    <w:rPr>
      <w:sz w:val="16"/>
      <w:szCs w:val="16"/>
    </w:rPr>
  </w:style>
  <w:style w:type="character" w:styleId="CommentTextChar" w:customStyle="1">
    <w:name w:val="Comment Text Char"/>
    <w:basedOn w:val="DefaultParagraphFont"/>
    <w:link w:val="CommentText"/>
    <w:uiPriority w:val="99"/>
    <w:qFormat/>
    <w:rsid w:val="00062335"/>
    <w:rPr>
      <w:sz w:val="20"/>
      <w:szCs w:val="20"/>
    </w:rPr>
  </w:style>
  <w:style w:type="character" w:styleId="CommentSubjectChar" w:customStyle="1">
    <w:name w:val="Comment Subject Char"/>
    <w:basedOn w:val="CommentTextChar"/>
    <w:link w:val="CommentSubject"/>
    <w:uiPriority w:val="99"/>
    <w:semiHidden/>
    <w:qFormat/>
    <w:rsid w:val="00062335"/>
    <w:rPr>
      <w:b/>
      <w:bCs/>
      <w:sz w:val="20"/>
      <w:szCs w:val="20"/>
    </w:rPr>
  </w:style>
  <w:style w:type="character" w:styleId="BalloonTextChar" w:customStyle="1">
    <w:name w:val="Balloon Text Char"/>
    <w:basedOn w:val="DefaultParagraphFont"/>
    <w:link w:val="BalloonText"/>
    <w:uiPriority w:val="99"/>
    <w:semiHidden/>
    <w:qFormat/>
    <w:rsid w:val="00062335"/>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cd52f7"/>
    <w:rPr>
      <w:rFonts w:ascii="Courier New" w:hAnsi="Courier New" w:eastAsia="Times New Roman" w:cs="Courier New"/>
      <w:sz w:val="20"/>
      <w:szCs w:val="20"/>
    </w:rPr>
  </w:style>
  <w:style w:type="character" w:styleId="Fontstyle01" w:customStyle="1">
    <w:name w:val="fontstyle01"/>
    <w:basedOn w:val="DefaultParagraphFont"/>
    <w:qFormat/>
    <w:rsid w:val="00fc5819"/>
    <w:rPr>
      <w:rFonts w:ascii="CMR10" w:hAnsi="CMR10"/>
      <w:b w:val="false"/>
      <w:bCs w:val="false"/>
      <w:i w:val="false"/>
      <w:iCs w:val="false"/>
      <w:color w:val="231F20"/>
      <w:sz w:val="20"/>
      <w:szCs w:val="20"/>
    </w:rPr>
  </w:style>
  <w:style w:type="character" w:styleId="Fontstyle21" w:customStyle="1">
    <w:name w:val="fontstyle21"/>
    <w:basedOn w:val="DefaultParagraphFont"/>
    <w:qFormat/>
    <w:rsid w:val="00fc5819"/>
    <w:rPr>
      <w:rFonts w:ascii="CMTI10" w:hAnsi="CMTI10"/>
      <w:b w:val="false"/>
      <w:bCs w:val="false"/>
      <w:i/>
      <w:iCs/>
      <w:color w:val="231F20"/>
      <w:sz w:val="20"/>
      <w:szCs w:val="20"/>
    </w:rPr>
  </w:style>
  <w:style w:type="character" w:styleId="Fontstyle31" w:customStyle="1">
    <w:name w:val="fontstyle31"/>
    <w:basedOn w:val="DefaultParagraphFont"/>
    <w:qFormat/>
    <w:rsid w:val="00fc5819"/>
    <w:rPr>
      <w:rFonts w:ascii="CMBX10" w:hAnsi="CMBX10"/>
      <w:b w:val="false"/>
      <w:bCs w:val="false"/>
      <w:i w:val="false"/>
      <w:iCs w:val="false"/>
      <w:color w:val="231F20"/>
      <w:sz w:val="20"/>
      <w:szCs w:val="20"/>
    </w:rPr>
  </w:style>
  <w:style w:type="character" w:styleId="Emphasis">
    <w:name w:val="Emphasis"/>
    <w:basedOn w:val="DefaultParagraphFont"/>
    <w:uiPriority w:val="20"/>
    <w:qFormat/>
    <w:rsid w:val="007655f2"/>
    <w:rPr>
      <w:i/>
      <w:iCs/>
    </w:rPr>
  </w:style>
  <w:style w:type="character" w:styleId="Appleconvertedspace" w:customStyle="1">
    <w:name w:val="apple-converted-space"/>
    <w:basedOn w:val="DefaultParagraphFont"/>
    <w:qFormat/>
    <w:rsid w:val="007655f2"/>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Reference" w:customStyle="1">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lineRule="auto" w:line="240" w:beforeAutospacing="1" w:afterAutospacing="1"/>
    </w:pPr>
    <w:rPr>
      <w:rFonts w:eastAsia="Times New Roman" w:cs="Times New Roman"/>
      <w:szCs w:val="24"/>
    </w:rPr>
  </w:style>
  <w:style w:type="paragraph" w:styleId="ListParagraph">
    <w:name w:val="List Paragraph"/>
    <w:basedOn w:val="Normal"/>
    <w:uiPriority w:val="34"/>
    <w:qFormat/>
    <w:rsid w:val="005f0566"/>
    <w:pPr>
      <w:spacing w:before="0" w:after="200"/>
      <w:ind w:left="720" w:hanging="0"/>
      <w:contextualSpacing/>
    </w:pPr>
    <w:rPr/>
  </w:style>
  <w:style w:type="paragraph" w:styleId="Annotationtext">
    <w:name w:val="annotation text"/>
    <w:basedOn w:val="Normal"/>
    <w:link w:val="CommentTextChar"/>
    <w:uiPriority w:val="99"/>
    <w:unhideWhenUsed/>
    <w:qFormat/>
    <w:rsid w:val="0006233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62335"/>
    <w:pPr/>
    <w:rPr>
      <w:b/>
      <w:bCs/>
    </w:rPr>
  </w:style>
  <w:style w:type="paragraph" w:styleId="BalloonText">
    <w:name w:val="Balloon Text"/>
    <w:basedOn w:val="Normal"/>
    <w:link w:val="BalloonTextChar"/>
    <w:uiPriority w:val="99"/>
    <w:semiHidden/>
    <w:unhideWhenUsed/>
    <w:qFormat/>
    <w:rsid w:val="00062335"/>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8131fc"/>
    <w:pPr>
      <w:spacing w:lineRule="auto" w:line="240" w:before="0" w:after="240"/>
      <w:ind w:left="720" w:hanging="720"/>
    </w:pPr>
    <w:rPr/>
  </w:style>
  <w:style w:type="paragraph" w:styleId="HTMLPreformatted">
    <w:name w:val="HTML Preformatted"/>
    <w:basedOn w:val="Normal"/>
    <w:link w:val="HTMLPreformattedChar"/>
    <w:uiPriority w:val="99"/>
    <w:unhideWhenUsed/>
    <w:qFormat/>
    <w:rsid w:val="00cd52f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6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rryclairem@gmail.com"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1EEF-60D5-47A3-80A0-9CB75F12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Application>LibreOffice/5.1.6.2$Linux_X86_64 LibreOffice_project/10m0$Build-2</Application>
  <Pages>26</Pages>
  <Words>7268</Words>
  <Characters>42241</Characters>
  <CharactersWithSpaces>49085</CharactersWithSpaces>
  <Paragraphs>566</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2017-07-28T01:28:00Z</dcterms:created>
  <dc:creator>Claire</dc:creator>
  <dc:description/>
  <dc:language>en-US</dc:language>
  <cp:lastModifiedBy/>
  <dcterms:modified xsi:type="dcterms:W3CDTF">2017-11-10T15:36:54Z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10"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11" name="ZOTERO_BREF_0kxTfnnITlsB_3">
    <vt:lpwstr>":[{"family":"Samson","given":"Fred B."},{"family":"Knopf","given":"Fritz L."},{"family":"Ostlie","given":"Wayne"}],"issued":{"date-parts":[["2004"]]}}}],"schema":"https://github.com/citation-style-language/schema/raw/master/csl-citation.json"}</vt:lpwstr>
  </property>
  <property fmtid="{D5CDD505-2E9C-101B-9397-08002B2CF9AE}" pid="12"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13"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14" name="ZOTERO_BREF_2HIpWD7Rau51_3">
    <vt:lpwstr>"Miller","given":"David Lawrence"}],"issued":{"date-parts":[["2016"]]}}}],"schema":"https://github.com/citation-style-language/schema/raw/master/csl-citation.json"}</vt:lpwstr>
  </property>
  <property fmtid="{D5CDD505-2E9C-101B-9397-08002B2CF9AE}" pid="15"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6"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7"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8" name="ZOTERO_BREF_2ki3NFcpkmuC_4">
    <vt:lpwstr>arts":[["2001"]]},"accessed":{"date-parts":[["2015",10,6]]}}},{"id":8187,"uris":["http://zotero.org/users/1047243/items/5RMRQVR6"],"uri":["http://zotero.org/users/1047243/items/5RMRQVR6"],"itemData":{"id":8187,"type":"article-journal","title":"Random fore</vt:lpwstr>
  </property>
  <property fmtid="{D5CDD505-2E9C-101B-9397-08002B2CF9AE}" pid="19"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20" name="ZOTERO_BREF_2ki3NFcpkmuC_6">
    <vt:lpwstr>aren H."},{"family":"Cutler","given":"Adele"},{"family":"Hess","given":"Kyle T."},{"family":"Gibson","given":"Jacob"},{"family":"Lawler","given":"Joshua J."}],"issued":{"date-parts":[["2007"]]}}}],"schema":"https://github.com/citation-style-language/schem</vt:lpwstr>
  </property>
  <property fmtid="{D5CDD505-2E9C-101B-9397-08002B2CF9AE}" pid="21" name="ZOTERO_BREF_2ki3NFcpkmuC_7">
    <vt:lpwstr>a/raw/master/csl-citation.json"}</vt:lpwstr>
  </property>
  <property fmtid="{D5CDD505-2E9C-101B-9397-08002B2CF9AE}" pid="22"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23"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24" name="ZOTERO_BREF_30ZlVo5Fc8bs_3">
    <vt:lpwstr>ccessed":{"date-parts":[["2017",1,13]]}},"suffix":" 2017"}],"schema":"https://github.com/citation-style-language/schema/raw/master/csl-citation.json"}</vt:lpwstr>
  </property>
  <property fmtid="{D5CDD505-2E9C-101B-9397-08002B2CF9AE}" pid="25"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26"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27" name="ZOTERO_BREF_3p4W1KqZZnUW_3">
    <vt:lpwstr>,"author":[{"family":"McCarty","given":""}],"issued":{"date-parts":[["2001"]]},"accessed":{"date-parts":[["2017",2,15]]}}}],"schema":"https://github.com/citation-style-language/schema/raw/master/csl-citation.json"}</vt:lpwstr>
  </property>
  <property fmtid="{D5CDD505-2E9C-101B-9397-08002B2CF9AE}" pid="28"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29"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30" name="ZOTERO_BREF_4WTBgPhUKSR1_3">
    <vt:lpwstr>mily":"Munson","given":"M. Arthur"},{"family":"Webb","given":"Kevin"},{"family":"Sheldon","given":"Daniel"},{"family":"Fink","given":"Daniel"},{"family":"Hochachka","given":"Wesley M."},{"family":"Iliff","given":"Marshall"},{"family":"Riedewald","given":"</vt:lpwstr>
  </property>
  <property fmtid="{D5CDD505-2E9C-101B-9397-08002B2CF9AE}" pid="31" name="ZOTERO_BREF_4WTBgPhUKSR1_4">
    <vt:lpwstr>Mirek"},{"family":"Sorokina","given":"Daria"},{"family":"Sullivan","given":"Brian"},{"family":"Wood","given":"Christopher"},{"family":"Kelling","given":"Steve"}],"issued":{"date-parts":[["2014",1]]}}}],"schema":"https://github.com/citation-style-language/</vt:lpwstr>
  </property>
  <property fmtid="{D5CDD505-2E9C-101B-9397-08002B2CF9AE}" pid="32" name="ZOTERO_BREF_4WTBgPhUKSR1_5">
    <vt:lpwstr>schema/raw/master/csl-citation.json"}</vt:lpwstr>
  </property>
  <property fmtid="{D5CDD505-2E9C-101B-9397-08002B2CF9AE}" pid="33"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34" name="ZOTERO_BREF_4vzZTnXQaAlF_10">
    <vt:lpwstr>ema/raw/master/csl-citation.json"}</vt:lpwstr>
  </property>
  <property fmtid="{D5CDD505-2E9C-101B-9397-08002B2CF9AE}" pid="3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3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3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3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3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4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4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4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43"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44"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45"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46" name="ZOTERO_BREF_52fF2QGWER8D_4">
    <vt:lpwstr>rth America","author":[{"family":"Askins","given":"Robert A."},{"family":"Chávez-Ramírez","given":"Felipe"},{"family":"Dale","given":"Brenda C."},{"family":"Haas","given":"Carola A."},{"family":"Herkert","given":"James R."},{"family":"Knopf","given":"Frit</vt:lpwstr>
  </property>
  <property fmtid="{D5CDD505-2E9C-101B-9397-08002B2CF9AE}" pid="47" name="ZOTERO_BREF_52fF2QGWER8D_5">
    <vt:lpwstr>z L."},{"family":"Vickery","given":"Peter D."}],"issued":{"date-parts":[["2007",1]]}}},{"id":8638,"uris":["http://zotero.org/users/1047243/items/XPFBGQUZ"],"uri":["http://zotero.org/users/1047243/items/XPFBGQUZ"],"itemData":{"id":8638,"type":"report","tit</vt:lpwstr>
  </property>
  <property fmtid="{D5CDD505-2E9C-101B-9397-08002B2CF9AE}" pid="48"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49" name="ZOTERO_BREF_52fF2QGWER8D_7">
    <vt:lpwstr>"Diamond","given":"D.D."},{"family":"Elliott","given":"L.F."}],"issued":{"date-parts":[["2015"]]}}}],"schema":"https://github.com/citation-style-language/schema/raw/master/csl-citation.json"}</vt:lpwstr>
  </property>
  <property fmtid="{D5CDD505-2E9C-101B-9397-08002B2CF9AE}" pid="50"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51"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52" name="ZOTERO_BREF_5rCFww384Pud_3">
    <vt:lpwstr>{"date-parts":[["2001"]]}}}],"schema":"https://github.com/citation-style-language/schema/raw/master/csl-citation.json"}</vt:lpwstr>
  </property>
  <property fmtid="{D5CDD505-2E9C-101B-9397-08002B2CF9AE}" pid="53"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54"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55" name="ZOTERO_BREF_6ddwgjaCUoFh_3">
    <vt:lpwstr>ate","page":"1036–1050","volume":"15","issue":"9","source":"Google Scholar","author":[{"family":"Risbey","given":"James S."},{"family":"Lamb","given":"Peter J."},{"family":"Miller","given":"Ron L."},{"family":"Morgan","given":"Michael C."},{"family":"Roe"</vt:lpwstr>
  </property>
  <property fmtid="{D5CDD505-2E9C-101B-9397-08002B2CF9AE}" pid="56" name="ZOTERO_BREF_6ddwgjaCUoFh_4">
    <vt:lpwstr>,"given":"Gerard H."}],"issued":{"date-parts":[["2002"]]}}}],"schema":"https://github.com/citation-style-language/schema/raw/master/csl-citation.json"}</vt:lpwstr>
  </property>
  <property fmtid="{D5CDD505-2E9C-101B-9397-08002B2CF9AE}" pid="57"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58"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59" name="ZOTERO_BREF_6yWCUYagay2i_3">
    <vt:lpwstr>vation","publisher-place":"Norman, OK","event-place":"Norman, OK","author":[{"family":"Diamond","given":"D.D."},{"family":"Elliott","given":"L.F."}],"issued":{"date-parts":[["2015"]]}}}],"schema":"https://github.com/citation-style-language/schema/raw/mast</vt:lpwstr>
  </property>
  <property fmtid="{D5CDD505-2E9C-101B-9397-08002B2CF9AE}" pid="60" name="ZOTERO_BREF_6yWCUYagay2i_4">
    <vt:lpwstr>er/csl-citation.json"}</vt:lpwstr>
  </property>
  <property fmtid="{D5CDD505-2E9C-101B-9397-08002B2CF9AE}" pid="6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6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6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64" name="ZOTERO_BREF_72mZOQnbLxfT_4">
    <vt:lpwstr>ts.","URL":"https://www.bea.gov/iTable/index_regional.cfm","language":"EN-US","author":[{"family":"US Department of Commerce","given":""}],"issued":{"date-parts":[["2016",12,7]]},"accessed":{"date-parts":[["2017",1,31]]}}}],"schema":"https://github.com/ci</vt:lpwstr>
  </property>
  <property fmtid="{D5CDD505-2E9C-101B-9397-08002B2CF9AE}" pid="65" name="ZOTERO_BREF_72mZOQnbLxfT_5">
    <vt:lpwstr>tation-style-language/schema/raw/master/csl-citation.json"}</vt:lpwstr>
  </property>
  <property fmtid="{D5CDD505-2E9C-101B-9397-08002B2CF9AE}" pid="66"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67"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68" name="ZOTERO_BREF_785SFxYxvYA7_3">
    <vt:lpwstr>osgeo.org","author":[{"family":"Quantum GIS Development Team","given":""}],"issued":{"date-parts":[["2012"]]}}}],"schema":"https://github.com/citation-style-language/schema/raw/master/csl-citation.json"}</vt:lpwstr>
  </property>
  <property fmtid="{D5CDD505-2E9C-101B-9397-08002B2CF9AE}" pid="69"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70"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71" name="ZOTERO_BREF_7EISH3u1aSqd_3">
    <vt:lpwstr>volume":"22","issue":"1","source":"CrossRef","DOI":"10.1016/j.tree.2006.09.010","ISSN":"01695347","language":"en","author":[{"family":"Araujo","given":"M"},{"family":"New","given":"M"}],"issued":{"date-parts":[["2007",1]]}}},{"id":5549,"uris":["http://zot</vt:lpwstr>
  </property>
  <property fmtid="{D5CDD505-2E9C-101B-9397-08002B2CF9AE}" pid="72"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73" name="ZOTERO_BREF_7EISH3u1aSqd_5">
    <vt:lpwstr>"container-title":"Biological Conservation","page":"94-104","volume":"156","source":"CrossRef","DOI":"10.1016/j.biocon.2011.11.013","ISSN":"00063207","language":"en","author":[{"family":"Oppel","given":"Steffen"},{"family":"Meirinho","given":"Ana"},{"fami</vt:lpwstr>
  </property>
  <property fmtid="{D5CDD505-2E9C-101B-9397-08002B2CF9AE}" pid="74" name="ZOTERO_BREF_7EISH3u1aSqd_6">
    <vt:lpwstr>ly":"Ramírez","given":"Iván"},{"family":"Gardner","given":"Beth"},{"family":"O’Connell","given":"Allan F."},{"family":"Miller","given":"Peter I."},{"family":"Louzao","given":"Maite"}],"issued":{"date-parts":[["2012",11]]}}}],"schema":"https://github.com/c</vt:lpwstr>
  </property>
  <property fmtid="{D5CDD505-2E9C-101B-9397-08002B2CF9AE}" pid="75" name="ZOTERO_BREF_7EISH3u1aSqd_7">
    <vt:lpwstr>itation-style-language/schema/raw/master/csl-citation.json"}</vt:lpwstr>
  </property>
  <property fmtid="{D5CDD505-2E9C-101B-9397-08002B2CF9AE}" pid="76"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77"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78" name="ZOTERO_BREF_7OW9GjKF4L60_3">
    <vt:lpwstr>issued":{"date-parts":[["2016"]]}}}],"schema":"https://github.com/citation-style-language/schema/raw/master/csl-citation.json"}</vt:lpwstr>
  </property>
  <property fmtid="{D5CDD505-2E9C-101B-9397-08002B2CF9AE}" pid="79"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80"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81" name="ZOTERO_BREF_7fiOle7tQ5Cl_3">
    <vt:lpwstr>,"source":"Google Scholar","author":[{"family":"Fink","given":"Daniel"},{"family":"Hochachka","given":"Wesley M."},{"family":"Zuckerberg","given":"Benjamin"},{"family":"Winkler","given":"David W."},{"family":"Shaby","given":"Ben"},{"family":"Munson","give</vt:lpwstr>
  </property>
  <property fmtid="{D5CDD505-2E9C-101B-9397-08002B2CF9AE}" pid="82" name="ZOTERO_BREF_7fiOle7tQ5Cl_4">
    <vt:lpwstr>n":"M. Arthur"},{"family":"Hooker","given":"Giles"},{"family":"Riedewald","given":"Mirek"},{"family":"Sheldon","given":"Daniel"},{"family":"Kelling","given":"Steve"}],"issued":{"date-parts":[["2010"]]}}}],"schema":"https://github.com/citation-style-langua</vt:lpwstr>
  </property>
  <property fmtid="{D5CDD505-2E9C-101B-9397-08002B2CF9AE}" pid="83" name="ZOTERO_BREF_7fiOle7tQ5Cl_5">
    <vt:lpwstr>ge/schema/raw/master/csl-citation.json"}</vt:lpwstr>
  </property>
  <property fmtid="{D5CDD505-2E9C-101B-9397-08002B2CF9AE}" pid="84"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85"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86"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87"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88"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89"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90" name="ZOTERO_BREF_81BrQr2Uvx5O_7">
    <vt:lpwstr>asures","journalAbbreviation":"BMC Bioinformatics","author":[{"family":"Strobl","given":"Carolin"},{"family":"Boulesteix","given":"Anne-Laure"},{"family":"Zeileis","given":"Achim"},{"family":"Hothorn","given":"Torsten"}],"issued":{"date-parts":[["2007"]]}</vt:lpwstr>
  </property>
  <property fmtid="{D5CDD505-2E9C-101B-9397-08002B2CF9AE}" pid="91" name="ZOTERO_BREF_81BrQr2Uvx5O_8">
    <vt:lpwstr>}}],"schema":"https://github.com/citation-style-language/schema/raw/master/csl-citation.json"}</vt:lpwstr>
  </property>
  <property fmtid="{D5CDD505-2E9C-101B-9397-08002B2CF9AE}" pid="92"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3"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4"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5" name="ZOTERO_BREF_8dcT8tML86fL_4">
    <vt:lpwstr>,"given":"Louis R."},{"family":"Liaw","given":"Andy"}],"issued":{"date-parts":[["2006",3]]}}}],"schema":"https://github.com/citation-style-language/schema/raw/master/csl-citation.json"}</vt:lpwstr>
  </property>
  <property fmtid="{D5CDD505-2E9C-101B-9397-08002B2CF9AE}" pid="96"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97"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98" name="ZOTERO_BREF_9N27HJt88gtY_3">
    <vt:lpwstr>nd Naturalist","page":"206","volume":"137","issue":"2","source":"CrossRef","DOI":"10.2307/2426840","ISSN":"00030031","author":[{"family":"Klute","given":"David S."},{"family":"Robel","given":"Robert J."},{"family":"Kemp","given":"Kenneth E."}],"issued":{"</vt:lpwstr>
  </property>
  <property fmtid="{D5CDD505-2E9C-101B-9397-08002B2CF9AE}" pid="99" name="ZOTERO_BREF_9N27HJt88gtY_4">
    <vt:lpwstr>date-parts":[["1997",4]]}}}],"schema":"https://github.com/citation-style-language/schema/raw/master/csl-citation.json"}</vt:lpwstr>
  </property>
  <property fmtid="{D5CDD505-2E9C-101B-9397-08002B2CF9AE}" pid="100"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101" name="ZOTERO_BREF_9RuGkMwH3loy_10">
    <vt:lpwstr>"schema":"https://github.com/citation-style-language/schema/raw/master/csl-citation.json"}</vt:lpwstr>
  </property>
  <property fmtid="{D5CDD505-2E9C-101B-9397-08002B2CF9AE}" pid="102"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103"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104"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105"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106"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107"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108"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109" name="ZOTERO_BREF_9RuGkMwH3loy_9">
    <vt:lpwstr>cca Mary B."},{"family":"Grose","given":"Michael R."},{"family":"Lee","given":"Greg"},{"family":"Bindoff","given":"Nathaniel L."},{"family":"Porfirio","given":"Luciana L."},{"family":"Fox-Hughes","given":"Paul"}],"issued":{"date-parts":[["2014",9,1]]}}}],</vt:lpwstr>
  </property>
  <property fmtid="{D5CDD505-2E9C-101B-9397-08002B2CF9AE}" pid="110"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11"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12"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13"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14" name="ZOTERO_BREF_9S6rIY8WxFJt_13">
    <vt:lpwstr>1365-2486.2007.01357.x","ISSN":"1365-2486","shortTitle":"Where will species go?","language":"en","author":[{"family":"Beaumont","given":"Linda J."},{"family":"Pitman","given":"A. J."},{"family":"Poulsen","given":"Michael"},{"family":"Hughes","given":"Lesl</vt:lpwstr>
  </property>
  <property fmtid="{D5CDD505-2E9C-101B-9397-08002B2CF9AE}" pid="115" name="ZOTERO_BREF_9S6rIY8WxFJt_14">
    <vt:lpwstr>ey"}],"issued":{"date-parts":[["2007",7,1]]}}}],"schema":"https://github.com/citation-style-language/schema/raw/master/csl-citation.json"}</vt:lpwstr>
  </property>
  <property fmtid="{D5CDD505-2E9C-101B-9397-08002B2CF9AE}" pid="116"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17"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18"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19"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20"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21"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22"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23"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24"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125"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126" name="ZOTERO_BREF_9niynEAxCF36_3">
    <vt:lpwstr>ontainer-title":"Studies in Avian Biology","page":"45-59","volume":"19","author":[{"family":"O'Connor","given":"Raymond J."},{"family":"Jones","given":"Malcom T."},{"family":"Boone","given":"Randall B."},{"family":"Lauber","given":"T. Bruce"}],"issued":{"</vt:lpwstr>
  </property>
  <property fmtid="{D5CDD505-2E9C-101B-9397-08002B2CF9AE}" pid="127" name="ZOTERO_BREF_9niynEAxCF36_4">
    <vt:lpwstr>date-parts":[["1999"]]}}}],"schema":"https://github.com/citation-style-language/schema/raw/master/csl-citation.json"}</vt:lpwstr>
  </property>
  <property fmtid="{D5CDD505-2E9C-101B-9397-08002B2CF9AE}" pid="128"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129"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130" name="ZOTERO_BREF_A7wWbdo2nRH5_3">
    <vt:lpwstr>author":[{"family":"Cutler","given":"D. Richard"},{"family":"Edwards","given":"Thomas C."},{"family":"Beard","given":"Karen H."},{"family":"Cutler","given":"Adele"},{"family":"Hess","given":"Kyle T."},{"family":"Gibson","given":"Jacob"},{"family":"Lawler"</vt:lpwstr>
  </property>
  <property fmtid="{D5CDD505-2E9C-101B-9397-08002B2CF9AE}" pid="131" name="ZOTERO_BREF_A7wWbdo2nRH5_4">
    <vt:lpwstr>,"given":"Joshua J."}],"issued":{"date-parts":[["2007"]]}}}],"schema":"https://github.com/citation-style-language/schema/raw/master/csl-citation.json"}</vt:lpwstr>
  </property>
  <property fmtid="{D5CDD505-2E9C-101B-9397-08002B2CF9AE}" pid="132"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133"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134"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135" name="ZOTERO_BREF_AZG38rQex1ZJ_4">
    <vt:lpwstr>},{"family":"Chávez-Ramírez","given":"Felipe"},{"family":"Dale","given":"Brenda C."},{"family":"Haas","given":"Carola A."},{"family":"Herkert","given":"James R."},{"family":"Knopf","given":"Fritz L."},{"family":"Vickery","given":"Peter D."}],"issued":{"da</vt:lpwstr>
  </property>
  <property fmtid="{D5CDD505-2E9C-101B-9397-08002B2CF9AE}" pid="136" name="ZOTERO_BREF_AZG38rQex1ZJ_5">
    <vt:lpwstr>te-parts":[["2007",1]]}}}],"schema":"https://github.com/citation-style-language/schema/raw/master/csl-citation.json"}</vt:lpwstr>
  </property>
  <property fmtid="{D5CDD505-2E9C-101B-9397-08002B2CF9AE}" pid="137"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138"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139"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140"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141" name="ZOTERO_BREF_Aet1qOom02en_13">
    <vt:lpwstr>rson","given":"Robert P."},{"family":"Dudík","given":"Miroslav"},{"family":"Ferrier","given":"Simon"},{"family":"Guisan","given":"Antoine"},{"family":"Hijmans","given":"Robert J."},{"family":"Huettmann","given":"Falk"},{"family":"R. Leathwick","given":"Jo</vt:lpwstr>
  </property>
  <property fmtid="{D5CDD505-2E9C-101B-9397-08002B2CF9AE}" pid="142" name="ZOTERO_BREF_Aet1qOom02en_14">
    <vt:lpwstr>hn R."},{"family":"Lehmann","given":"Anthony"},{"family":"Li","given":"Jin"},{"family":"Lohmann","given":"Lucia G."},{"family":"Loiselle","given":"Bette A."},{"family":"Manion","given":"Glenn"},{"family":"Moritz","given":"Craig"},{"family":"Nakamura","giv</vt:lpwstr>
  </property>
  <property fmtid="{D5CDD505-2E9C-101B-9397-08002B2CF9AE}" pid="143" name="ZOTERO_BREF_Aet1qOom02en_15">
    <vt:lpwstr>en":"Miguel"},{"family":"Nakazawa","given":"Yoshinori"},{"family":"Overton","given":"Jacob McC."},{"family":"Peterson","given":"A. Townsend"},{"family":"Phillips","given":"Steven J."},{"family":"Richardson","given":"Karen"},{"family":"Scachetti-Pereira","</vt:lpwstr>
  </property>
  <property fmtid="{D5CDD505-2E9C-101B-9397-08002B2CF9AE}" pid="144" name="ZOTERO_BREF_Aet1qOom02en_16">
    <vt:lpwstr>given":"Ricardo"},{"family":"Schapire","given":"Robert E."},{"family":"Soberón","given":"Jorge"},{"family":"Williams","given":"Stephen"},{"family":"Wisz","given":"Mary S."},{"family":"Zimmermann","given":"Niklaus E."}],"issued":{"date-parts":[["2006",4,1]</vt:lpwstr>
  </property>
  <property fmtid="{D5CDD505-2E9C-101B-9397-08002B2CF9AE}" pid="145"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146" name="ZOTERO_BREF_Aet1qOom02en_18">
    <vt:lpwstr>nal of Animal Ecology","page":"802-813","volume":"77","issue":"4","source":"CrossRef","DOI":"10.1111/j.1365-2656.2008.01390.x","ISSN":"0021-8790, 1365-2656","language":"en","author":[{"family":"Elith","given":"J."},{"family":"Leathwick","given":"J. R."},{</vt:lpwstr>
  </property>
  <property fmtid="{D5CDD505-2E9C-101B-9397-08002B2CF9AE}" pid="147" name="ZOTERO_BREF_Aet1qOom02en_19">
    <vt:lpwstr>"family":"Hastie","given":"T."}],"issued":{"date-parts":[["2008",7]]}}},{"id":8187,"uris":["http://zotero.org/users/1047243/items/5RMRQVR6"],"uri":["http://zotero.org/users/1047243/items/5RMRQVR6"],"itemData":{"id":8187,"type":"article-journal","title":"R</vt:lpwstr>
  </property>
  <property fmtid="{D5CDD505-2E9C-101B-9397-08002B2CF9AE}" pid="148"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149"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150" name="ZOTERO_BREF_Aet1qOom02en_21">
    <vt:lpwstr>"given":"Karen H."},{"family":"Cutler","given":"Adele"},{"family":"Hess","given":"Kyle T."},{"family":"Gibson","given":"Jacob"},{"family":"Lawler","given":"Joshua J."}],"issued":{"date-parts":[["2007"]]}}},{"id":8466,"uris":["http://zotero.org/users/10472</vt:lpwstr>
  </property>
  <property fmtid="{D5CDD505-2E9C-101B-9397-08002B2CF9AE}" pid="151"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152"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153"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154"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155"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156"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157" name="ZOTERO_BREF_Aet1qOom02en_28">
    <vt:lpwstr>,{"family":"Lohmann","given":"Lúcia G."},{"family":"Carvalho","given":"André C. P. L. F.","non-dropping-particle":"de"},{"family":"Yamamoto","given":"Missae"}],"issued":{"date-parts":[["2011",5]]}}}],"schema":"https://github.com/citation-style-language/sc</vt:lpwstr>
  </property>
  <property fmtid="{D5CDD505-2E9C-101B-9397-08002B2CF9AE}" pid="158" name="ZOTERO_BREF_Aet1qOom02en_29">
    <vt:lpwstr>hema/raw/master/csl-citation.json"}</vt:lpwstr>
  </property>
  <property fmtid="{D5CDD505-2E9C-101B-9397-08002B2CF9AE}" pid="159"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160" name="ZOTERO_BREF_Aet1qOom02en_4">
    <vt:lpwstr>:"ACM","page":"83","source":"Google Scholar","URL":"http://dl.acm.org/citation.cfm?id=1015412","author":[{"family":"Phillips","given":"Steven J."},{"family":"Dudík","given":"Miroslav"},{"family":"Schapire","given":"Robert E."}],"issued":{"date-parts":[["2</vt:lpwstr>
  </property>
  <property fmtid="{D5CDD505-2E9C-101B-9397-08002B2CF9AE}" pid="161"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162"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163"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164"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165"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16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16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16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16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17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17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17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173" name="ZOTERO_BREF_AgiSIAxTtuJE_8">
    <vt:lpwstr>hn R."}],"issued":{"date-parts":[["2009"]]}}}],"schema":"https://github.com/citation-style-language/schema/raw/master/csl-citation.json"}</vt:lpwstr>
  </property>
  <property fmtid="{D5CDD505-2E9C-101B-9397-08002B2CF9AE}" pid="174"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175"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176" name="ZOTERO_BREF_Avfm38wHSfFN_3">
    <vt:lpwstr>onservation","publisher-place":"Norman, OK","event-place":"Norman, OK","abstract":", Norman.","author":[{"family":"Diamond","given":"D.D."},{"family":"Elliott","given":"L.F."}],"issued":{"date-parts":[["2015"]]}}}],"schema":"https://github.com/citation-st</vt:lpwstr>
  </property>
  <property fmtid="{D5CDD505-2E9C-101B-9397-08002B2CF9AE}" pid="177" name="ZOTERO_BREF_Avfm38wHSfFN_4">
    <vt:lpwstr>yle-language/schema/raw/master/csl-citation.json"}</vt:lpwstr>
  </property>
  <property fmtid="{D5CDD505-2E9C-101B-9397-08002B2CF9AE}" pid="178"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179"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180" name="ZOTERO_BREF_BdK5VLvrs9hS_3">
    <vt:lpwstr>r":[{"family":"Samson","given":"Fred B."},{"family":"Knopf","given":"Fritz L."},{"family":"Ostlie","given":"Wayne"}],"issued":{"date-parts":[["2004"]]}}}],"schema":"https://github.com/citation-style-language/schema/raw/master/csl-citation.json"}</vt:lpwstr>
  </property>
  <property fmtid="{D5CDD505-2E9C-101B-9397-08002B2CF9AE}" pid="181"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182"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183" name="ZOTERO_BREF_CWr5pPEFiimQ_3">
    <vt:lpwstr>"source":"Google Scholar","author":[{"family":"Fink","given":"Daniel"},{"family":"Hochachka","given":"Wesley M."},{"family":"Zuckerberg","given":"Benjamin"},{"family":"Winkler","given":"David W."},{"family":"Shaby","given":"Ben"},{"family":"Munson","given</vt:lpwstr>
  </property>
  <property fmtid="{D5CDD505-2E9C-101B-9397-08002B2CF9AE}" pid="184" name="ZOTERO_BREF_CWr5pPEFiimQ_4">
    <vt:lpwstr>":"M. Arthur"},{"family":"Hooker","given":"Giles"},{"family":"Riedewald","given":"Mirek"},{"family":"Sheldon","given":"Daniel"},{"family":"Kelling","given":"Steve"}],"issued":{"date-parts":[["2010"]]}}}],"schema":"https://github.com/citation-style-languag</vt:lpwstr>
  </property>
  <property fmtid="{D5CDD505-2E9C-101B-9397-08002B2CF9AE}" pid="185" name="ZOTERO_BREF_CWr5pPEFiimQ_5">
    <vt:lpwstr>e/schema/raw/master/csl-citation.json"}</vt:lpwstr>
  </property>
  <property fmtid="{D5CDD505-2E9C-101B-9397-08002B2CF9AE}" pid="186"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187" name="ZOTERO_BREF_D1X1O19aVImw_10">
    <vt:lpwstr>ema/raw/master/csl-citation.json"}</vt:lpwstr>
  </property>
  <property fmtid="{D5CDD505-2E9C-101B-9397-08002B2CF9AE}" pid="188"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189"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190"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191"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192"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193"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194"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195"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196"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19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19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199"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200" name="ZOTERO_BREF_DiDJ5M5CLeqV_13">
    <vt:lpwstr>uffy","given":"Philip B."},{"family":"Hamilton","given":"Healy"},{"family":"Asner","given":"Gregory P."},{"family":"Field","given":"Christopher B."},{"family":"Ackerly","given":"David D."}],"issued":{"date-parts":[["2009",12,24]]}}}],"schema":"https://git</vt:lpwstr>
  </property>
  <property fmtid="{D5CDD505-2E9C-101B-9397-08002B2CF9AE}" pid="201" name="ZOTERO_BREF_DiDJ5M5CLeqV_14">
    <vt:lpwstr>hub.com/citation-style-language/schema/raw/master/csl-citation.json"}</vt:lpwstr>
  </property>
  <property fmtid="{D5CDD505-2E9C-101B-9397-08002B2CF9AE}" pid="202"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203"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204"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205"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206"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207"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208"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209"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210"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211"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212" name="ZOTERO_BREF_G3z5b5QxpjKL_3">
    <vt:lpwstr>plications","page":"2131–2147","volume":"20","issue":"8","source":"Google Scholar","author":[{"family":"Fink","given":"Daniel"},{"family":"Hochachka","given":"Wesley M."},{"family":"Zuckerberg","given":"Benjamin"},{"family":"Winkler","given":"David W."},{</vt:lpwstr>
  </property>
  <property fmtid="{D5CDD505-2E9C-101B-9397-08002B2CF9AE}" pid="213" name="ZOTERO_BREF_G3z5b5QxpjKL_4">
    <vt:lpwstr>"family":"Shaby","given":"Ben"},{"family":"Munson","given":"M. Arthur"},{"family":"Hooker","given":"Giles"},{"family":"Riedewald","given":"Mirek"},{"family":"Sheldon","given":"Daniel"},{"family":"Kelling","given":"Steve"}],"issued":{"date-parts":[["2010"]</vt:lpwstr>
  </property>
  <property fmtid="{D5CDD505-2E9C-101B-9397-08002B2CF9AE}" pid="214"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215"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216" name="ZOTERO_BREF_G3z5b5QxpjKL_7">
    <vt:lpwstr>author":[{"family":"Fink","given":"Daniel"},{"family":"Damoulas","given":"Theodoros"},{"family":"Dave","given":"Jaimin"}],"issued":{"date-parts":[["2013"]]},"accessed":{"date-parts":[["2016",11,9]]}}}],"schema":"https://github.com/citation-style-language/</vt:lpwstr>
  </property>
  <property fmtid="{D5CDD505-2E9C-101B-9397-08002B2CF9AE}" pid="217" name="ZOTERO_BREF_G3z5b5QxpjKL_8">
    <vt:lpwstr>schema/raw/master/csl-citation.json"}</vt:lpwstr>
  </property>
  <property fmtid="{D5CDD505-2E9C-101B-9397-08002B2CF9AE}" pid="218"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219"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220"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221" name="ZOTERO_BREF_GBnfUuyFbane_12">
    <vt:lpwstr>"Thomas"},{"family":"Zeileis","given":"Achim"}],"issued":{"date-parts":[["2008"]]}}}],"schema":"https://github.com/citation-style-language/schema/raw/master/csl-citation.json"}</vt:lpwstr>
  </property>
  <property fmtid="{D5CDD505-2E9C-101B-9397-08002B2CF9AE}" pid="222"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223"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224"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225"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226"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227"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228"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229"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2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231"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232"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233"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234" name="ZOTERO_BREF_GJQOjH9xTxr9_13">
    <vt:lpwstr>n","given":"Lijia"}],"issued":{"date-parts":[["2017",1,12]]},"PMID":"28097060","PMCID":"PMC5237372"}}],"schema":"https://github.com/citation-style-language/schema/raw/master/csl-citation.json"}</vt:lpwstr>
  </property>
  <property fmtid="{D5CDD505-2E9C-101B-9397-08002B2CF9AE}" pid="235"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236"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237"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238"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239"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240"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241"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242"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243"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244"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245" name="ZOTERO_BREF_H1IP98pGQmVh_3">
    <vt:lpwstr>uthor":[{"family":"Cutler","given":"D. Richard"},{"family":"Edwards","given":"Thomas C."},{"family":"Beard","given":"Karen H."},{"family":"Cutler","given":"Adele"},{"family":"Hess","given":"Kyle T."},{"family":"Gibson","given":"Jacob"},{"family":"Lawler",</vt:lpwstr>
  </property>
  <property fmtid="{D5CDD505-2E9C-101B-9397-08002B2CF9AE}" pid="246" name="ZOTERO_BREF_H1IP98pGQmVh_4">
    <vt:lpwstr>"given":"Joshua J."}],"issued":{"date-parts":[["2007"]]}}}],"schema":"https://github.com/citation-style-language/schema/raw/master/csl-citation.json"}</vt:lpwstr>
  </property>
  <property fmtid="{D5CDD505-2E9C-101B-9397-08002B2CF9AE}" pid="247"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248"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249" name="ZOTERO_BREF_H6Ahnaff0NoP_3">
    <vt:lpwstr>volume":"22","author":[{"family":"Rosenzweig","given":"Cynthia"},{"family":"Hillel","given":"Daniel"}],"issued":{"date-parts":[["1993"]]}}}],"schema":"https://github.com/citation-style-language/schema/raw/master/csl-citation.json"}</vt:lpwstr>
  </property>
  <property fmtid="{D5CDD505-2E9C-101B-9397-08002B2CF9AE}" pid="250"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251"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252"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253" name="ZOTERO_BREF_HvbvPJLOWNpe_4">
    <vt:lpwstr>l-citation.json"}</vt:lpwstr>
  </property>
  <property fmtid="{D5CDD505-2E9C-101B-9397-08002B2CF9AE}" pid="254"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255"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256" name="ZOTERO_BREF_IWdHl68Vp4Ox_3">
    <vt:lpwstr>,"source":"Google Scholar","author":[{"family":"Fink","given":"Daniel"},{"family":"Hochachka","given":"Wesley M."},{"family":"Zuckerberg","given":"Benjamin"},{"family":"Winkler","given":"David W."},{"family":"Shaby","given":"Ben"},{"family":"Munson","give</vt:lpwstr>
  </property>
  <property fmtid="{D5CDD505-2E9C-101B-9397-08002B2CF9AE}" pid="257" name="ZOTERO_BREF_IWdHl68Vp4Ox_4">
    <vt:lpwstr>n":"M. Arthur"},{"family":"Hooker","given":"Giles"},{"family":"Riedewald","given":"Mirek"},{"family":"Sheldon","given":"Daniel"},{"family":"Kelling","given":"Steve"}],"issued":{"date-parts":[["2010"]]}}}],"schema":"https://github.com/citation-style-langua</vt:lpwstr>
  </property>
  <property fmtid="{D5CDD505-2E9C-101B-9397-08002B2CF9AE}" pid="258" name="ZOTERO_BREF_IWdHl68Vp4Ox_5">
    <vt:lpwstr>ge/schema/raw/master/csl-citation.json"}</vt:lpwstr>
  </property>
  <property fmtid="{D5CDD505-2E9C-101B-9397-08002B2CF9AE}" pid="25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260" name="ZOTERO_BREF_KNBxcHWAjslG_10">
    <vt:lpwstr>B."},{"family":"Hamilton","given":"Healy"},{"family":"Asner","given":"Gregory P."},{"family":"Field","given":"Christopher B."},{"family":"Ackerly","given":"David D."}],"issued":{"date-parts":[["2009",12,24]]}}}],"schema":"https://github.com/citation-style</vt:lpwstr>
  </property>
  <property fmtid="{D5CDD505-2E9C-101B-9397-08002B2CF9AE}" pid="261" name="ZOTERO_BREF_KNBxcHWAjslG_11">
    <vt:lpwstr>-language/schema/raw/master/csl-citation.json"}</vt:lpwstr>
  </property>
  <property fmtid="{D5CDD505-2E9C-101B-9397-08002B2CF9AE}" pid="262"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263"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264"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265"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266"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267"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268"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269"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270"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271"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272" name="ZOTERO_BREF_L4ZQ0sxi55J0_3">
    <vt:lpwstr>al Applications","page":"879–887","volume":"23","issue":"4","source":"Google Scholar","author":[{"family":"Benson","given":"Thomas J."},{"family":"Chiavacci","given":"Scott J."},{"family":"Ward","given":"Michael P."}],"issued":{"date-parts":[["2013"]]}}}]</vt:lpwstr>
  </property>
  <property fmtid="{D5CDD505-2E9C-101B-9397-08002B2CF9AE}" pid="273" name="ZOTERO_BREF_L4ZQ0sxi55J0_4">
    <vt:lpwstr>,"schema":"https://github.com/citation-style-language/schema/raw/master/csl-citation.json"}</vt:lpwstr>
  </property>
  <property fmtid="{D5CDD505-2E9C-101B-9397-08002B2CF9AE}" pid="274"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275"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276" name="ZOTERO_BREF_NPLDTYXUJg63_3">
    <vt:lpwstr>,"source":"Google Scholar","author":[{"family":"Fink","given":"Daniel"},{"family":"Hochachka","given":"Wesley M."},{"family":"Zuckerberg","given":"Benjamin"},{"family":"Winkler","given":"David W."},{"family":"Shaby","given":"Ben"},{"family":"Munson","give</vt:lpwstr>
  </property>
  <property fmtid="{D5CDD505-2E9C-101B-9397-08002B2CF9AE}" pid="277" name="ZOTERO_BREF_NPLDTYXUJg63_4">
    <vt:lpwstr>n":"M. Arthur"},{"family":"Hooker","given":"Giles"},{"family":"Riedewald","given":"Mirek"},{"family":"Sheldon","given":"Daniel"},{"family":"Kelling","given":"Steve"}],"issued":{"date-parts":[["2010"]]}}}],"schema":"https://github.com/citation-style-langua</vt:lpwstr>
  </property>
  <property fmtid="{D5CDD505-2E9C-101B-9397-08002B2CF9AE}" pid="278" name="ZOTERO_BREF_NPLDTYXUJg63_5">
    <vt:lpwstr>ge/schema/raw/master/csl-citation.json"}</vt:lpwstr>
  </property>
  <property fmtid="{D5CDD505-2E9C-101B-9397-08002B2CF9AE}" pid="279"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280"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281" name="ZOTERO_BREF_OpVbqbqPixMQ_3">
    <vt:lpwstr>ume":"103","source":"CrossRef","event-place":"New York, NY","URL":"http://link.springer.com/10.1007/978-1-4614-7138-7","ISBN":"978-1-4614-7137-0","author":[{"family":"James","given":"Gareth"},{"family":"Witten","given":"Daniela"},{"family":"Hastie","given</vt:lpwstr>
  </property>
  <property fmtid="{D5CDD505-2E9C-101B-9397-08002B2CF9AE}" pid="282" name="ZOTERO_BREF_OpVbqbqPixMQ_4">
    <vt:lpwstr>":"Trevor"},{"family":"Tibshirani","given":"Robert"}],"issued":{"date-parts":[["2013"]]},"accessed":{"date-parts":[["2017",1,13]]}}}],"schema":"https://github.com/citation-style-language/schema/raw/master/csl-citation.json"}</vt:lpwstr>
  </property>
  <property fmtid="{D5CDD505-2E9C-101B-9397-08002B2CF9AE}" pid="283"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284"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285"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286" name="ZOTERO_BREF_PH1RbBNG7ABP_4">
    <vt:lpwstr>":"Naugle","given":"David E."},{"family":"Higgins","given":"Kenneth F."}],"issued":{"date-parts":[["2002",12]]}}},{"id":6073,"uris":["http://zotero.org/users/1047243/items/RPNIU4BM"],"uri":["http://zotero.org/users/1047243/items/RPNIU4BM"],"itemData":{"id</vt:lpwstr>
  </property>
  <property fmtid="{D5CDD505-2E9C-101B-9397-08002B2CF9AE}" pid="287"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88"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89" name="ZOTERO_BREF_PH1RbBNG7ABP_7">
    <vt:lpwstr>ily":"Dale","given":"Brenda C."},{"family":"Haas","given":"Carola A."},{"family":"Herkert","given":"James R."},{"family":"Knopf","given":"Fritz L."},{"family":"Vickery","given":"Peter D."}],"issued":{"date-parts":[["2007",1]]}}}],"schema":"https://github.</vt:lpwstr>
  </property>
  <property fmtid="{D5CDD505-2E9C-101B-9397-08002B2CF9AE}" pid="290" name="ZOTERO_BREF_PH1RbBNG7ABP_8">
    <vt:lpwstr>com/citation-style-language/schema/raw/master/csl-citation.json"}</vt:lpwstr>
  </property>
  <property fmtid="{D5CDD505-2E9C-101B-9397-08002B2CF9AE}" pid="291"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292" name="ZOTERO_BREF_PQjYYLaQnCxn_10">
    <vt:lpwstr>"schema":"https://github.com/citation-style-language/schema/raw/master/csl-citation.json"}</vt:lpwstr>
  </property>
  <property fmtid="{D5CDD505-2E9C-101B-9397-08002B2CF9AE}" pid="293"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294"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295"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296"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297"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298"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299"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00" name="ZOTERO_BREF_PQjYYLaQnCxn_9">
    <vt:lpwstr>cca Mary B."},{"family":"Grose","given":"Michael R."},{"family":"Lee","given":"Greg"},{"family":"Bindoff","given":"Nathaniel L."},{"family":"Porfirio","given":"Luciana L."},{"family":"Fox-Hughes","given":"Paul"}],"issued":{"date-parts":[["2014",9,1]]}}}],</vt:lpwstr>
  </property>
  <property fmtid="{D5CDD505-2E9C-101B-9397-08002B2CF9AE}" pid="301"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02"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03"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04" name="ZOTERO_BREF_Q2CGkgflHQkQ_4">
    <vt:lpwstr>"date-parts":[["2008"]]}}}],"schema":"https://github.com/citation-style-language/schema/raw/master/csl-citation.json"}</vt:lpwstr>
  </property>
  <property fmtid="{D5CDD505-2E9C-101B-9397-08002B2CF9AE}" pid="305"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306" name="ZOTERO_BREF_QNkAEEJJMegJ_10">
    <vt:lpwstr>:"Allan F."},{"family":"Miller","given":"Peter I."},{"family":"Louzao","given":"Maite"}],"issued":{"date-parts":[["2012",11]]}}}],"schema":"https://github.com/citation-style-language/schema/raw/master/csl-citation.json"}</vt:lpwstr>
  </property>
  <property fmtid="{D5CDD505-2E9C-101B-9397-08002B2CF9AE}" pid="307"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308"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309" name="ZOTERO_BREF_QNkAEEJJMegJ_4">
    <vt:lpwstr>man","given":"Jerome"}],"issued":{"date-parts":[["2001"]]},"accessed":{"date-parts":[["2015",10,6]]}}},{"id":5615,"uris":["http://zotero.org/users/1047243/items/FGVXSX5B"],"uri":["http://zotero.org/users/1047243/items/FGVXSX5B"],"itemData":{"id":5615,"typ</vt:lpwstr>
  </property>
  <property fmtid="{D5CDD505-2E9C-101B-9397-08002B2CF9AE}" pid="310"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311" name="ZOTERO_BREF_QNkAEEJJMegJ_6">
    <vt:lpwstr>family":"Hochachka","given":"Wesley M."},{"family":"Zuckerberg","given":"Benjamin"},{"family":"Winkler","given":"David W."},{"family":"Shaby","given":"Ben"},{"family":"Munson","given":"M. Arthur"},{"family":"Hooker","given":"Giles"},{"family":"Riedewald",</vt:lpwstr>
  </property>
  <property fmtid="{D5CDD505-2E9C-101B-9397-08002B2CF9AE}" pid="312" name="ZOTERO_BREF_QNkAEEJJMegJ_7">
    <vt:lpwstr>"given":"Mirek"},{"family":"Sheldon","given":"Daniel"},{"family":"Kelling","given":"Steve"}],"issued":{"date-parts":[["2010"]]}}},{"id":5549,"uris":["http://zotero.org/users/1047243/items/QUZ4KHGG"],"uri":["http://zotero.org/users/1047243/items/QUZ4KHGG"]</vt:lpwstr>
  </property>
  <property fmtid="{D5CDD505-2E9C-101B-9397-08002B2CF9AE}" pid="313"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314" name="ZOTERO_BREF_QNkAEEJJMegJ_9">
    <vt:lpwstr>"DOI":"10.1016/j.biocon.2011.11.013","ISSN":"00063207","language":"en","author":[{"family":"Oppel","given":"Steffen"},{"family":"Meirinho","given":"Ana"},{"family":"Ramírez","given":"Iván"},{"family":"Gardner","given":"Beth"},{"family":"O’Connell","given"</vt:lpwstr>
  </property>
  <property fmtid="{D5CDD505-2E9C-101B-9397-08002B2CF9AE}" pid="315"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316"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317"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318"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319"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320"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321"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322" name="ZOTERO_BREF_Swgc5dZd9saw_8">
    <vt:lpwstr>s J."},{"family":"Curtin","given":"Charles G."}],"issued":{"date-parts":[["1997",9,2]]},"PMID":"11038570"}}],"schema":"https://github.com/citation-style-language/schema/raw/master/csl-citation.json"}</vt:lpwstr>
  </property>
  <property fmtid="{D5CDD505-2E9C-101B-9397-08002B2CF9AE}" pid="323"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324"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325" name="ZOTERO_BREF_UNR8BVLp1qQZ_3">
    <vt:lpwstr>283.5399.229","ISSN":"00368075, 10959203","author":[{"family":"Alward","given":"R. D."}],"issued":{"date-parts":[["1999",1,8]]}}}],"schema":"https://github.com/citation-style-language/schema/raw/master/csl-citation.json"}</vt:lpwstr>
  </property>
  <property fmtid="{D5CDD505-2E9C-101B-9397-08002B2CF9AE}" pid="326"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327"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328"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329"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330"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331"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332" name="ZOTERO_BREF_VJUThwrNDszE_7">
    <vt:lpwstr>asures","journalAbbreviation":"BMC Bioinformatics","author":[{"family":"Strobl","given":"Carolin"},{"family":"Boulesteix","given":"Anne-Laure"},{"family":"Zeileis","given":"Achim"},{"family":"Hothorn","given":"Torsten"}],"issued":{"date-parts":[["2007"]]}</vt:lpwstr>
  </property>
  <property fmtid="{D5CDD505-2E9C-101B-9397-08002B2CF9AE}" pid="333" name="ZOTERO_BREF_VJUThwrNDszE_8">
    <vt:lpwstr>}}],"schema":"https://github.com/citation-style-language/schema/raw/master/csl-citation.json"}</vt:lpwstr>
  </property>
  <property fmtid="{D5CDD505-2E9C-101B-9397-08002B2CF9AE}" pid="334"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335"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336"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337" name="ZOTERO_BREF_WQz87tRGm9WL_4">
    <vt:lpwstr>son"}</vt:lpwstr>
  </property>
  <property fmtid="{D5CDD505-2E9C-101B-9397-08002B2CF9AE}" pid="338"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39"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40" name="ZOTERO_BREF_XPo54iIECU4V_3">
    <vt:lpwstr>:[{"family":"Knopf","given":"Fritz L."}],"issued":{"date-parts":[["1994"]]}}},{"id":6073,"uris":["http://zotero.org/users/1047243/items/RPNIU4BM"],"uri":["http://zotero.org/users/1047243/items/RPNIU4BM"],"itemData":{"id":6073,"type":"article-journal","tit</vt:lpwstr>
  </property>
  <property fmtid="{D5CDD505-2E9C-101B-9397-08002B2CF9AE}" pid="341"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42"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43" name="ZOTERO_BREF_XPo54iIECU4V_6">
    <vt:lpwstr>amily":"Haas","given":"Carola A."},{"family":"Herkert","given":"James R."},{"family":"Knopf","given":"Fritz L."},{"family":"Vickery","given":"Peter D."}],"issued":{"date-parts":[["2007",1]]}}}],"schema":"https://github.com/citation-style-language/schema/r</vt:lpwstr>
  </property>
  <property fmtid="{D5CDD505-2E9C-101B-9397-08002B2CF9AE}" pid="344" name="ZOTERO_BREF_XPo54iIECU4V_7">
    <vt:lpwstr>aw/master/csl-citation.json"}</vt:lpwstr>
  </property>
  <property fmtid="{D5CDD505-2E9C-101B-9397-08002B2CF9AE}" pid="345"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346"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347"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348"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349"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350" name="ZOTERO_BREF_Yvl2oYwW0gwQ_14">
    <vt:lpwstr>:"Poulsen","given":"Michael"},{"family":"Hughes","given":"Lesley"}],"issued":{"date-parts":[["2007",7,1]]}}},{"id":8361,"uris":["http://zotero.org/users/1047243/items/A4J6W4I4"],"uri":["http://zotero.org/users/1047243/items/A4J6W4I4"],"itemData":{"id":836</vt:lpwstr>
  </property>
  <property fmtid="{D5CDD505-2E9C-101B-9397-08002B2CF9AE}" pid="351"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352"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353"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354"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355"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356"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357"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358"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359"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360" name="ZOTERO_BREF_Yvl2oYwW0gwQ_23">
    <vt:lpwstr>."},{"family":"Naugle","given":"David E."},{"family":"Fields","given":"Sean"},{"family":"Evans","given":"Jeffrey S."},{"family":"Davis","given":"Stephen K."},{"family":"Koper","given":"Nicola"}],"issued":{"date-parts":[["2015",11]]}}}],"schema":"https://g</vt:lpwstr>
  </property>
  <property fmtid="{D5CDD505-2E9C-101B-9397-08002B2CF9AE}" pid="361" name="ZOTERO_BREF_Yvl2oYwW0gwQ_24">
    <vt:lpwstr>ithub.com/citation-style-language/schema/raw/master/csl-citation.json"}</vt:lpwstr>
  </property>
  <property fmtid="{D5CDD505-2E9C-101B-9397-08002B2CF9AE}" pid="362"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363"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364"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365"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366"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367"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368"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369"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370"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371" name="ZOTERO_BREF_ZscdnICVuzpD_3">
    <vt:lpwstr>{"date-parts":[["2001"]]}}}],"schema":"https://github.com/citation-style-language/schema/raw/master/csl-citation.json"}</vt:lpwstr>
  </property>
  <property fmtid="{D5CDD505-2E9C-101B-9397-08002B2CF9AE}" pid="372"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373"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374" name="ZOTERO_BREF_cWhR9UFZ5gWH_3">
    <vt:lpwstr>978","volume":"25","issue":"15","source":"CrossRef","DOI":"10.1002/joc.1276","ISSN":"0899-8418, 1097-0088","language":"en","author":[{"family":"Hijmans","given":"Robert J."},{"family":"Cameron","given":"Susan E."},{"family":"Parra","given":"Juan L."},{"fa</vt:lpwstr>
  </property>
  <property fmtid="{D5CDD505-2E9C-101B-9397-08002B2CF9AE}" pid="375" name="ZOTERO_BREF_cWhR9UFZ5gWH_4">
    <vt:lpwstr>mily":"Jones","given":"Peter G."},{"family":"Jarvis","given":"Andy"}],"issued":{"date-parts":[["2005",12]]}}}],"schema":"https://github.com/citation-style-language/schema/raw/master/csl-citation.json"}</vt:lpwstr>
  </property>
  <property fmtid="{D5CDD505-2E9C-101B-9397-08002B2CF9AE}" pid="376"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7"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8" name="ZOTERO_BREF_ck91aQTWZUjM_3">
    <vt:lpwstr>ssue":"2-3","source":"CrossRef","DOI":"10.1016/j.catena.2005.03.009","ISSN":"03418162","language":"en","author":[{"family":"Zhang","given":"X.C."},{"family":"Nearing","given":"M.A."}],"issued":{"date-parts":[["2005",6]]}}}],"schema":"https://github.com/ci</vt:lpwstr>
  </property>
  <property fmtid="{D5CDD505-2E9C-101B-9397-08002B2CF9AE}" pid="379" name="ZOTERO_BREF_ck91aQTWZUjM_4">
    <vt:lpwstr>tation-style-language/schema/raw/master/csl-citation.json"}</vt:lpwstr>
  </property>
  <property fmtid="{D5CDD505-2E9C-101B-9397-08002B2CF9AE}" pid="380"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381"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382" name="ZOTERO_BREF_cyrlmEvnOwCJ_3">
    <vt:lpwstr>adiology 143: 29–36","page":"29-36","volume":"143","author":[{"family":"Hanley","given":"J.A."},{"family":"McNeil","given":"Barbara J."}],"issued":{"date-parts":[["1982"]]}}},{"id":8303,"uris":["http://zotero.org/users/1047243/items/BPSZIU36"],"uri":["htt</vt:lpwstr>
  </property>
  <property fmtid="{D5CDD505-2E9C-101B-9397-08002B2CF9AE}" pid="383"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384" name="ZOTERO_BREF_cyrlmEvnOwCJ_5">
    <vt:lpwstr>:"103","source":"CrossRef","event-place":"New York, NY","URL":"http://link.springer.com/10.1007/978-1-4614-7138-7","ISBN":"978-1-4614-7137-0","author":[{"family":"James","given":"Gareth"},{"family":"Witten","given":"Daniela"},{"family":"Hastie","given":"T</vt:lpwstr>
  </property>
  <property fmtid="{D5CDD505-2E9C-101B-9397-08002B2CF9AE}" pid="385" name="ZOTERO_BREF_cyrlmEvnOwCJ_6">
    <vt:lpwstr>revor"},{"family":"Tibshirani","given":"Robert"}],"issued":{"date-parts":[["2013"]]},"accessed":{"date-parts":[["2017",1,13]]}}}],"schema":"https://github.com/citation-style-language/schema/raw/master/csl-citation.json"}</vt:lpwstr>
  </property>
  <property fmtid="{D5CDD505-2E9C-101B-9397-08002B2CF9AE}" pid="386"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387"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388" name="ZOTERO_BREF_dCRgefA0cOyI_3">
    <vt:lpwstr>L":"http://statweb.stanford.edu/~tibs/book/preface.ps","author":[{"family":"Hastie","given":"Trevor"},{"family":"Tibshirani","given":"Robert"},{"family":"Friedman","given":"Jerome"}],"issued":{"date-parts":[["2001"]]},"accessed":{"date-parts":[["2015",10,</vt:lpwstr>
  </property>
  <property fmtid="{D5CDD505-2E9C-101B-9397-08002B2CF9AE}" pid="389" name="ZOTERO_BREF_dCRgefA0cOyI_4">
    <vt:lpwstr>6]]}}}],"schema":"https://github.com/citation-style-language/schema/raw/master/csl-citation.json"}</vt:lpwstr>
  </property>
  <property fmtid="{D5CDD505-2E9C-101B-9397-08002B2CF9AE}" pid="390"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39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39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39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39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395" name="ZOTERO_BREF_fWQ8AkucADyu_4">
    <vt:lpwstr>,"author":[{"family":"Prasad","given":"Anantha M."},{"family":"Iverson","given":"Louis R."},{"family":"Liaw","given":"Andy"}],"issued":{"date-parts":[["2006",3]]}}},{"id":8466,"uris":["http://zotero.org/users/1047243/items/C4NDSK3V"],"uri":["http://zotero</vt:lpwstr>
  </property>
  <property fmtid="{D5CDD505-2E9C-101B-9397-08002B2CF9AE}" pid="39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39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39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39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40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401"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402" name="ZOTERO_BREF_ge6owBWH3USY_10">
    <vt:lpwstr>[["2013",3,5]]},"PMID":"23431143"}}],"schema":"https://github.com/citation-style-language/schema/raw/master/csl-citation.json"}</vt:lpwstr>
  </property>
  <property fmtid="{D5CDD505-2E9C-101B-9397-08002B2CF9AE}" pid="403"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404"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405"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406"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407"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408"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409"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410"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41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412"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413" name="ZOTERO_BREF_hE62ZYvuYkYq_11">
    <vt:lpwstr>col Appl","language":"en","author":[{"family":"Boiffin","given":"Juliette"},{"family":"Badeau","given":"Vincent"},{"family":"Bréda","given":"Nathalie"}],"issued":{"date-parts":[["2017",3,1]]}}}],"schema":"https://github.com/citation-style-language/schema/</vt:lpwstr>
  </property>
  <property fmtid="{D5CDD505-2E9C-101B-9397-08002B2CF9AE}" pid="414" name="ZOTERO_BREF_hE62ZYvuYkYq_12">
    <vt:lpwstr>raw/master/csl-citation.json"}</vt:lpwstr>
  </property>
  <property fmtid="{D5CDD505-2E9C-101B-9397-08002B2CF9AE}" pid="415"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416"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417"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418"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419"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420"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421"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422"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42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42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425" name="ZOTERO_BREF_hohAsPdLSi7T_3">
    <vt:lpwstr>family":"Knopf","given":"Fritz L."}],"issued":{"date-parts":[["1994"]]}}}],"schema":"https://github.com/citation-style-language/schema/raw/master/csl-citation.json"}</vt:lpwstr>
  </property>
  <property fmtid="{D5CDD505-2E9C-101B-9397-08002B2CF9AE}" pid="426"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427"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428"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429" name="ZOTERO_BREF_jEB2MYRshlNH_4">
    <vt:lpwstr>s":[["2010"]]}}}],"schema":"https://github.com/citation-style-language/schema/raw/master/csl-citation.json"}</vt:lpwstr>
  </property>
  <property fmtid="{D5CDD505-2E9C-101B-9397-08002B2CF9AE}" pid="430"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431"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432"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433"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434"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435" name="ZOTERO_BREF_jobd4OBSj7FQ_14">
    <vt:lpwstr>":"Balasubramanian","given":"Raji"}],"issued":{"date-parts":[["2010"]]}}}],"schema":"https://github.com/citation-style-language/schema/raw/master/csl-citation.json"}</vt:lpwstr>
  </property>
  <property fmtid="{D5CDD505-2E9C-101B-9397-08002B2CF9AE}" pid="436"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437"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438" name="ZOTERO_BREF_jobd4OBSj7FQ_4">
    <vt:lpwstr>Rich"},{"family":"Niculescu-Mizil","given":"Alexandru"}],"issued":{"date-parts":[["2006"]]},"accessed":{"date-parts":[["2017",1,13]]}}},{"id":8187,"uris":["http://zotero.org/users/1047243/items/5RMRQVR6"],"uri":["http://zotero.org/users/1047243/items/5RMR</vt:lpwstr>
  </property>
  <property fmtid="{D5CDD505-2E9C-101B-9397-08002B2CF9AE}" pid="439"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440" name="ZOTERO_BREF_jobd4OBSj7FQ_6">
    <vt:lpwstr>rd"},{"family":"Edwards","given":"Thomas C."},{"family":"Beard","given":"Karen H."},{"family":"Cutler","given":"Adele"},{"family":"Hess","given":"Kyle T."},{"family":"Gibson","given":"Jacob"},{"family":"Lawler","given":"Joshua J."}],"issued":{"date-parts"</vt:lpwstr>
  </property>
  <property fmtid="{D5CDD505-2E9C-101B-9397-08002B2CF9AE}" pid="441"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442"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443"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444"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445"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446" name="ZOTERO_BREF_kfLIK1h3HoJL_3">
    <vt:lpwstr>family":"Knopf","given":"Fritz L."}],"issued":{"date-parts":[["1994"]]}}}],"schema":"https://github.com/citation-style-language/schema/raw/master/csl-citation.json"}</vt:lpwstr>
  </property>
  <property fmtid="{D5CDD505-2E9C-101B-9397-08002B2CF9AE}" pid="447"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48"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49" name="ZOTERO_BREF_mZOOz5aMM13q_3">
    <vt:lpwstr>com/10.1007/978-1-4614-6849-3","ISBN":"978-1-4614-6848-6","language":"en","author":[{"family":"Kuhn","given":"Max"},{"family":"Johnson","given":"Kjell"}],"issued":{"date-parts":[["2013"]]},"accessed":{"date-parts":[["2017",1,13]]}}}],"schema":"https://git</vt:lpwstr>
  </property>
  <property fmtid="{D5CDD505-2E9C-101B-9397-08002B2CF9AE}" pid="450" name="ZOTERO_BREF_mZOOz5aMM13q_4">
    <vt:lpwstr>hub.com/citation-style-language/schema/raw/master/csl-citation.json"}</vt:lpwstr>
  </property>
  <property fmtid="{D5CDD505-2E9C-101B-9397-08002B2CF9AE}" pid="451"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452"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453" name="ZOTERO_BREF_msN0es1BvSfb_3">
    <vt:lpwstr>ace":"Laurel, MD","event-place":"Laurel, MD","author":[{"family":"Sauer","given":"J.R."},{"family":"Niven","given":"D.K."},{"family":"Hines","given":"J.E."},{"family":"Ziolkowski, Jr.","given":"D. J."},{"family":"Pardieck","given":"K. L."},{"family":"Fall</vt:lpwstr>
  </property>
  <property fmtid="{D5CDD505-2E9C-101B-9397-08002B2CF9AE}" pid="454" name="ZOTERO_BREF_msN0es1BvSfb_4">
    <vt:lpwstr>on","given":"J.E."},{"family":"Link","given":"W. A."}],"issued":{"date-parts":[["2017"]]}}}],"schema":"https://github.com/citation-style-language/schema/raw/master/csl-citation.json"}</vt:lpwstr>
  </property>
  <property fmtid="{D5CDD505-2E9C-101B-9397-08002B2CF9AE}" pid="45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45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457" name="ZOTERO_BREF_pd5Ye974f45q_3">
    <vt:lpwstr>":"Wiener","given":"M."}],"issued":{"date-parts":[["2002"]]}}}],"schema":"https://github.com/citation-style-language/schema/raw/master/csl-citation.json"}</vt:lpwstr>
  </property>
  <property fmtid="{D5CDD505-2E9C-101B-9397-08002B2CF9AE}" pid="458"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459"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460"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461" name="ZOTERO_BREF_pt9Qh9q0Iuha_4">
    <vt:lpwstr>doros"},{"family":"Dave","given":"Jaimin"}],"issued":{"date-parts":[["2013"]]},"accessed":{"date-parts":[["2016",11,9]]}}}],"schema":"https://github.com/citation-style-language/schema/raw/master/csl-citation.json"}</vt:lpwstr>
  </property>
  <property fmtid="{D5CDD505-2E9C-101B-9397-08002B2CF9AE}" pid="462"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463"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464"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465" name="ZOTERO_BREF_qAgbZ5jQkVhR_4">
    <vt:lpwstr>n":"Robert A."},{"family":"Chávez-Ramírez","given":"Felipe"},{"family":"Dale","given":"Brenda C."},{"family":"Haas","given":"Carola A."},{"family":"Herkert","given":"James R."},{"family":"Knopf","given":"Fritz L."},{"family":"Vickery","given":"Peter D."}]</vt:lpwstr>
  </property>
  <property fmtid="{D5CDD505-2E9C-101B-9397-08002B2CF9AE}" pid="466" name="ZOTERO_BREF_qAgbZ5jQkVhR_5">
    <vt:lpwstr>,"issued":{"date-parts":[["2007",1]]}}}],"schema":"https://github.com/citation-style-language/schema/raw/master/csl-citation.json"}</vt:lpwstr>
  </property>
  <property fmtid="{D5CDD505-2E9C-101B-9397-08002B2CF9AE}" pid="467"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468"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469" name="ZOTERO_BREF_qMS8CuZyBFPJ_3">
    <vt:lpwstr>ions/Annual_Statistical_Bulletin/ok_bulletin_2016.pdf","issued":{"date-parts":[["2016"]]},"accessed":{"date-parts":[["2017",1,31]]}}}],"schema":"https://github.com/citation-style-language/schema/raw/master/csl-citation.json"}</vt:lpwstr>
  </property>
  <property fmtid="{D5CDD505-2E9C-101B-9397-08002B2CF9AE}" pid="470"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471" name="ZOTERO_BREF_qRimGOMlJbAC_10">
    <vt:lpwstr>given":"Marisa K."},{"family":"Doherty","given":"Kevin E."},{"family":"Naugle","given":"David E."},{"family":"Fields","given":"Sean"},{"family":"Evans","given":"Jeffrey S."},{"family":"Davis","given":"Stephen K."},{"family":"Koper","given":"Nicola"}],"iss</vt:lpwstr>
  </property>
  <property fmtid="{D5CDD505-2E9C-101B-9397-08002B2CF9AE}" pid="472" name="ZOTERO_BREF_qRimGOMlJbAC_11">
    <vt:lpwstr>ued":{"date-parts":[["2015",11]]}}}],"schema":"https://github.com/citation-style-language/schema/raw/master/csl-citation.json"}</vt:lpwstr>
  </property>
  <property fmtid="{D5CDD505-2E9C-101B-9397-08002B2CF9AE}" pid="473"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474"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475"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476"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477"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478"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479"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480"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48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82" name="ZOTERO_BREF_shARBRTpOuNR_10">
    <vt:lpwstr>S. F."},{"family":"Rae","given":"J. G. L."},{"family":"Ridley","given":"J. K."},{"family":"Sellar","given":"A."},{"family":"Senior","given":"C. A."},{"family":"Totterdell","given":"I. J."},{"family":"Verhoef","given":"A."},{"family":"Vidale","given":"P. L</vt:lpwstr>
  </property>
  <property fmtid="{D5CDD505-2E9C-101B-9397-08002B2CF9AE}" pid="483" name="ZOTERO_BREF_shARBRTpOuNR_11">
    <vt:lpwstr>."},{"family":"Wiltshire","given":"A."}],"issued":{"date-parts":[["2011",9,7]]}}}],"schema":"https://github.com/citation-style-language/schema/raw/master/csl-citation.json"}</vt:lpwstr>
  </property>
  <property fmtid="{D5CDD505-2E9C-101B-9397-08002B2CF9AE}" pid="484"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85"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86" name="ZOTERO_BREF_shARBRTpOuNR_4">
    <vt:lpwstr>ellouin","given":"N."},{"family":"Collins","given":"W. J."},{"family":"Culverwell","given":"I. D."},{"family":"Halloran","given":"P. R."},{"family":"Hardiman","given":"S. C."},{"family":"Hinton","given":"T. J."},{"family":"Jones","given":"C. D."},{"family</vt:lpwstr>
  </property>
  <property fmtid="{D5CDD505-2E9C-101B-9397-08002B2CF9AE}" pid="487" name="ZOTERO_BREF_shARBRTpOuNR_5">
    <vt:lpwstr>":"McDonald","given":"R. E."},{"family":"McLaren","given":"A. J."},{"family":"O'Connor","given":"F. M."},{"family":"Roberts","given":"M. J."},{"family":"Rodriguez","given":"J. M."},{"family":"Woodward","given":"S."},{"family":"Best","given":"M. J."},{"fam</vt:lpwstr>
  </property>
  <property fmtid="{D5CDD505-2E9C-101B-9397-08002B2CF9AE}" pid="488" name="ZOTERO_BREF_shARBRTpOuNR_6">
    <vt:lpwstr>ily":"Brooks","given":"M. E."},{"family":"Brown","given":"A. R."},{"family":"Butchart","given":"N."},{"family":"Dearden","given":"C."},{"family":"Derbyshire","given":"S. H."},{"family":"Dharssi","given":"I."},{"family":"Doutriaux-Boucher","given":"M."},{"</vt:lpwstr>
  </property>
  <property fmtid="{D5CDD505-2E9C-101B-9397-08002B2CF9AE}" pid="489" name="ZOTERO_BREF_shARBRTpOuNR_7">
    <vt:lpwstr>family":"Edwards","given":"J. M."},{"family":"Falloon","given":"P. D."},{"family":"Gedney","given":"N."},{"family":"Gray","given":"L. J."},{"family":"Hewitt","given":"H. T."},{"family":"Hobson","given":"M."},{"family":"Huddleston","given":"M. R."},{"famil</vt:lpwstr>
  </property>
  <property fmtid="{D5CDD505-2E9C-101B-9397-08002B2CF9AE}" pid="490" name="ZOTERO_BREF_shARBRTpOuNR_8">
    <vt:lpwstr>y":"Hughes","given":"J."},{"family":"Ineson","given":"S."},{"family":"Ingram","given":"W. J."},{"family":"James","given":"P. M."},{"family":"Johns","given":"T. C."},{"family":"Johnson","given":"C. E."},{"family":"Jones","given":"A."},{"family":"Jones","gi</vt:lpwstr>
  </property>
  <property fmtid="{D5CDD505-2E9C-101B-9397-08002B2CF9AE}" pid="491" name="ZOTERO_BREF_shARBRTpOuNR_9">
    <vt:lpwstr>ven":"C. P."},{"family":"Joshi","given":"M. M."},{"family":"Keen","given":"A. B."},{"family":"Liddicoat","given":"S."},{"family":"Lock","given":"A. P."},{"family":"Maidens","given":"A. V."},{"family":"Manners","given":"J. C."},{"family":"Milton","given":"</vt:lpwstr>
  </property>
  <property fmtid="{D5CDD505-2E9C-101B-9397-08002B2CF9AE}" pid="492"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493"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494"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495" name="ZOTERO_BREF_ss1LanRJcn6U_4">
    <vt:lpwstr>sl-citation.json"}</vt:lpwstr>
  </property>
  <property fmtid="{D5CDD505-2E9C-101B-9397-08002B2CF9AE}" pid="49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49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498" name="ZOTERO_BREF_tKeT2otwDNi5_3">
    <vt:lpwstr>e Scholar","author":[{"family":"Fink","given":"Daniel"},{"family":"Hochachka","given":"Wesley M."},{"family":"Zuckerberg","given":"Benjamin"},{"family":"Winkler","given":"David W."},{"family":"Shaby","given":"Ben"},{"family":"Munson","given":"M. Arthur"},</vt:lpwstr>
  </property>
  <property fmtid="{D5CDD505-2E9C-101B-9397-08002B2CF9AE}" pid="499" name="ZOTERO_BREF_tKeT2otwDNi5_4">
    <vt:lpwstr>{"family":"Hooker","given":"Giles"},{"family":"Riedewald","given":"Mirek"},{"family":"Sheldon","given":"Daniel"},{"family":"Kelling","given":"Steve"}],"issued":{"date-parts":[["2010"]]}}}],"schema":"https://github.com/citation-style-language/schema/raw/ma</vt:lpwstr>
  </property>
  <property fmtid="{D5CDD505-2E9C-101B-9397-08002B2CF9AE}" pid="500" name="ZOTERO_BREF_tKeT2otwDNi5_5">
    <vt:lpwstr>ster/csl-citation.json"}</vt:lpwstr>
  </property>
  <property fmtid="{D5CDD505-2E9C-101B-9397-08002B2CF9AE}" pid="501"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502"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503" name="ZOTERO_BREF_tQUg0DeXRTd0_3">
    <vt:lpwstr>"2016"]]},"accessed":{"date-parts":[["2017",1,31]]}}}],"schema":"https://github.com/citation-style-language/schema/raw/master/csl-citation.json"}</vt:lpwstr>
  </property>
  <property fmtid="{D5CDD505-2E9C-101B-9397-08002B2CF9AE}" pid="504"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505"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506" name="ZOTERO_BREF_u9Xr16IjnHfI_3">
    <vt:lpwstr>issue":"2","author":[{"family":"Pebesma","given":"Edzer"},{"family":"Bivand","given":"Roger S."}],"issued":{"date-parts":[["2005"]]}}},{"id":8567,"uris":["http://zotero.org/users/1047243/items/QWMPFK8V"],"uri":["http://zotero.org/users/1047243/items/QWMPF</vt:lpwstr>
  </property>
  <property fmtid="{D5CDD505-2E9C-101B-9397-08002B2CF9AE}" pid="507"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508" name="ZOTERO_BREF_u9Xr16IjnHfI_5">
    <vt:lpwstr>Roger S."},{"family":"Pebesma","given":"Edzer"},{"family":"Gomez-Rubio","given":"Virgilio"}],"issued":{"date-parts":[["2013"]]}}}],"schema":"https://github.com/citation-style-language/schema/raw/master/csl-citation.json"}</vt:lpwstr>
  </property>
  <property fmtid="{D5CDD505-2E9C-101B-9397-08002B2CF9AE}" pid="509"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510"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511" name="ZOTERO_BREF_v6CWUOiDU6BE_3">
    <vt:lpwstr>iven":""}],"accessed":{"date-parts":[["2017",3,21]]}}}],"schema":"https://github.com/citation-style-language/schema/raw/master/csl-citation.json"}</vt:lpwstr>
  </property>
  <property fmtid="{D5CDD505-2E9C-101B-9397-08002B2CF9AE}" pid="51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51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514" name="ZOTERO_BREF_vK8DkbSGbzaL_3">
    <vt:lpwstr>geography","page":"1677-1688","volume":"33","issue":"10","source":"CrossRef","DOI":"10.1111/j.1365-2699.2006.01584.x","ISSN":"0305-0270, 1365-2699","language":"en","author":[{"family":"Araújo","given":"Miguel B."},{"family":"Guisan","given":"Antoine"}],"i</vt:lpwstr>
  </property>
  <property fmtid="{D5CDD505-2E9C-101B-9397-08002B2CF9AE}" pid="51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516" name="ZOTERO_BREF_vK8DkbSGbzaL_5">
    <vt:lpwstr>n ecology","container-title":"Ecology","page":"2783–2792","volume":"88","issue":"11","source":"Google Scholar","author":[{"family":"Cutler","given":"D. Richard"},{"family":"Edwards","given":"Thomas C."},{"family":"Beard","given":"Karen H."},{"family":"Cut</vt:lpwstr>
  </property>
  <property fmtid="{D5CDD505-2E9C-101B-9397-08002B2CF9AE}" pid="517" name="ZOTERO_BREF_vK8DkbSGbzaL_6">
    <vt:lpwstr>ler","given":"Adele"},{"family":"Hess","given":"Kyle T."},{"family":"Gibson","given":"Jacob"},{"family":"Lawler","given":"Joshua J."}],"issued":{"date-parts":[["2007"]]}}}],"schema":"https://github.com/citation-style-language/schema/raw/master/csl-citatio</vt:lpwstr>
  </property>
  <property fmtid="{D5CDD505-2E9C-101B-9397-08002B2CF9AE}" pid="518" name="ZOTERO_BREF_vK8DkbSGbzaL_7">
    <vt:lpwstr>n.json"}</vt:lpwstr>
  </property>
  <property fmtid="{D5CDD505-2E9C-101B-9397-08002B2CF9AE}" pid="519"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520"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521" name="ZOTERO_BREF_vNfHWCk0TCCd_3">
    <vt:lpwstr>.osgeo.org","author":[{"family":"Quantum GIS Development Team","given":""}],"issued":{"date-parts":[["2016"]]}}}],"schema":"https://github.com/citation-style-language/schema/raw/master/csl-citation.json"}</vt:lpwstr>
  </property>
  <property fmtid="{D5CDD505-2E9C-101B-9397-08002B2CF9AE}" pid="522" name="ZOTERO_BREF_wQV4UoWU7BCz_1">
    <vt:lpwstr>ZOTERO_BIBL {"custom":[]} CSL_BIBLIOGRAPHY</vt:lpwstr>
  </property>
  <property fmtid="{D5CDD505-2E9C-101B-9397-08002B2CF9AE}" pid="523"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52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525" name="ZOTERO_BREF_x6wwcuHDacf6_11">
    <vt:lpwstr>neth F."},{"family":"Naugle","given":"David E."},{"family":"Forman","given":"Kurt J."}],"issued":{"date-parts":[["2002"]]}}}],"schema":"https://github.com/citation-style-language/schema/raw/master/csl-citation.json"}</vt:lpwstr>
  </property>
  <property fmtid="{D5CDD505-2E9C-101B-9397-08002B2CF9AE}" pid="5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5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5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5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5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5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5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5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534"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35"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36" name="ZOTERO_BREF_xyaS22BfIPCn_3">
    <vt:lpwstr>"issue":"6","source":"CrossRef","DOI":"10.1046/j.1523-1739.2002.01328.x","ISSN":"0888-8892, 1523-1739","language":"en","author":[{"family":"Bakker","given":"Kristel K."},{"family":"Naugle","given":"David E."},{"family":"Higgins","given":"Kenneth F."}],"is</vt:lpwstr>
  </property>
  <property fmtid="{D5CDD505-2E9C-101B-9397-08002B2CF9AE}" pid="537" name="ZOTERO_BREF_xyaS22BfIPCn_4">
    <vt:lpwstr>sued":{"date-parts":[["2002",12]]}}}],"schema":"https://github.com/citation-style-language/schema/raw/master/csl-citation.json"}</vt:lpwstr>
  </property>
  <property fmtid="{D5CDD505-2E9C-101B-9397-08002B2CF9AE}" pid="538"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9"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40" name="ZOTERO_BREF_yIhw1YpwkKvF_3">
    <vt:lpwstr>,"source":"Google Scholar","author":[{"family":"Fink","given":"Daniel"},{"family":"Hochachka","given":"Wesley M."},{"family":"Zuckerberg","given":"Benjamin"},{"family":"Winkler","given":"David W."},{"family":"Shaby","given":"Ben"},{"family":"Munson","give</vt:lpwstr>
  </property>
  <property fmtid="{D5CDD505-2E9C-101B-9397-08002B2CF9AE}" pid="541" name="ZOTERO_BREF_yIhw1YpwkKvF_4">
    <vt:lpwstr>n":"M. Arthur"},{"family":"Hooker","given":"Giles"},{"family":"Riedewald","given":"Mirek"},{"family":"Sheldon","given":"Daniel"},{"family":"Kelling","given":"Steve"}],"issued":{"date-parts":[["2010"]]}}}],"schema":"https://github.com/citation-style-langua</vt:lpwstr>
  </property>
  <property fmtid="{D5CDD505-2E9C-101B-9397-08002B2CF9AE}" pid="542" name="ZOTERO_BREF_yIhw1YpwkKvF_5">
    <vt:lpwstr>ge/schema/raw/master/csl-citation.json"}</vt:lpwstr>
  </property>
  <property fmtid="{D5CDD505-2E9C-101B-9397-08002B2CF9AE}" pid="543"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544" name="ZOTERO_PREF_2">
    <vt:lpwstr>storeReferences" value="true"/&gt;&lt;pref name="automaticJournalAbbreviations" value="true"/&gt;&lt;pref name="noteType" value=""/&gt;&lt;/prefs&gt;&lt;/data&gt;</vt:lpwstr>
  </property>
</Properties>
</file>