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szCs w:val="24"/>
        </w:rPr>
        <w:t xml:space="preserve">Title: </w:t>
      </w:r>
      <w:commentRangeStart w:id="0"/>
      <w:r>
        <w:rPr>
          <w:szCs w:val="24"/>
        </w:rPr>
        <w:t>Cassin’s Sparrow territory vegetation structure in western Oklahoma</w:t>
      </w:r>
      <w:commentRangeEnd w:id="0"/>
      <w:r>
        <w:commentReference w:id="0"/>
      </w:r>
      <w:r>
        <w:rPr>
          <w:szCs w:val="24"/>
        </w:rPr>
      </w:r>
    </w:p>
    <w:p>
      <w:pPr>
        <w:pStyle w:val="Normal"/>
        <w:rPr>
          <w:szCs w:val="24"/>
        </w:rPr>
      </w:pPr>
      <w:r>
        <w:rPr>
          <w:szCs w:val="24"/>
        </w:rPr>
      </w:r>
    </w:p>
    <w:p>
      <w:pPr>
        <w:pStyle w:val="Normal"/>
        <w:jc w:val="center"/>
        <w:rPr/>
      </w:pPr>
      <w:r>
        <w:rPr>
          <w:szCs w:val="24"/>
        </w:rPr>
        <w:t>Claire M. Curry</w:t>
      </w:r>
      <w:r>
        <w:rPr>
          <w:szCs w:val="24"/>
          <w:vertAlign w:val="superscript"/>
        </w:rPr>
        <w:t>1,2</w:t>
      </w:r>
      <w:r>
        <w:rPr>
          <w:szCs w:val="24"/>
        </w:rPr>
        <w:t xml:space="preserve">, </w:t>
      </w:r>
      <w:r>
        <w:rPr>
          <w:szCs w:val="24"/>
        </w:rPr>
        <w:t>Tory E. Smith</w:t>
      </w:r>
      <w:r>
        <w:rPr>
          <w:szCs w:val="24"/>
          <w:vertAlign w:val="superscript"/>
        </w:rPr>
        <w:t>1,3</w:t>
      </w:r>
      <w:r>
        <w:rPr>
          <w:szCs w:val="24"/>
        </w:rPr>
        <w:t xml:space="preserve">, </w:t>
      </w:r>
      <w:r>
        <w:rPr>
          <w:szCs w:val="24"/>
        </w:rPr>
        <w:t>Jeremy D. Ross</w:t>
      </w:r>
      <w:r>
        <w:rPr>
          <w:szCs w:val="24"/>
          <w:vertAlign w:val="superscript"/>
        </w:rPr>
        <w:t>1</w:t>
      </w:r>
      <w:r>
        <w:rPr>
          <w:szCs w:val="24"/>
        </w:rPr>
        <w:t>, and Eli S. Bridge</w:t>
      </w:r>
      <w:r>
        <w:rPr>
          <w:szCs w:val="24"/>
          <w:vertAlign w:val="superscript"/>
        </w:rPr>
        <w:t>1</w:t>
      </w:r>
    </w:p>
    <w:p>
      <w:pPr>
        <w:pStyle w:val="Normal"/>
        <w:jc w:val="center"/>
        <w:rPr>
          <w:szCs w:val="24"/>
        </w:rPr>
      </w:pPr>
      <w:r>
        <w:rPr>
          <w:szCs w:val="24"/>
        </w:rPr>
      </w:r>
    </w:p>
    <w:p>
      <w:pPr>
        <w:pStyle w:val="Normal"/>
        <w:rPr>
          <w:szCs w:val="24"/>
        </w:rPr>
      </w:pPr>
      <w:r>
        <w:rPr>
          <w:szCs w:val="24"/>
          <w:vertAlign w:val="superscript"/>
        </w:rPr>
        <w:t>1</w:t>
      </w:r>
      <w:r>
        <w:rPr>
          <w:szCs w:val="24"/>
        </w:rPr>
        <w:t>Oklahoma Biological Survey, University of Oklahoma, Norman, OK 73019, USA.</w:t>
      </w:r>
    </w:p>
    <w:p>
      <w:pPr>
        <w:pStyle w:val="Normal"/>
        <w:rPr/>
      </w:pPr>
      <w:r>
        <w:rPr>
          <w:szCs w:val="24"/>
          <w:vertAlign w:val="superscript"/>
        </w:rPr>
        <w:t>2</w:t>
      </w:r>
      <w:r>
        <w:rPr>
          <w:szCs w:val="24"/>
        </w:rPr>
        <w:t xml:space="preserve">Corresponding author; email: </w:t>
      </w:r>
      <w:hyperlink r:id="rId2">
        <w:r>
          <w:rPr>
            <w:rStyle w:val="InternetLink"/>
            <w:szCs w:val="24"/>
          </w:rPr>
          <w:t>curryclairem@gmail.com</w:t>
        </w:r>
      </w:hyperlink>
    </w:p>
    <w:p>
      <w:pPr>
        <w:pStyle w:val="Normal"/>
        <w:rPr>
          <w:szCs w:val="24"/>
        </w:rPr>
      </w:pPr>
      <w:r>
        <w:rPr>
          <w:szCs w:val="24"/>
          <w:vertAlign w:val="superscript"/>
        </w:rPr>
        <w:t>3</w:t>
      </w:r>
      <w:r>
        <w:rPr>
          <w:szCs w:val="24"/>
        </w:rPr>
        <w:t>Oklahoma Department of Environmental Quality, Oklahoma City, OK, USA</w:t>
      </w:r>
    </w:p>
    <w:p>
      <w:pPr>
        <w:pStyle w:val="Normal"/>
        <w:rPr>
          <w:szCs w:val="24"/>
        </w:rPr>
      </w:pPr>
      <w:r>
        <w:rPr>
          <w:szCs w:val="24"/>
        </w:rPr>
        <w:t>Please send page proofs to the corresponding author at the above e-mail address</w:t>
      </w:r>
    </w:p>
    <w:p>
      <w:pPr>
        <w:pStyle w:val="Normal"/>
        <w:rPr>
          <w:szCs w:val="24"/>
        </w:rPr>
      </w:pPr>
      <w:r>
        <w:rPr>
          <w:szCs w:val="24"/>
        </w:rPr>
      </w:r>
      <w:r>
        <w:br w:type="page"/>
      </w:r>
    </w:p>
    <w:p>
      <w:pPr>
        <w:pStyle w:val="Normal"/>
        <w:ind w:firstLine="720"/>
        <w:rPr/>
      </w:pPr>
      <w:r>
        <w:rPr>
          <w:szCs w:val="24"/>
        </w:rPr>
        <w:t>ABSTRACT.---Cassin’s Sparrow (</w:t>
      </w:r>
      <w:r>
        <w:rPr>
          <w:i/>
          <w:iCs/>
          <w:szCs w:val="24"/>
        </w:rPr>
        <w:t>Peucaea cassinii</w:t>
      </w:r>
      <w:r>
        <w:rPr>
          <w:iCs/>
          <w:szCs w:val="24"/>
        </w:rPr>
        <w:t>) is a little-studied species of arid and shrubby grasslands in central North America</w:t>
      </w:r>
      <w:bookmarkStart w:id="0" w:name="__UnoMark__3522_69969397"/>
      <w:bookmarkStart w:id="1" w:name="__UnoMark__3521_69969397"/>
      <w:bookmarkStart w:id="2" w:name="__UnoMark__3520_69969397"/>
      <w:bookmarkStart w:id="3" w:name="__UnoMark__3519_69969397"/>
      <w:bookmarkStart w:id="4" w:name="__UnoMark__3518_69969397"/>
      <w:bookmarkStart w:id="5" w:name="__UnoMark__3517_69969397"/>
      <w:bookmarkStart w:id="6" w:name="__UnoMark__3516_69969397"/>
      <w:bookmarkStart w:id="7" w:name="__UnoMark__3515_69969397"/>
      <w:bookmarkStart w:id="8" w:name="__UnoMark__3514_69969397"/>
      <w:bookmarkStart w:id="9" w:name="ZOTERO_BREF_FQN4NWYH3Cf01"/>
      <w:bookmarkStart w:id="10" w:name="__UnoMark__1413_782143424"/>
      <w:bookmarkStart w:id="11" w:name="__UnoMark__1506_782143424"/>
      <w:bookmarkEnd w:id="0"/>
      <w:bookmarkEnd w:id="1"/>
      <w:bookmarkEnd w:id="2"/>
      <w:bookmarkEnd w:id="3"/>
      <w:bookmarkEnd w:id="4"/>
      <w:bookmarkEnd w:id="5"/>
      <w:bookmarkEnd w:id="6"/>
      <w:bookmarkEnd w:id="7"/>
      <w:bookmarkEnd w:id="8"/>
      <w:bookmarkEnd w:id="9"/>
      <w:bookmarkEnd w:id="10"/>
      <w:bookmarkEnd w:id="11"/>
      <w:r>
        <w:rPr>
          <w:iCs/>
          <w:szCs w:val="24"/>
        </w:rPr>
        <w:t xml:space="preserve">.  </w:t>
      </w:r>
      <w:r>
        <w:rPr>
          <w:rFonts w:cs="Times New Roman"/>
          <w:iCs/>
          <w:szCs w:val="24"/>
        </w:rPr>
        <w:t xml:space="preserve">Our study aimed to expand the understanding of Cassin’s Sparrow habitat preferences by examining six study sites in short and mixed grass prairies in western Oklahoma.  We observed territorial defense behaviors in response to playbacks across gridded plots to quantify the importance of different vegetation </w:t>
      </w:r>
      <w:bookmarkStart w:id="12" w:name="_GoBack1"/>
      <w:bookmarkEnd w:id="12"/>
      <w:r>
        <w:rPr>
          <w:rFonts w:cs="Times New Roman"/>
          <w:iCs/>
          <w:szCs w:val="24"/>
        </w:rPr>
        <w:t>and cover to Cassin’s Sparrow.  Presence or absence of Cassin’s Sparrow territorial defense was significantly related to trees and shrubs in both short and tall structural categories.  In particular, we found positive correlation of Cassin’s Sparrow territorial defense with yuccas and chollas.  We suggest future work should concentrate on vegetation structure in more detail and cover larger areas of the species’ range.</w:t>
      </w:r>
    </w:p>
    <w:p>
      <w:pPr>
        <w:pStyle w:val="Normal"/>
        <w:rPr>
          <w:szCs w:val="24"/>
        </w:rPr>
      </w:pPr>
      <w:r>
        <w:rPr>
          <w:szCs w:val="24"/>
        </w:rPr>
      </w:r>
    </w:p>
    <w:p>
      <w:pPr>
        <w:pStyle w:val="Normal"/>
        <w:rPr/>
      </w:pPr>
      <w:r>
        <w:rPr>
          <w:szCs w:val="24"/>
        </w:rPr>
        <w:t xml:space="preserve">Key words.---grasslands, habitat, behavior, landscape ecology,  </w:t>
      </w:r>
      <w:r>
        <w:rPr>
          <w:i/>
          <w:iCs/>
          <w:szCs w:val="24"/>
        </w:rPr>
        <w:t>Peucaea cassinii</w:t>
      </w:r>
    </w:p>
    <w:p>
      <w:pPr>
        <w:pStyle w:val="Normal"/>
        <w:rPr>
          <w:szCs w:val="24"/>
        </w:rPr>
      </w:pPr>
      <w:r>
        <w:rPr>
          <w:szCs w:val="24"/>
        </w:rPr>
      </w:r>
      <w:r>
        <w:br w:type="page"/>
      </w:r>
    </w:p>
    <w:p>
      <w:pPr>
        <w:pStyle w:val="Normal"/>
        <w:rPr/>
      </w:pPr>
      <w:r>
        <w:rPr>
          <w:szCs w:val="24"/>
        </w:rPr>
        <w:t>Cassin’s Sparrow (</w:t>
      </w:r>
      <w:r>
        <w:rPr>
          <w:i/>
          <w:iCs/>
          <w:szCs w:val="24"/>
        </w:rPr>
        <w:t>Peucaea cassinii</w:t>
      </w:r>
      <w:r>
        <w:rPr>
          <w:iCs/>
          <w:szCs w:val="24"/>
        </w:rPr>
        <w:t xml:space="preserve">) is a species of arid and shrubby grasslands of central North America </w:t>
      </w:r>
      <w:bookmarkStart w:id="13" w:name="__UnoMark__3023_69969397"/>
      <w:bookmarkStart w:id="14" w:name="__UnoMark__2695_69969397"/>
      <w:bookmarkStart w:id="15" w:name="ZOTERO_BREF_FQN4NWYH3Cf0"/>
      <w:bookmarkStart w:id="16" w:name="__UnoMark__2789_69969397"/>
      <w:bookmarkStart w:id="17" w:name="__UnoMark__2612_69969397"/>
      <w:bookmarkStart w:id="18" w:name="__UnoMark__2537_69969397"/>
      <w:bookmarkStart w:id="19" w:name="__UnoMark__2860_69969397"/>
      <w:bookmarkStart w:id="20" w:name="__UnoMark__3104_69969397"/>
      <w:bookmarkStart w:id="21" w:name="__UnoMark__1507_782143424"/>
      <w:bookmarkStart w:id="22" w:name="__UnoMark__2465_69969397"/>
      <w:bookmarkStart w:id="23" w:name="__UnoMark__2945_69969397"/>
      <w:bookmarkStart w:id="24" w:name="__UnoMark__1414_782143424"/>
      <w:r>
        <w:rPr>
          <w:rFonts w:cs="Times New Roman"/>
        </w:rPr>
        <w:t>(Dunning, Jr. et al. 1999)</w:t>
      </w:r>
      <w:bookmarkEnd w:id="13"/>
      <w:bookmarkEnd w:id="14"/>
      <w:bookmarkEnd w:id="15"/>
      <w:bookmarkEnd w:id="16"/>
      <w:bookmarkEnd w:id="17"/>
      <w:bookmarkEnd w:id="18"/>
      <w:bookmarkEnd w:id="19"/>
      <w:bookmarkEnd w:id="20"/>
      <w:bookmarkEnd w:id="21"/>
      <w:bookmarkEnd w:id="22"/>
      <w:bookmarkEnd w:id="23"/>
      <w:bookmarkEnd w:id="24"/>
      <w:r>
        <w:rPr>
          <w:iCs/>
          <w:szCs w:val="24"/>
        </w:rPr>
        <w:t xml:space="preserve">.  It appears to have a stable population in North America based on Breeding Bird Surveys </w:t>
      </w:r>
      <w:bookmarkStart w:id="25" w:name="ZOTERO_BREF_SiRcCeObFwoZ"/>
      <w:bookmarkStart w:id="26" w:name="__UnoMark__1508_782143424"/>
      <w:bookmarkStart w:id="27" w:name="__UnoMark__1415_782143424"/>
      <w:bookmarkStart w:id="28" w:name="__UnoMark__2538_69969397"/>
      <w:bookmarkStart w:id="29" w:name="__UnoMark__2861_69969397"/>
      <w:bookmarkStart w:id="30" w:name="__UnoMark__2790_69969397"/>
      <w:bookmarkStart w:id="31" w:name="__UnoMark__2696_69969397"/>
      <w:bookmarkStart w:id="32" w:name="__UnoMark__2613_69969397"/>
      <w:bookmarkStart w:id="33" w:name="__UnoMark__2946_69969397"/>
      <w:bookmarkStart w:id="34" w:name="__UnoMark__3024_69969397"/>
      <w:bookmarkStart w:id="35" w:name="__UnoMark__3105_69969397"/>
      <w:bookmarkStart w:id="36" w:name="__UnoMark__2466_69969397"/>
      <w:r>
        <w:rPr>
          <w:rFonts w:cs="Times New Roman"/>
        </w:rPr>
        <w:t>(Sauer et al. 2017)</w:t>
      </w:r>
      <w:bookmarkEnd w:id="25"/>
      <w:bookmarkEnd w:id="26"/>
      <w:bookmarkEnd w:id="27"/>
      <w:bookmarkEnd w:id="28"/>
      <w:bookmarkEnd w:id="29"/>
      <w:bookmarkEnd w:id="30"/>
      <w:bookmarkEnd w:id="31"/>
      <w:bookmarkEnd w:id="32"/>
      <w:bookmarkEnd w:id="33"/>
      <w:bookmarkEnd w:id="34"/>
      <w:bookmarkEnd w:id="35"/>
      <w:bookmarkEnd w:id="36"/>
      <w:r>
        <w:rPr>
          <w:rFonts w:cs="Times New Roman"/>
        </w:rPr>
        <w:t xml:space="preserve">, but trends vary by state, region, and time period </w:t>
      </w:r>
      <w:bookmarkStart w:id="37" w:name="__UnoMark__2697_69969397"/>
      <w:bookmarkStart w:id="38" w:name="__UnoMark__2947_69969397"/>
      <w:bookmarkStart w:id="39" w:name="__UnoMark__2539_69969397"/>
      <w:bookmarkStart w:id="40" w:name="ZOTERO_BREF_OggX49VVIMyU"/>
      <w:bookmarkStart w:id="41" w:name="__UnoMark__2467_69969397"/>
      <w:bookmarkStart w:id="42" w:name="__UnoMark__3106_69969397"/>
      <w:bookmarkStart w:id="43" w:name="__UnoMark__2614_69969397"/>
      <w:bookmarkStart w:id="44" w:name="__UnoMark__2862_69969397"/>
      <w:bookmarkStart w:id="45" w:name="__UnoMark__2791_69969397"/>
      <w:bookmarkStart w:id="46" w:name="__UnoMark__1509_782143424"/>
      <w:bookmarkStart w:id="47" w:name="__UnoMark__3025_69969397"/>
      <w:bookmarkStart w:id="48" w:name="__UnoMark__1416_782143424"/>
      <w:r>
        <w:rPr>
          <w:rFonts w:cs="Times New Roman"/>
        </w:rPr>
        <w:t>(Dunning, Jr. et al. 1999)</w:t>
      </w:r>
      <w:bookmarkEnd w:id="37"/>
      <w:bookmarkEnd w:id="38"/>
      <w:bookmarkEnd w:id="39"/>
      <w:bookmarkEnd w:id="40"/>
      <w:bookmarkEnd w:id="41"/>
      <w:bookmarkEnd w:id="42"/>
      <w:bookmarkEnd w:id="43"/>
      <w:bookmarkEnd w:id="44"/>
      <w:bookmarkEnd w:id="45"/>
      <w:bookmarkEnd w:id="46"/>
      <w:bookmarkEnd w:id="47"/>
      <w:bookmarkEnd w:id="48"/>
      <w:r>
        <w:rPr>
          <w:rFonts w:cs="Times New Roman"/>
        </w:rPr>
        <w:t xml:space="preserve">.  In Oklahoma, Cassin’s Sparrow is not currently declining significantly (Sauer et al. 2017).  Its temporally and spatially erratic population distribution, with few returns of banded birds, makes it difficult to study </w:t>
      </w:r>
      <w:bookmarkStart w:id="49" w:name="__UnoMark__3107_69969397"/>
      <w:bookmarkStart w:id="50" w:name="__UnoMark__2698_69969397"/>
      <w:bookmarkStart w:id="51" w:name="__UnoMark__3026_69969397"/>
      <w:bookmarkStart w:id="52" w:name="__UnoMark__1417_782143424"/>
      <w:bookmarkStart w:id="53" w:name="__UnoMark__2863_69969397"/>
      <w:bookmarkStart w:id="54" w:name="__UnoMark__2792_69969397"/>
      <w:bookmarkStart w:id="55" w:name="__UnoMark__2615_69969397"/>
      <w:bookmarkStart w:id="56" w:name="__UnoMark__1510_782143424"/>
      <w:bookmarkStart w:id="57" w:name="ZOTERO_BREF_fTsPSlZLzOAr"/>
      <w:bookmarkStart w:id="58" w:name="__UnoMark__2468_69969397"/>
      <w:bookmarkStart w:id="59" w:name="__UnoMark__2540_69969397"/>
      <w:bookmarkStart w:id="60" w:name="__UnoMark__2948_69969397"/>
      <w:r>
        <w:rPr>
          <w:rFonts w:cs="Times New Roman"/>
        </w:rPr>
        <w:t>(Dunning, Jr. et al. 1999)</w:t>
      </w:r>
      <w:bookmarkEnd w:id="49"/>
      <w:bookmarkEnd w:id="50"/>
      <w:bookmarkEnd w:id="51"/>
      <w:bookmarkEnd w:id="52"/>
      <w:bookmarkEnd w:id="53"/>
      <w:bookmarkEnd w:id="54"/>
      <w:bookmarkEnd w:id="55"/>
      <w:bookmarkEnd w:id="56"/>
      <w:bookmarkEnd w:id="57"/>
      <w:bookmarkEnd w:id="58"/>
      <w:bookmarkEnd w:id="59"/>
      <w:bookmarkEnd w:id="60"/>
      <w:r>
        <w:rPr>
          <w:rFonts w:cs="Times New Roman"/>
        </w:rPr>
        <w:t xml:space="preserve">.  </w:t>
      </w:r>
    </w:p>
    <w:p>
      <w:pPr>
        <w:pStyle w:val="Normal"/>
        <w:rPr/>
      </w:pPr>
      <w:r>
        <w:rPr>
          <w:rFonts w:cs="Times New Roman"/>
        </w:rPr>
        <w:t xml:space="preserve">Few studies have focused on this species or examined this species’ movements or precise habitat preferences </w:t>
      </w:r>
      <w:bookmarkStart w:id="61" w:name="__UnoMark__2699_69969397"/>
      <w:bookmarkStart w:id="62" w:name="__UnoMark__3108_69969397"/>
      <w:bookmarkStart w:id="63" w:name="__UnoMark__2541_69969397"/>
      <w:bookmarkStart w:id="64" w:name="__UnoMark__2864_69969397"/>
      <w:bookmarkStart w:id="65" w:name="__UnoMark__2616_69969397"/>
      <w:bookmarkStart w:id="66" w:name="__UnoMark__2469_69969397"/>
      <w:bookmarkStart w:id="67" w:name="ZOTERO_BREF_cKyUoCJ2T1ql"/>
      <w:bookmarkStart w:id="68" w:name="__UnoMark__2949_69969397"/>
      <w:bookmarkStart w:id="69" w:name="__UnoMark__1418_782143424"/>
      <w:bookmarkStart w:id="70" w:name="__UnoMark__2793_69969397"/>
      <w:bookmarkStart w:id="71" w:name="__UnoMark__3027_69969397"/>
      <w:bookmarkStart w:id="72" w:name="__UnoMark__1511_782143424"/>
      <w:r>
        <w:rPr>
          <w:rFonts w:cs="Times New Roman"/>
        </w:rPr>
        <w:t>(Dunning, Jr. et al. 1999; Ruth 2000; but see Cooper et al. 2013)</w:t>
      </w:r>
      <w:bookmarkEnd w:id="61"/>
      <w:bookmarkEnd w:id="62"/>
      <w:bookmarkEnd w:id="63"/>
      <w:bookmarkEnd w:id="64"/>
      <w:bookmarkEnd w:id="65"/>
      <w:bookmarkEnd w:id="66"/>
      <w:bookmarkEnd w:id="67"/>
      <w:bookmarkEnd w:id="68"/>
      <w:bookmarkEnd w:id="69"/>
      <w:bookmarkEnd w:id="70"/>
      <w:bookmarkEnd w:id="71"/>
      <w:bookmarkEnd w:id="72"/>
      <w:r>
        <w:rPr>
          <w:rFonts w:cs="Times New Roman"/>
        </w:rPr>
        <w:t xml:space="preserve">.  Summer rainfall </w:t>
      </w:r>
      <w:bookmarkStart w:id="73" w:name="__UnoMark__2865_69969397"/>
      <w:bookmarkStart w:id="74" w:name="ZOTERO_BREF_h3zxugTQsWJ5"/>
      <w:bookmarkStart w:id="75" w:name="__UnoMark__2470_69969397"/>
      <w:bookmarkStart w:id="76" w:name="__UnoMark__2794_69969397"/>
      <w:bookmarkStart w:id="77" w:name="__UnoMark__3109_69969397"/>
      <w:bookmarkStart w:id="78" w:name="__UnoMark__2700_69969397"/>
      <w:bookmarkStart w:id="79" w:name="__UnoMark__1512_782143424"/>
      <w:bookmarkStart w:id="80" w:name="__UnoMark__2950_69969397"/>
      <w:bookmarkStart w:id="81" w:name="__UnoMark__3028_69969397"/>
      <w:bookmarkStart w:id="82" w:name="__UnoMark__2617_69969397"/>
      <w:bookmarkStart w:id="83" w:name="__UnoMark__2542_69969397"/>
      <w:bookmarkStart w:id="84" w:name="__UnoMark__1419_782143424"/>
      <w:r>
        <w:rPr>
          <w:rFonts w:cs="Times New Roman"/>
        </w:rPr>
        <w:t>(reviewed in Dunning, Jr. et al. 1999)</w:t>
      </w:r>
      <w:bookmarkEnd w:id="73"/>
      <w:bookmarkEnd w:id="74"/>
      <w:bookmarkEnd w:id="75"/>
      <w:bookmarkEnd w:id="76"/>
      <w:bookmarkEnd w:id="77"/>
      <w:bookmarkEnd w:id="78"/>
      <w:bookmarkEnd w:id="79"/>
      <w:bookmarkEnd w:id="80"/>
      <w:bookmarkEnd w:id="81"/>
      <w:bookmarkEnd w:id="82"/>
      <w:bookmarkEnd w:id="83"/>
      <w:bookmarkEnd w:id="84"/>
      <w:r>
        <w:rPr>
          <w:rFonts w:cs="Times New Roman"/>
        </w:rPr>
        <w:t xml:space="preserve">, and possibly grasshopper abundance as a regular food </w:t>
      </w:r>
      <w:bookmarkStart w:id="85" w:name="ZOTERO_BREF_gu00Mju1EPWS"/>
      <w:bookmarkStart w:id="86" w:name="__UnoMark__2795_69969397"/>
      <w:bookmarkStart w:id="87" w:name="__UnoMark__2543_69969397"/>
      <w:bookmarkStart w:id="88" w:name="__UnoMark__2701_69969397"/>
      <w:bookmarkStart w:id="89" w:name="__UnoMark__2471_69969397"/>
      <w:bookmarkStart w:id="90" w:name="__UnoMark__3110_69969397"/>
      <w:bookmarkStart w:id="91" w:name="__UnoMark__2618_69969397"/>
      <w:bookmarkStart w:id="92" w:name="__UnoMark__2951_69969397"/>
      <w:bookmarkStart w:id="93" w:name="__UnoMark__2866_69969397"/>
      <w:bookmarkStart w:id="94" w:name="__UnoMark__1513_782143424"/>
      <w:bookmarkStart w:id="95" w:name="__UnoMark__3029_69969397"/>
      <w:bookmarkStart w:id="96" w:name="__UnoMark__1420_782143424"/>
      <w:r>
        <w:rPr>
          <w:rFonts w:cs="Times New Roman"/>
        </w:rPr>
        <w:t>(Bock et al. 1992)</w:t>
      </w:r>
      <w:bookmarkEnd w:id="85"/>
      <w:bookmarkEnd w:id="86"/>
      <w:bookmarkEnd w:id="87"/>
      <w:bookmarkEnd w:id="88"/>
      <w:bookmarkEnd w:id="89"/>
      <w:bookmarkEnd w:id="90"/>
      <w:bookmarkEnd w:id="91"/>
      <w:bookmarkEnd w:id="92"/>
      <w:bookmarkEnd w:id="93"/>
      <w:bookmarkEnd w:id="94"/>
      <w:bookmarkEnd w:id="95"/>
      <w:bookmarkEnd w:id="96"/>
      <w:r>
        <w:rPr>
          <w:rFonts w:cs="Times New Roman"/>
        </w:rPr>
        <w:t xml:space="preserve">, appears to be related to the irregular distribution.  Recent work at one site in northwestern Oklahoma </w:t>
      </w:r>
      <w:bookmarkStart w:id="97" w:name="__UnoMark__2952_69969397"/>
      <w:bookmarkStart w:id="98" w:name="__UnoMark__2472_69969397"/>
      <w:bookmarkStart w:id="99" w:name="ZOTERO_BREF_mG19mrn8sv12"/>
      <w:bookmarkStart w:id="100" w:name="__UnoMark__3111_69969397"/>
      <w:bookmarkStart w:id="101" w:name="__UnoMark__2619_69969397"/>
      <w:bookmarkStart w:id="102" w:name="__UnoMark__3030_69969397"/>
      <w:bookmarkStart w:id="103" w:name="__UnoMark__2544_69969397"/>
      <w:bookmarkStart w:id="104" w:name="__UnoMark__1421_782143424"/>
      <w:bookmarkStart w:id="105" w:name="__UnoMark__1514_782143424"/>
      <w:bookmarkStart w:id="106" w:name="__UnoMark__2867_69969397"/>
      <w:bookmarkStart w:id="107" w:name="__UnoMark__2796_69969397"/>
      <w:bookmarkStart w:id="108" w:name="__UnoMark__2702_69969397"/>
      <w:r>
        <w:rPr>
          <w:rFonts w:cs="Times New Roman"/>
        </w:rPr>
        <w:t>(Cooper et al. 2013)</w:t>
      </w:r>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 xml:space="preserve"> suggests Cassin’s Sparrows there preferred habitat with more sagebrush than surrounding areas and were more often found on northern slopes.   Studies in other parts of the range suggest a preference for minimally grazed sites with small trees and shrubs available </w:t>
      </w:r>
      <w:bookmarkStart w:id="109" w:name="__UnoMark__2473_69969397"/>
      <w:bookmarkStart w:id="110" w:name="__UnoMark__2620_69969397"/>
      <w:bookmarkStart w:id="111" w:name="ZOTERO_BREF_6vp385lPkP1l"/>
      <w:bookmarkStart w:id="112" w:name="__UnoMark__3112_69969397"/>
      <w:bookmarkStart w:id="113" w:name="__UnoMark__2545_69969397"/>
      <w:bookmarkStart w:id="114" w:name="__UnoMark__2703_69969397"/>
      <w:bookmarkStart w:id="115" w:name="__UnoMark__2868_69969397"/>
      <w:bookmarkStart w:id="116" w:name="__UnoMark__1422_782143424"/>
      <w:bookmarkStart w:id="117" w:name="__UnoMark__1515_782143424"/>
      <w:bookmarkStart w:id="118" w:name="__UnoMark__3031_69969397"/>
      <w:bookmarkStart w:id="119" w:name="__UnoMark__2797_69969397"/>
      <w:bookmarkStart w:id="120" w:name="__UnoMark__2953_69969397"/>
      <w:r>
        <w:rPr>
          <w:rFonts w:cs="Times New Roman"/>
        </w:rPr>
        <w:t>(Bock and Webb 1984)</w:t>
      </w:r>
      <w:bookmarkEnd w:id="109"/>
      <w:bookmarkEnd w:id="110"/>
      <w:bookmarkEnd w:id="111"/>
      <w:bookmarkEnd w:id="112"/>
      <w:bookmarkEnd w:id="113"/>
      <w:bookmarkEnd w:id="114"/>
      <w:bookmarkEnd w:id="115"/>
      <w:bookmarkEnd w:id="116"/>
      <w:bookmarkEnd w:id="117"/>
      <w:bookmarkEnd w:id="118"/>
      <w:bookmarkEnd w:id="119"/>
      <w:bookmarkEnd w:id="120"/>
      <w:r>
        <w:rPr>
          <w:rFonts w:cs="Times New Roman"/>
        </w:rPr>
        <w:t>.</w:t>
      </w:r>
    </w:p>
    <w:p>
      <w:pPr>
        <w:pStyle w:val="Normal"/>
        <w:rPr>
          <w:iCs/>
          <w:szCs w:val="24"/>
        </w:rPr>
      </w:pPr>
      <w:r>
        <w:rPr>
          <w:rFonts w:cs="Times New Roman"/>
        </w:rPr>
        <w:t>Our study aims to provide further information on Cassin’s Sparrow habitat preferences across multiple habitat types by examining six study sites in short and mixed grass prairies in western Oklahoma.  We ranked territorial defense behaviors in response to playbacks across gridded plots to quantify the importance of different vegetation and cover to Cassin’s Sparrow in this region.</w:t>
      </w:r>
    </w:p>
    <w:p>
      <w:pPr>
        <w:pStyle w:val="Normal"/>
        <w:jc w:val="center"/>
        <w:rPr>
          <w:szCs w:val="24"/>
        </w:rPr>
      </w:pPr>
      <w:r>
        <w:rPr>
          <w:szCs w:val="24"/>
        </w:rPr>
        <w:t>METHODS</w:t>
      </w:r>
    </w:p>
    <w:p>
      <w:pPr>
        <w:pStyle w:val="Normal"/>
        <w:rPr/>
      </w:pPr>
      <w:r>
        <w:rPr>
          <w:szCs w:val="24"/>
        </w:rPr>
        <w:t xml:space="preserve">We conducted our surveys at seven plots within six sites in 2014 (Fig. 1).  </w:t>
      </w:r>
      <w:r>
        <w:rPr>
          <w:rFonts w:cs="Times New Roman"/>
        </w:rPr>
        <w:t xml:space="preserve">Table 1 shows each site and the habitat types it contained, </w:t>
      </w:r>
      <w:r>
        <w:rPr>
          <w:rFonts w:cs="Times New Roman"/>
          <w:szCs w:val="24"/>
        </w:rPr>
        <w:t>as defined in</w:t>
      </w:r>
      <w:bookmarkStart w:id="121" w:name="__UnoMark__2474_69969397"/>
      <w:bookmarkStart w:id="122" w:name="__UnoMark__2621_69969397"/>
      <w:bookmarkStart w:id="123" w:name="ZOTERO_BREF_xQwfaGXxB20a"/>
      <w:bookmarkStart w:id="124" w:name="__UnoMark__2798_69969397"/>
      <w:bookmarkStart w:id="125" w:name="__UnoMark__3113_69969397"/>
      <w:bookmarkStart w:id="126" w:name="__UnoMark__2869_69969397"/>
      <w:bookmarkStart w:id="127" w:name="__UnoMark__2546_69969397"/>
      <w:bookmarkStart w:id="128" w:name="__UnoMark__2704_69969397"/>
      <w:bookmarkStart w:id="129" w:name="__UnoMark__2954_69969397"/>
      <w:bookmarkStart w:id="130" w:name="__UnoMark__3032_69969397"/>
      <w:bookmarkStart w:id="131" w:name="__UnoMark__1423_782143424"/>
      <w:bookmarkStart w:id="132" w:name="__UnoMark__1516_782143424"/>
      <w:r>
        <w:rPr>
          <w:rFonts w:cs="Times New Roman"/>
          <w:szCs w:val="24"/>
        </w:rPr>
        <w:t xml:space="preserve"> Diamond and Elliot </w:t>
      </w:r>
      <w:r>
        <w:rPr>
          <w:rFonts w:cs="Times New Roman"/>
        </w:rPr>
        <w:t>(2015)</w:t>
      </w:r>
      <w:bookmarkEnd w:id="121"/>
      <w:bookmarkEnd w:id="122"/>
      <w:bookmarkEnd w:id="123"/>
      <w:bookmarkEnd w:id="124"/>
      <w:bookmarkEnd w:id="125"/>
      <w:bookmarkEnd w:id="126"/>
      <w:bookmarkEnd w:id="127"/>
      <w:bookmarkEnd w:id="128"/>
      <w:bookmarkEnd w:id="129"/>
      <w:bookmarkEnd w:id="130"/>
      <w:bookmarkEnd w:id="131"/>
      <w:bookmarkEnd w:id="132"/>
      <w:r>
        <w:rPr>
          <w:rFonts w:cs="Times New Roman"/>
        </w:rPr>
        <w:t xml:space="preserve">, with defended and undefended territories (see below for definitions).  </w:t>
      </w:r>
      <w:r>
        <w:rPr>
          <w:szCs w:val="24"/>
        </w:rPr>
        <w:t xml:space="preserve">Black Mesa State Park points contained one plot (400 x 1,300 m) in two habitat types.  Cimarron Hills WMA contained one plot (800 x 800 m) in two habitat types.  Optima WMA contained two plots (both 800 x 800 m) in four habitat types.  Packsaddle WMA contained one plot (800 x 800 m) in four habitat types.  Rita Blanca WMA contained one plot (800 x 800 m) in one habitat type.  Selman Ranch is a 14,000 acre guest and hunting ranch </w:t>
      </w:r>
      <w:bookmarkStart w:id="133" w:name="__UnoMark__2475_69969397"/>
      <w:bookmarkStart w:id="134" w:name="__UnoMark__2705_69969397"/>
      <w:bookmarkStart w:id="135" w:name="__UnoMark__2955_69969397"/>
      <w:bookmarkStart w:id="136" w:name="__UnoMark__2547_69969397"/>
      <w:bookmarkStart w:id="137" w:name="__UnoMark__3114_69969397"/>
      <w:bookmarkStart w:id="138" w:name="__UnoMark__3033_69969397"/>
      <w:bookmarkStart w:id="139" w:name="__UnoMark__2870_69969397"/>
      <w:bookmarkStart w:id="140" w:name="ZOTERO_BREF_TjGGTeX9qDnx"/>
      <w:bookmarkStart w:id="141" w:name="__UnoMark__2799_69969397"/>
      <w:bookmarkStart w:id="142" w:name="__UnoMark__2622_69969397"/>
      <w:bookmarkStart w:id="143" w:name="__UnoMark__1424_782143424"/>
      <w:bookmarkStart w:id="144" w:name="__UnoMark__1517_782143424"/>
      <w:r>
        <w:rPr>
          <w:rFonts w:cs="Times New Roman"/>
        </w:rPr>
        <w:t>(Selman Ranch 2009)</w:t>
      </w:r>
      <w:bookmarkEnd w:id="133"/>
      <w:bookmarkEnd w:id="134"/>
      <w:bookmarkEnd w:id="135"/>
      <w:bookmarkEnd w:id="136"/>
      <w:bookmarkEnd w:id="137"/>
      <w:bookmarkEnd w:id="138"/>
      <w:bookmarkEnd w:id="139"/>
      <w:bookmarkEnd w:id="140"/>
      <w:bookmarkEnd w:id="141"/>
      <w:bookmarkEnd w:id="142"/>
      <w:bookmarkEnd w:id="143"/>
      <w:bookmarkEnd w:id="144"/>
      <w:r>
        <w:rPr>
          <w:rFonts w:cs="Times New Roman"/>
        </w:rPr>
        <w:t>; it contained o</w:t>
      </w:r>
      <w:r>
        <w:rPr>
          <w:szCs w:val="24"/>
        </w:rPr>
        <w:t>ne plot (600 x 600 m) in three habitat types.</w:t>
      </w:r>
    </w:p>
    <w:p>
      <w:pPr>
        <w:pStyle w:val="Normal"/>
        <w:rPr/>
      </w:pPr>
      <w:r>
        <w:rPr>
          <w:szCs w:val="24"/>
        </w:rPr>
        <w:t>Plots ranged from 0.36-0.64 km</w:t>
      </w:r>
      <w:r>
        <w:rPr>
          <w:szCs w:val="24"/>
          <w:vertAlign w:val="superscript"/>
        </w:rPr>
        <w:t>2</w:t>
      </w:r>
      <w:r>
        <w:rPr>
          <w:szCs w:val="24"/>
        </w:rPr>
        <w:t xml:space="preserve"> with 100 m spacing between survey points within each plot.  At each survey point we played a Cassin’s Sparrow primary song three times, with 30 sec of observations between each playback (for a total of 1.5 min observations).  Sparrow behavior was categorized as: 0: no response; 1: distant song; 2: chip notes; 3: counter song; 4 counter display; 5 approach; 6: circling playback; and 7: aggressive counter song.  Walking time between points was ~5 min and each plot was completed in 2-3 hours.  The maximum ranked behavior and closest approach distance (in m) at each point were used as our response variables.  Survey points with responses of 0-2 were considered undefended; points with responses of 3-7 were considered to be located within a defended territory.</w:t>
      </w:r>
    </w:p>
    <w:p>
      <w:pPr>
        <w:pStyle w:val="Normal"/>
        <w:rPr/>
      </w:pPr>
      <w:r>
        <w:rPr>
          <w:szCs w:val="24"/>
        </w:rPr>
        <w:t xml:space="preserve">Vegetation surveys were conducted at 117 points chosen at plots that had been observed both with and without Cassin’s Sparrow territorial defense behaviors.  </w:t>
      </w:r>
      <w:commentRangeStart w:id="1"/>
      <w:r>
        <w:rPr>
          <w:szCs w:val="24"/>
        </w:rPr>
        <w:t>At each sampling location we used four Daubenmire 1 m</w:t>
      </w:r>
      <w:r>
        <w:rPr>
          <w:szCs w:val="24"/>
          <w:vertAlign w:val="superscript"/>
        </w:rPr>
        <w:t>2</w:t>
      </w:r>
      <w:r>
        <w:rPr>
          <w:szCs w:val="24"/>
        </w:rPr>
        <w:t xml:space="preserve"> plots (one in each cardinal direction 10 m from the grid point) to record proportions of grass, forbs and woody vegetation, standing dead plants, bare ground, and vegetative litter </w:t>
      </w:r>
      <w:r>
        <w:rPr>
          <w:rFonts w:cs="Times New Roman"/>
        </w:rPr>
        <w:t>(Daubenmire 195</w:t>
      </w:r>
      <w:bookmarkStart w:id="145" w:name="__UnoMark__1518_782143424"/>
      <w:bookmarkStart w:id="146" w:name="__UnoMark__2476_69969397"/>
      <w:bookmarkStart w:id="147" w:name="__UnoMark__3115_69969397"/>
      <w:bookmarkStart w:id="148" w:name="__UnoMark__2800_69969397"/>
      <w:bookmarkStart w:id="149" w:name="__UnoMark__2871_69969397"/>
      <w:bookmarkStart w:id="150" w:name="__UnoMark__2956_69969397"/>
      <w:bookmarkStart w:id="151" w:name="__UnoMark__2623_69969397"/>
      <w:bookmarkStart w:id="152" w:name="__UnoMark__2548_69969397"/>
      <w:bookmarkStart w:id="153" w:name="__UnoMark__1425_782143424"/>
      <w:bookmarkStart w:id="154" w:name="__UnoMark__3034_69969397"/>
      <w:bookmarkStart w:id="155" w:name="__UnoMark__2706_69969397"/>
      <w:bookmarkStart w:id="156" w:name="ZOTERO_BREF_d4TreIIRzENk"/>
      <w:bookmarkEnd w:id="145"/>
      <w:bookmarkEnd w:id="146"/>
      <w:bookmarkEnd w:id="147"/>
      <w:bookmarkEnd w:id="148"/>
      <w:bookmarkEnd w:id="149"/>
      <w:bookmarkEnd w:id="150"/>
      <w:bookmarkEnd w:id="151"/>
      <w:bookmarkEnd w:id="152"/>
      <w:bookmarkEnd w:id="153"/>
      <w:bookmarkEnd w:id="154"/>
      <w:bookmarkEnd w:id="155"/>
      <w:bookmarkEnd w:id="156"/>
      <w:r>
        <w:rPr>
          <w:rFonts w:cs="Times New Roman"/>
        </w:rPr>
        <w:t>9)</w:t>
      </w:r>
      <w:r>
        <w:rPr>
          <w:szCs w:val="24"/>
        </w:rPr>
        <w:t>.  We also counted vegetation &lt;1 m and &gt;1 tall in a 10 m radius around each point in these categories: yucca, sagebrush, sandplum, cholla, tree species, or other shrub species.</w:t>
      </w:r>
      <w:commentRangeEnd w:id="1"/>
      <w:r>
        <w:commentReference w:id="1"/>
      </w:r>
      <w:r>
        <w:rPr>
          <w:szCs w:val="24"/>
        </w:rPr>
      </w:r>
    </w:p>
    <w:p>
      <w:pPr>
        <w:pStyle w:val="Normal"/>
        <w:rPr/>
      </w:pPr>
      <w:r>
        <w:rPr>
          <w:szCs w:val="24"/>
        </w:rPr>
        <w:t xml:space="preserve">Principle Components Analysis (PCA) was used to reduce vegetation variables in Daubenmire plots, counts of shrubs and trees &lt; 1 m, and counts of shrubs and trees &gt; 1 m.  We kept PCs with eigenvalue &gt;1.  We used Pearson correlations to calculate loadings and interpreted loadings above |0.33| </w:t>
      </w:r>
      <w:bookmarkStart w:id="157" w:name="__UnoMark__2707_69969397"/>
      <w:bookmarkStart w:id="158" w:name="__UnoMark__1426_782143424"/>
      <w:bookmarkStart w:id="159" w:name="ZOTERO_BREF_jAuliCNwN6NK"/>
      <w:bookmarkStart w:id="160" w:name="__UnoMark__2549_69969397"/>
      <w:bookmarkStart w:id="161" w:name="__UnoMark__2477_69969397"/>
      <w:bookmarkStart w:id="162" w:name="__UnoMark__3116_69969397"/>
      <w:bookmarkStart w:id="163" w:name="__UnoMark__2957_69969397"/>
      <w:bookmarkStart w:id="164" w:name="__UnoMark__2801_69969397"/>
      <w:bookmarkStart w:id="165" w:name="__UnoMark__2624_69969397"/>
      <w:bookmarkStart w:id="166" w:name="__UnoMark__1519_782143424"/>
      <w:bookmarkStart w:id="167" w:name="__UnoMark__3035_69969397"/>
      <w:bookmarkStart w:id="168" w:name="__UnoMark__2872_69969397"/>
      <w:r>
        <w:rPr>
          <w:rFonts w:cs="Times New Roman"/>
        </w:rPr>
        <w:t>(Tabachnick and Fidell 2007)</w:t>
      </w:r>
      <w:bookmarkEnd w:id="157"/>
      <w:bookmarkEnd w:id="158"/>
      <w:bookmarkEnd w:id="159"/>
      <w:bookmarkEnd w:id="160"/>
      <w:bookmarkEnd w:id="161"/>
      <w:bookmarkEnd w:id="162"/>
      <w:bookmarkEnd w:id="163"/>
      <w:bookmarkEnd w:id="164"/>
      <w:bookmarkEnd w:id="165"/>
      <w:bookmarkEnd w:id="166"/>
      <w:bookmarkEnd w:id="167"/>
      <w:bookmarkEnd w:id="168"/>
      <w:r>
        <w:rPr>
          <w:szCs w:val="24"/>
        </w:rPr>
        <w:t>.  These reductions resulted in a total of nine variables: Daubenmire PC1, PC2, PC3; shrubs and trees &gt;1m (“tall”), and shrubs and trees &lt;1m (“short”).</w:t>
      </w:r>
    </w:p>
    <w:p>
      <w:pPr>
        <w:pStyle w:val="Normal"/>
        <w:rPr/>
      </w:pPr>
      <w:r>
        <w:rPr>
          <w:szCs w:val="24"/>
        </w:rPr>
        <w:t>We used location as a random effect in all models to account for some points including the same birds defending multiple points.  No sightings were at greater than 100 m (the distance between survey points).  We tested whether the presence or absence of defense by a Cassin’s Sparrow was related to the 10 vegetation variables at a given point.  A point was classified as undefended (no response, chip notes, or distant song) or defended (counter display; approach; circling playback; and aggressive counter song).  We related these Cassin’s Sparrow territorial responses to vegetation PCs using binomial generalized linear mixed models (fixed effects: all vegetation variables; random effect: study site location.  When a sparrow defended a point, we tested whether closest approach distance (assumed to reflect the strength of defense or closeness to a bird’s territory; a point outside a bird’s territory would not be approached as closely and thus that vegetation would not be considered important to it) was related to vegetation PCs using a linear mixed model (with the same effects as the previous model).</w:t>
      </w:r>
    </w:p>
    <w:p>
      <w:pPr>
        <w:pStyle w:val="Normal"/>
        <w:jc w:val="center"/>
        <w:rPr>
          <w:szCs w:val="24"/>
        </w:rPr>
      </w:pPr>
      <w:r>
        <w:rPr>
          <w:szCs w:val="24"/>
        </w:rPr>
        <w:t>RESULTS</w:t>
      </w:r>
    </w:p>
    <w:p>
      <w:pPr>
        <w:pStyle w:val="Normal"/>
        <w:rPr/>
      </w:pPr>
      <w:r>
        <w:rPr>
          <w:szCs w:val="24"/>
        </w:rPr>
        <w:t>Presence (n = 43) or absence (n = 74) of Cassin’s Sparrow territorial defense was significantly related (Table 2) to tall shrubs and trees PC1 (Fig. 2) and short shrubs and trees PC1 (Fig. 3); it was marginally related to tall shrubs and trees PC3.  PC loadings indicate what vegetation variables were important in each principle component axis (Table 3).  Cassin’s Sparrows were more often seen in habitat with tall vegetation (&gt;1m) consisting of fewer sagebrush, fewer sandplum, more cholla, and more other shrubs (Fig. 2).  For short vegetation (&lt;1m), they were more often present in areas with fewer yuccas, more sagebrush, more sandplum, fewer cholla, and fewer other shrubs (Fig. 3).  The marginally significant tall shrub PC3 associated more Cassin’s Sparrow defense behavior with fewer tall trees (&gt;1m) and more tall yuccas (&gt;1m).  The closest approach distance to playback was not significantly related to any vegetation variables (Table 2).</w:t>
      </w:r>
    </w:p>
    <w:p>
      <w:pPr>
        <w:pStyle w:val="Normal"/>
        <w:rPr/>
      </w:pPr>
      <w:r>
        <w:rPr>
          <w:szCs w:val="24"/>
        </w:rPr>
        <w:t>The significant PCs show some clustering by site (Fig. 4) but with some separation of defended and undefended points along the tall shrubs/trees PC1 axis.</w:t>
      </w:r>
    </w:p>
    <w:p>
      <w:pPr>
        <w:pStyle w:val="Normal"/>
        <w:jc w:val="center"/>
        <w:rPr>
          <w:szCs w:val="24"/>
        </w:rPr>
      </w:pPr>
      <w:r>
        <w:rPr>
          <w:szCs w:val="24"/>
        </w:rPr>
        <w:t>DISCUSSION</w:t>
      </w:r>
    </w:p>
    <w:p>
      <w:pPr>
        <w:pStyle w:val="Normal"/>
        <w:rPr/>
      </w:pPr>
      <w:r>
        <w:rPr>
          <w:szCs w:val="24"/>
        </w:rPr>
        <w:t xml:space="preserve">Our results are consistent with past Oklahoma work finding more Cassin’s Sparrows in sagebrush </w:t>
      </w:r>
      <w:bookmarkStart w:id="169" w:name="__UnoMark__2690_69969397"/>
      <w:bookmarkStart w:id="170" w:name="__UnoMark__2611_69969397"/>
      <w:bookmarkStart w:id="171" w:name="__UnoMark__3036_69969397"/>
      <w:bookmarkStart w:id="172" w:name="__UnoMark__2873_69969397"/>
      <w:bookmarkStart w:id="173" w:name="__UnoMark__2802_69969397"/>
      <w:bookmarkStart w:id="174" w:name="__UnoMark__2939_69969397"/>
      <w:bookmarkStart w:id="175" w:name="__UnoMark__3117_69969397"/>
      <w:bookmarkStart w:id="176" w:name="__UnoMark__1412_782143424"/>
      <w:bookmarkStart w:id="177" w:name="ZOTERO_BREF_NVBCQPBo16pt"/>
      <w:bookmarkStart w:id="178" w:name="__UnoMark__1520_782143424"/>
      <w:r>
        <w:rPr>
          <w:szCs w:val="24"/>
        </w:rPr>
        <w:t>(Cooper et al. 2013)</w:t>
      </w:r>
      <w:bookmarkStart w:id="179" w:name="__UnoMark__1500_782143424"/>
      <w:bookmarkEnd w:id="169"/>
      <w:bookmarkEnd w:id="170"/>
      <w:bookmarkEnd w:id="171"/>
      <w:bookmarkEnd w:id="172"/>
      <w:bookmarkEnd w:id="173"/>
      <w:bookmarkEnd w:id="174"/>
      <w:bookmarkEnd w:id="175"/>
      <w:bookmarkEnd w:id="176"/>
      <w:bookmarkEnd w:id="177"/>
      <w:bookmarkEnd w:id="178"/>
      <w:bookmarkEnd w:id="179"/>
      <w:r>
        <w:rPr>
          <w:szCs w:val="24"/>
        </w:rPr>
        <w:t xml:space="preserve">.  However, our result of a preference for more sagebrush was only for short sagebrush (&lt;1m).  We also found more defensive behaviors in the presence of increasing short sandplum, which was not quantified in their study, and fewer with short cholla and yucca, which were not dominant at their site.  They defended areas with fewer tall sagebrush, fewer tall sandplums, more tall cholla, and more tall other shrubs.  We posit that these differences reflect study design and vegetation available in our study sites rather than a contradiction of population preferences.  Cassin’s Sparrows preference for sites with little to no grazing </w:t>
      </w:r>
      <w:bookmarkStart w:id="180" w:name="__UnoMark__1521_782143424"/>
      <w:bookmarkStart w:id="181" w:name="__UnoMark__2803_69969397"/>
      <w:bookmarkStart w:id="182" w:name="__UnoMark__2941_69969397"/>
      <w:bookmarkStart w:id="183" w:name="__UnoMark__2874_69969397"/>
      <w:bookmarkStart w:id="184" w:name="ZOTERO_BREF_0b03w4SmQS4W"/>
      <w:bookmarkStart w:id="185" w:name="__UnoMark__1427_782143424"/>
      <w:bookmarkStart w:id="186" w:name="__UnoMark__2692_69969397"/>
      <w:bookmarkStart w:id="187" w:name="__UnoMark__2478_69969397"/>
      <w:bookmarkStart w:id="188" w:name="__UnoMark__2551_69969397"/>
      <w:bookmarkStart w:id="189" w:name="__UnoMark__3037_69969397"/>
      <w:bookmarkStart w:id="190" w:name="__UnoMark__3118_69969397"/>
      <w:bookmarkStart w:id="191" w:name="__UnoMark__2626_69969397"/>
      <w:r>
        <w:rPr>
          <w:szCs w:val="24"/>
        </w:rPr>
        <w:t>(Bock and Webb 1984)</w:t>
      </w:r>
      <w:bookmarkEnd w:id="180"/>
      <w:bookmarkEnd w:id="181"/>
      <w:bookmarkEnd w:id="182"/>
      <w:bookmarkEnd w:id="183"/>
      <w:bookmarkEnd w:id="184"/>
      <w:bookmarkEnd w:id="185"/>
      <w:bookmarkEnd w:id="186"/>
      <w:bookmarkEnd w:id="187"/>
      <w:bookmarkEnd w:id="188"/>
      <w:bookmarkEnd w:id="189"/>
      <w:bookmarkEnd w:id="190"/>
      <w:bookmarkEnd w:id="191"/>
      <w:r>
        <w:rPr>
          <w:szCs w:val="24"/>
        </w:rPr>
        <w:t xml:space="preserve">, as does their suggested dependence on rainfall </w:t>
      </w:r>
      <w:bookmarkStart w:id="192" w:name="__UnoMark__1428_782143424"/>
      <w:bookmarkStart w:id="193" w:name="__UnoMark__2875_69969397"/>
      <w:bookmarkStart w:id="194" w:name="__UnoMark__3119_69969397"/>
      <w:bookmarkStart w:id="195" w:name="__UnoMark__2694_69969397"/>
      <w:bookmarkStart w:id="196" w:name="__UnoMark__3038_69969397"/>
      <w:bookmarkStart w:id="197" w:name="__UnoMark__2942_69969397"/>
      <w:bookmarkStart w:id="198" w:name="ZOTERO_BREF_9ndcafjdpclA"/>
      <w:bookmarkStart w:id="199" w:name="__UnoMark__1522_782143424"/>
      <w:bookmarkStart w:id="200" w:name="__UnoMark__2804_69969397"/>
      <w:r>
        <w:rPr>
          <w:szCs w:val="24"/>
        </w:rPr>
        <w:t>(Dunning, Jr. et al. 1999)</w:t>
      </w:r>
      <w:bookmarkEnd w:id="192"/>
      <w:bookmarkEnd w:id="193"/>
      <w:bookmarkEnd w:id="194"/>
      <w:bookmarkEnd w:id="195"/>
      <w:bookmarkEnd w:id="196"/>
      <w:bookmarkEnd w:id="197"/>
      <w:bookmarkEnd w:id="198"/>
      <w:bookmarkEnd w:id="199"/>
      <w:bookmarkEnd w:id="200"/>
      <w:r>
        <w:rPr>
          <w:szCs w:val="24"/>
        </w:rPr>
        <w:t xml:space="preserve">, </w:t>
      </w:r>
      <w:r>
        <w:rPr/>
        <w:t xml:space="preserve">strongly suggest that the details of vegetation structure matters to them.  </w:t>
      </w:r>
      <w:r>
        <w:rPr>
          <w:szCs w:val="24"/>
        </w:rPr>
        <w:t xml:space="preserve">More extensive sampling across the range would provide a deeper understanding of structural commonalities found across sites and landscape-level attributes that may drive their distribution </w:t>
      </w:r>
      <w:bookmarkStart w:id="201" w:name="__UnoMark__1429_782143424"/>
      <w:bookmarkStart w:id="202" w:name="__UnoMark__1523_782143424"/>
      <w:bookmarkStart w:id="203" w:name="ZOTERO_BREF_S5gSBy2betB0"/>
      <w:bookmarkStart w:id="204" w:name="__UnoMark__2944_69969397"/>
      <w:bookmarkStart w:id="205" w:name="__UnoMark__3039_69969397"/>
      <w:bookmarkStart w:id="206" w:name="__UnoMark__3120_69969397"/>
      <w:r>
        <w:rPr>
          <w:szCs w:val="24"/>
        </w:rPr>
        <w:t>(Herse et al. 2017)</w:t>
      </w:r>
      <w:bookmarkStart w:id="207" w:name="__UnoMark__3022_69969397"/>
      <w:bookmarkEnd w:id="201"/>
      <w:bookmarkEnd w:id="202"/>
      <w:bookmarkEnd w:id="203"/>
      <w:bookmarkEnd w:id="204"/>
      <w:bookmarkEnd w:id="205"/>
      <w:bookmarkEnd w:id="206"/>
      <w:bookmarkEnd w:id="207"/>
      <w:r>
        <w:rPr>
          <w:szCs w:val="24"/>
        </w:rPr>
        <w:t xml:space="preserve">.  Finally, study of nesting success in relation to detailed vegetation structure measurements, as has been done with other grassland species </w:t>
      </w:r>
      <w:bookmarkStart w:id="208" w:name="__UnoMark__1430_782143424"/>
      <w:bookmarkStart w:id="209" w:name="__UnoMark__1524_782143424"/>
      <w:bookmarkStart w:id="210" w:name="ZOTERO_BREF_PFqAsPRybWUd"/>
      <w:bookmarkStart w:id="211" w:name="__UnoMark__3040_69969397"/>
      <w:bookmarkStart w:id="212" w:name="__UnoMark__3121_69969397"/>
      <w:bookmarkStart w:id="213" w:name="__UnoMark__2691_69969397"/>
      <w:bookmarkStart w:id="214" w:name="__UnoMark__2479_69969397"/>
      <w:bookmarkStart w:id="215" w:name="__UnoMark__2805_69969397"/>
      <w:bookmarkStart w:id="216" w:name="__UnoMark__2627_69969397"/>
      <w:bookmarkStart w:id="217" w:name="__UnoMark__2552_69969397"/>
      <w:bookmarkStart w:id="218" w:name="__UnoMark__2876_69969397"/>
      <w:bookmarkStart w:id="219" w:name="__UnoMark__2940_69969397"/>
      <w:r>
        <w:rPr>
          <w:szCs w:val="24"/>
        </w:rPr>
        <w:t>(Davis 2005)</w:t>
      </w:r>
      <w:bookmarkEnd w:id="208"/>
      <w:bookmarkEnd w:id="209"/>
      <w:bookmarkEnd w:id="210"/>
      <w:bookmarkEnd w:id="211"/>
      <w:bookmarkEnd w:id="212"/>
      <w:bookmarkEnd w:id="213"/>
      <w:bookmarkEnd w:id="214"/>
      <w:bookmarkEnd w:id="215"/>
      <w:bookmarkEnd w:id="216"/>
      <w:bookmarkEnd w:id="217"/>
      <w:bookmarkEnd w:id="218"/>
      <w:bookmarkEnd w:id="219"/>
      <w:r>
        <w:rPr>
          <w:szCs w:val="24"/>
        </w:rPr>
        <w:t>, would also provide more specific preferences.</w:t>
      </w:r>
    </w:p>
    <w:p>
      <w:pPr>
        <w:pStyle w:val="Normal"/>
        <w:rPr/>
      </w:pPr>
      <w:r>
        <w:rPr>
          <w:szCs w:val="24"/>
        </w:rPr>
        <w:t xml:space="preserve">Our study examines survey points immediately adjacent to defended vegetation and found differences in vegetation species present at both tall (&gt;1m) and short (&lt;1m) shrubs and trees.  Cooper et al. </w:t>
      </w:r>
      <w:bookmarkStart w:id="220" w:name="__UnoMark__2958_69969397"/>
      <w:bookmarkStart w:id="221" w:name="__UnoMark__2609_69969397"/>
      <w:bookmarkStart w:id="222" w:name="__UnoMark__3041_69969397"/>
      <w:bookmarkStart w:id="223" w:name="__UnoMark__2628_69969397"/>
      <w:bookmarkStart w:id="224" w:name="__UnoMark__3122_69969397"/>
      <w:bookmarkStart w:id="225" w:name="__UnoMark__2781_69969397"/>
      <w:bookmarkStart w:id="226" w:name="__UnoMark__1525_782143424"/>
      <w:bookmarkStart w:id="227" w:name="__UnoMark__1431_782143424"/>
      <w:bookmarkStart w:id="228" w:name="ZOTERO_BREF_kEmFe7deYdEt"/>
      <w:bookmarkStart w:id="229" w:name="__UnoMark__2536_69969397"/>
      <w:bookmarkStart w:id="230" w:name="__UnoMark__2708_69969397"/>
      <w:bookmarkStart w:id="231" w:name="__UnoMark__2877_69969397"/>
      <w:bookmarkEnd w:id="221"/>
      <w:r>
        <w:rPr>
          <w:szCs w:val="24"/>
        </w:rPr>
        <w:t>(2013)</w:t>
      </w:r>
      <w:bookmarkEnd w:id="220"/>
      <w:bookmarkEnd w:id="222"/>
      <w:bookmarkEnd w:id="223"/>
      <w:bookmarkEnd w:id="224"/>
      <w:bookmarkEnd w:id="225"/>
      <w:bookmarkEnd w:id="226"/>
      <w:bookmarkEnd w:id="227"/>
      <w:bookmarkEnd w:id="228"/>
      <w:bookmarkEnd w:id="229"/>
      <w:bookmarkEnd w:id="230"/>
      <w:bookmarkEnd w:id="231"/>
      <w:r>
        <w:rPr>
          <w:szCs w:val="24"/>
        </w:rPr>
        <w:t xml:space="preserve"> suggest that Cassin’s Sparrow habitat differs in cover from the surrounding landscape, but areas immediately adjacent to territories did not differ.   This may be a result of differing experimental designs.   Microclimate is known to affect local bird distribution </w:t>
      </w:r>
      <w:bookmarkStart w:id="232" w:name="__UnoMark__2878_69969397"/>
      <w:bookmarkStart w:id="233" w:name="ZOTERO_BREF_CttqH9QSYvoV"/>
      <w:bookmarkStart w:id="234" w:name="__UnoMark__1740_69969397"/>
      <w:bookmarkStart w:id="235" w:name="__UnoMark__1962_69969397"/>
      <w:bookmarkStart w:id="236" w:name="__UnoMark__1805_69969397"/>
      <w:bookmarkStart w:id="237" w:name="__UnoMark__2207_69969397"/>
      <w:bookmarkStart w:id="238" w:name="__UnoMark__1653_69969397"/>
      <w:bookmarkStart w:id="239" w:name="__UnoMark__2284_69969397"/>
      <w:bookmarkStart w:id="240" w:name="__UnoMark__2553_69969397"/>
      <w:bookmarkStart w:id="241" w:name="__UnoMark__3123_69969397"/>
      <w:bookmarkStart w:id="242" w:name="__UnoMark__2784_69969397"/>
      <w:bookmarkStart w:id="243" w:name="__UnoMark__1892_69969397"/>
      <w:bookmarkStart w:id="244" w:name="__UnoMark__3042_69969397"/>
      <w:bookmarkStart w:id="245" w:name="__UnoMark__1597_69969397"/>
      <w:bookmarkStart w:id="246" w:name="__UnoMark__1526_782143424"/>
      <w:bookmarkStart w:id="247" w:name="__UnoMark__2709_69969397"/>
      <w:bookmarkStart w:id="248" w:name="__UnoMark__2017_69969397"/>
      <w:bookmarkStart w:id="249" w:name="__UnoMark__2480_69969397"/>
      <w:bookmarkStart w:id="250" w:name="__UnoMark__2959_69969397"/>
      <w:bookmarkStart w:id="251" w:name="__UnoMark__2629_69969397"/>
      <w:bookmarkStart w:id="252" w:name="__UnoMark__1432_782143424"/>
      <w:bookmarkStart w:id="253" w:name="__UnoMark__2096_69969397"/>
      <w:r>
        <w:rPr>
          <w:szCs w:val="24"/>
        </w:rPr>
        <w:t>(Patten and Smith-Patten 2012)</w:t>
      </w:r>
      <w:bookmarkStart w:id="254" w:name="__UnoMark__1650_69969397"/>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rPr>
          <w:szCs w:val="24"/>
        </w:rPr>
        <w:t xml:space="preserve">, including in grassland species </w:t>
      </w:r>
      <w:bookmarkStart w:id="255" w:name="__UnoMark__2208_69969397"/>
      <w:bookmarkStart w:id="256" w:name="__UnoMark__2710_69969397"/>
      <w:bookmarkStart w:id="257" w:name="__UnoMark__3124_69969397"/>
      <w:bookmarkStart w:id="258" w:name="__UnoMark__2018_69969397"/>
      <w:bookmarkStart w:id="259" w:name="__UnoMark__1741_69969397"/>
      <w:bookmarkStart w:id="260" w:name="ZOTERO_BREF_Wj7bgpkcOEuy"/>
      <w:bookmarkStart w:id="261" w:name="__UnoMark__1963_69969397"/>
      <w:bookmarkStart w:id="262" w:name="__UnoMark__2481_69969397"/>
      <w:bookmarkStart w:id="263" w:name="__UnoMark__2285_69969397"/>
      <w:bookmarkStart w:id="264" w:name="__UnoMark__2785_69969397"/>
      <w:bookmarkStart w:id="265" w:name="__UnoMark__1527_782143424"/>
      <w:bookmarkStart w:id="266" w:name="__UnoMark__2097_69969397"/>
      <w:bookmarkStart w:id="267" w:name="__UnoMark__1893_69969397"/>
      <w:bookmarkStart w:id="268" w:name="__UnoMark__2630_69969397"/>
      <w:bookmarkStart w:id="269" w:name="__UnoMark__2879_69969397"/>
      <w:bookmarkStart w:id="270" w:name="__UnoMark__2960_69969397"/>
      <w:bookmarkStart w:id="271" w:name="__UnoMark__3043_69969397"/>
      <w:bookmarkStart w:id="272" w:name="__UnoMark__1806_69969397"/>
      <w:bookmarkStart w:id="273" w:name="__UnoMark__1655_69969397"/>
      <w:bookmarkStart w:id="274" w:name="__UnoMark__1433_782143424"/>
      <w:bookmarkStart w:id="275" w:name="__UnoMark__2554_69969397"/>
      <w:r>
        <w:rPr>
          <w:szCs w:val="24"/>
        </w:rPr>
        <w:t>(Patten et al. 2005)</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r>
        <w:rPr>
          <w:szCs w:val="24"/>
        </w:rPr>
        <w:t xml:space="preserve">, and passive thermoregulation may be possible at Cassin’s Sparrow nests </w:t>
      </w:r>
      <w:bookmarkStart w:id="276" w:name="__UnoMark__2555_69969397"/>
      <w:bookmarkStart w:id="277" w:name="__UnoMark__2099_69969397"/>
      <w:bookmarkStart w:id="278" w:name="__UnoMark__2286_69969397"/>
      <w:bookmarkStart w:id="279" w:name="ZOTERO_BREF_3Fx19TVXjXKp"/>
      <w:bookmarkStart w:id="280" w:name="__UnoMark__3044_69969397"/>
      <w:bookmarkStart w:id="281" w:name="__UnoMark__1528_782143424"/>
      <w:bookmarkStart w:id="282" w:name="__UnoMark__2631_69969397"/>
      <w:bookmarkStart w:id="283" w:name="__UnoMark__2209_69969397"/>
      <w:bookmarkStart w:id="284" w:name="__UnoMark__2880_69969397"/>
      <w:bookmarkStart w:id="285" w:name="__UnoMark__2482_69969397"/>
      <w:bookmarkStart w:id="286" w:name="__UnoMark__2711_69969397"/>
      <w:bookmarkStart w:id="287" w:name="__UnoMark__3125_69969397"/>
      <w:bookmarkStart w:id="288" w:name="__UnoMark__2961_69969397"/>
      <w:bookmarkStart w:id="289" w:name="__UnoMark__2786_69969397"/>
      <w:bookmarkStart w:id="290" w:name="__UnoMark__1434_782143424"/>
      <w:r>
        <w:rPr>
          <w:szCs w:val="24"/>
        </w:rPr>
        <w:t>(Schnase et al. 1991)</w:t>
      </w:r>
      <w:bookmarkStart w:id="291" w:name="__UnoMark__2167_69969397"/>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r>
        <w:rPr>
          <w:szCs w:val="24"/>
        </w:rPr>
        <w:t xml:space="preserve">.  Maurer </w:t>
      </w:r>
      <w:bookmarkStart w:id="292" w:name="__UnoMark__1435_782143424"/>
      <w:bookmarkStart w:id="293" w:name="__UnoMark__2787_69969397"/>
      <w:bookmarkStart w:id="294" w:name="__UnoMark__2962_69969397"/>
      <w:bookmarkStart w:id="295" w:name="__UnoMark__1652_69969397"/>
      <w:bookmarkStart w:id="296" w:name="__UnoMark__2881_69969397"/>
      <w:bookmarkStart w:id="297" w:name="__UnoMark__2483_69969397"/>
      <w:bookmarkStart w:id="298" w:name="__UnoMark__2712_69969397"/>
      <w:bookmarkStart w:id="299" w:name="__UnoMark__1529_782143424"/>
      <w:bookmarkStart w:id="300" w:name="__UnoMark__1554_69969397"/>
      <w:bookmarkStart w:id="301" w:name="ZOTERO_BREF_r8TjlMqdHC7O"/>
      <w:bookmarkStart w:id="302" w:name="__UnoMark__3126_69969397"/>
      <w:bookmarkStart w:id="303" w:name="__UnoMark__3045_69969397"/>
      <w:bookmarkStart w:id="304" w:name="__UnoMark__509_69969397"/>
      <w:bookmarkStart w:id="305" w:name="__UnoMark__580_69969397"/>
      <w:bookmarkStart w:id="306" w:name="__UnoMark__2632_69969397"/>
      <w:bookmarkStart w:id="307" w:name="__UnoMark__1595_69969397"/>
      <w:bookmarkStart w:id="308" w:name="__UnoMark__2556_69969397"/>
      <w:r>
        <w:rPr>
          <w:szCs w:val="24"/>
        </w:rPr>
        <w:t>(1986)</w:t>
      </w:r>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r>
        <w:rPr>
          <w:szCs w:val="24"/>
        </w:rPr>
        <w:t xml:space="preserve"> found Cassin’s Sparrow less associated with mesic plants than Botteri’s Sparrows in the same study sites.  Much of the Cassin’s Sparrow range lies west of the strong aridity gradient across the Great Plains </w:t>
      </w:r>
      <w:bookmarkStart w:id="309" w:name="__UnoMark__2557_69969397"/>
      <w:bookmarkStart w:id="310" w:name="__UnoMark__2484_69969397"/>
      <w:bookmarkStart w:id="311" w:name="__UnoMark__1891_69969397"/>
      <w:bookmarkStart w:id="312" w:name="__UnoMark__2206_69969397"/>
      <w:bookmarkStart w:id="313" w:name="__UnoMark__2283_69969397"/>
      <w:bookmarkStart w:id="314" w:name="__UnoMark__1594_69969397"/>
      <w:bookmarkStart w:id="315" w:name="__UnoMark__1651_69969397"/>
      <w:bookmarkStart w:id="316" w:name="ZOTERO_BREF_b7dXv7IyzNpL"/>
      <w:bookmarkStart w:id="317" w:name="__UnoMark__2882_69969397"/>
      <w:bookmarkStart w:id="318" w:name="__UnoMark__2788_69969397"/>
      <w:bookmarkStart w:id="319" w:name="__UnoMark__3127_69969397"/>
      <w:bookmarkStart w:id="320" w:name="__UnoMark__2963_69969397"/>
      <w:bookmarkStart w:id="321" w:name="__UnoMark__1961_69969397"/>
      <w:bookmarkStart w:id="322" w:name="__UnoMark__2713_69969397"/>
      <w:bookmarkStart w:id="323" w:name="__UnoMark__1804_69969397"/>
      <w:bookmarkStart w:id="324" w:name="__UnoMark__1530_782143424"/>
      <w:bookmarkStart w:id="325" w:name="__UnoMark__1739_69969397"/>
      <w:bookmarkStart w:id="326" w:name="__UnoMark__1436_782143424"/>
      <w:bookmarkStart w:id="327" w:name="__UnoMark__2016_69969397"/>
      <w:bookmarkStart w:id="328" w:name="__UnoMark__3046_69969397"/>
      <w:bookmarkStart w:id="329" w:name="__UnoMark__2633_69969397"/>
      <w:bookmarkStart w:id="330" w:name="__UnoMark__2095_69969397"/>
      <w:bookmarkStart w:id="331" w:name="__UnoMark__1541_69969397"/>
      <w:r>
        <w:rPr>
          <w:szCs w:val="24"/>
        </w:rPr>
        <w:t>(Seager et al. 2018)</w:t>
      </w:r>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r>
        <w:rPr>
          <w:szCs w:val="24"/>
        </w:rPr>
        <w:t xml:space="preserve">.  Therefore, microclimates available for nesting and foraging, as both occur on or near the ground </w:t>
      </w:r>
      <w:bookmarkStart w:id="332" w:name="__UnoMark__2964_69969397"/>
      <w:bookmarkStart w:id="333" w:name="__UnoMark__2714_69969397"/>
      <w:bookmarkStart w:id="334" w:name="__UnoMark__2558_69969397"/>
      <w:bookmarkStart w:id="335" w:name="__UnoMark__2634_69969397"/>
      <w:bookmarkStart w:id="336" w:name="__UnoMark__1531_782143424"/>
      <w:bookmarkStart w:id="337" w:name="__UnoMark__1437_782143424"/>
      <w:bookmarkStart w:id="338" w:name="ZOTERO_BREF_M2gKYOHJTss2"/>
      <w:bookmarkStart w:id="339" w:name="__UnoMark__2485_69969397"/>
      <w:bookmarkStart w:id="340" w:name="__UnoMark__3128_69969397"/>
      <w:bookmarkStart w:id="341" w:name="__UnoMark__2782_69969397"/>
      <w:bookmarkStart w:id="342" w:name="__UnoMark__3047_69969397"/>
      <w:bookmarkStart w:id="343" w:name="__UnoMark__2883_69969397"/>
      <w:r>
        <w:rPr>
          <w:szCs w:val="24"/>
        </w:rPr>
        <w:t>(Schnase et al. 1991)</w:t>
      </w:r>
      <w:bookmarkStart w:id="344" w:name="__UnoMark__2857_69969397"/>
      <w:bookmarkEnd w:id="332"/>
      <w:bookmarkEnd w:id="333"/>
      <w:bookmarkEnd w:id="334"/>
      <w:bookmarkEnd w:id="335"/>
      <w:bookmarkEnd w:id="336"/>
      <w:bookmarkEnd w:id="337"/>
      <w:bookmarkEnd w:id="338"/>
      <w:bookmarkEnd w:id="339"/>
      <w:bookmarkEnd w:id="340"/>
      <w:bookmarkEnd w:id="341"/>
      <w:bookmarkEnd w:id="342"/>
      <w:bookmarkEnd w:id="343"/>
      <w:bookmarkEnd w:id="344"/>
      <w:r>
        <w:rPr>
          <w:szCs w:val="24"/>
        </w:rPr>
        <w:t xml:space="preserve">, should also be investigated as distinguishing territories from apparently similar nearby habitat.  Finally, a study design that could distinguish random from non-random habitat use would be useful in case of the apparently similarity is simply a matter of chance </w:t>
      </w:r>
      <w:bookmarkStart w:id="345" w:name="__UnoMark__2715_69969397"/>
      <w:bookmarkStart w:id="346" w:name="__UnoMark__2965_69969397"/>
      <w:bookmarkStart w:id="347" w:name="__UnoMark__1532_782143424"/>
      <w:bookmarkStart w:id="348" w:name="__UnoMark__2559_69969397"/>
      <w:bookmarkStart w:id="349" w:name="__UnoMark__3048_69969397"/>
      <w:bookmarkStart w:id="350" w:name="ZOTERO_BREF_XEMhJwzdAD5G"/>
      <w:bookmarkStart w:id="351" w:name="__UnoMark__2783_69969397"/>
      <w:bookmarkStart w:id="352" w:name="__UnoMark__3129_69969397"/>
      <w:bookmarkStart w:id="353" w:name="__UnoMark__2635_69969397"/>
      <w:bookmarkStart w:id="354" w:name="__UnoMark__1438_782143424"/>
      <w:bookmarkStart w:id="355" w:name="__UnoMark__2884_69969397"/>
      <w:bookmarkStart w:id="356" w:name="__UnoMark__2486_69969397"/>
      <w:r>
        <w:rPr>
          <w:szCs w:val="24"/>
        </w:rPr>
        <w:t>(Jones 2001)</w:t>
      </w:r>
      <w:bookmarkEnd w:id="345"/>
      <w:bookmarkEnd w:id="346"/>
      <w:bookmarkEnd w:id="347"/>
      <w:bookmarkEnd w:id="348"/>
      <w:bookmarkEnd w:id="349"/>
      <w:bookmarkEnd w:id="350"/>
      <w:bookmarkEnd w:id="351"/>
      <w:bookmarkEnd w:id="352"/>
      <w:bookmarkEnd w:id="353"/>
      <w:bookmarkEnd w:id="354"/>
      <w:bookmarkEnd w:id="355"/>
      <w:bookmarkEnd w:id="356"/>
      <w:r>
        <w:rPr/>
        <w:t>.</w:t>
      </w:r>
    </w:p>
    <w:p>
      <w:pPr>
        <w:pStyle w:val="Normal"/>
        <w:rPr/>
      </w:pPr>
      <w:r>
        <w:rPr>
          <w:szCs w:val="24"/>
        </w:rPr>
        <w:t xml:space="preserve">Even species with more classically predictable habitat preferences and movements disperse more than previously known even within seasons </w:t>
      </w:r>
      <w:bookmarkStart w:id="357" w:name="__UnoMark__1439_782143424"/>
      <w:bookmarkStart w:id="358" w:name="__UnoMark__2859_69969397"/>
      <w:bookmarkStart w:id="359" w:name="__UnoMark__1533_782143424"/>
      <w:bookmarkStart w:id="360" w:name="ZOTERO_BREF_hOqhvNu3aOtr"/>
      <w:bookmarkStart w:id="361" w:name="__UnoMark__3130_69969397"/>
      <w:bookmarkStart w:id="362" w:name="__UnoMark__2966_69969397"/>
      <w:bookmarkStart w:id="363" w:name="__UnoMark__3049_69969397"/>
      <w:r>
        <w:rPr>
          <w:szCs w:val="24"/>
        </w:rPr>
        <w:t>(Williams and Boyle 2017)</w:t>
      </w:r>
      <w:bookmarkStart w:id="364" w:name="__UnoMark__2938_69969397"/>
      <w:bookmarkEnd w:id="357"/>
      <w:bookmarkEnd w:id="358"/>
      <w:bookmarkEnd w:id="359"/>
      <w:bookmarkEnd w:id="360"/>
      <w:bookmarkEnd w:id="361"/>
      <w:bookmarkEnd w:id="362"/>
      <w:bookmarkEnd w:id="363"/>
      <w:bookmarkEnd w:id="364"/>
      <w:r>
        <w:rPr>
          <w:szCs w:val="24"/>
        </w:rPr>
        <w:t>.  Such work on intra-season and inter-season movements will be difficult in this species because of their low return rate between seasons.  However, it  would provide additional understanding of how grassland birds choose their territories, which is important to understand how best to manage habitat to allow for conservation of grassland species that may require heterogenous habitats.</w:t>
      </w:r>
    </w:p>
    <w:p>
      <w:pPr>
        <w:pStyle w:val="Normal"/>
        <w:jc w:val="center"/>
        <w:rPr>
          <w:szCs w:val="24"/>
        </w:rPr>
      </w:pPr>
      <w:commentRangeStart w:id="2"/>
      <w:r>
        <w:rPr>
          <w:szCs w:val="24"/>
        </w:rPr>
        <w:t>ACKNOWLEDGMENTS</w:t>
      </w:r>
      <w:commentRangeEnd w:id="2"/>
      <w:r>
        <w:commentReference w:id="2"/>
      </w:r>
      <w:r>
        <w:rPr>
          <w:szCs w:val="24"/>
        </w:rPr>
      </w:r>
    </w:p>
    <w:p>
      <w:pPr>
        <w:pStyle w:val="Normal"/>
        <w:rPr/>
      </w:pPr>
      <w:r>
        <w:rPr>
          <w:szCs w:val="24"/>
        </w:rPr>
        <w:t>We thank T.E. Smith for help with study design and field work; R. Feliciano and J. Haughawout for assistance in gathering data; and M.A. Patten for statistical discussion.  We thank the Oklahoma Department of Wildlife Conservation, Oklahoma Tourism and Recreation Department, and the Selman Guest Ranch for land access.  This study was conducted under OU IACUC R12-019.  This work</w:t>
      </w:r>
      <w:r>
        <w:rPr>
          <w:shd w:fill="FFFFFF" w:val="clear"/>
        </w:rPr>
        <w:t xml:space="preserve"> was funded by USDA-NIFA grant #2013-67009-20369 to ESB.  CMC was also supported by </w:t>
      </w:r>
      <w:r>
        <w:rPr/>
        <w:t>National Science Foundation grants IDBR 1014891 and ABI ???? to ESB and Oklahoma Department of Wildlife Conservation grant ??? to M.A. Patten.</w:t>
      </w:r>
    </w:p>
    <w:p>
      <w:pPr>
        <w:pStyle w:val="Normal"/>
        <w:jc w:val="center"/>
        <w:rPr/>
      </w:pPr>
      <w:commentRangeStart w:id="3"/>
      <w:r>
        <w:rPr>
          <w:szCs w:val="24"/>
        </w:rPr>
        <w:t>LITERATURE CITED</w:t>
      </w:r>
      <w:commentRangeEnd w:id="3"/>
      <w:r>
        <w:commentReference w:id="3"/>
      </w:r>
      <w:r>
        <w:rPr>
          <w:szCs w:val="24"/>
        </w:rPr>
      </w:r>
    </w:p>
    <w:p>
      <w:pPr>
        <w:pStyle w:val="Bibliography1"/>
        <w:rPr/>
      </w:pPr>
      <w:bookmarkStart w:id="365" w:name="ZOTERO_BREF_oWwboO9nbYLq"/>
      <w:bookmarkStart w:id="366" w:name="__UnoMark__1440_782143424"/>
      <w:bookmarkStart w:id="367" w:name="__UnoMark__1534_782143424"/>
      <w:bookmarkEnd w:id="366"/>
      <w:bookmarkEnd w:id="367"/>
      <w:r>
        <w:rPr>
          <w:smallCaps/>
        </w:rPr>
        <w:t>Bock, C.E.</w:t>
      </w:r>
      <w:r>
        <w:rPr/>
        <w:t xml:space="preserve">, </w:t>
      </w:r>
      <w:r>
        <w:rPr>
          <w:smallCaps/>
        </w:rPr>
        <w:t>J.H. Bock</w:t>
      </w:r>
      <w:r>
        <w:rPr/>
        <w:t xml:space="preserve"> and </w:t>
      </w:r>
      <w:r>
        <w:rPr>
          <w:smallCaps/>
        </w:rPr>
        <w:t>M.C. Grant</w:t>
      </w:r>
      <w:r>
        <w:rPr/>
        <w:t>. 1992. Effects of Bird Predation on Grasshopper Densities in an Arizona Grassland. Ecology 73: 1706–1717.</w:t>
      </w:r>
    </w:p>
    <w:p>
      <w:pPr>
        <w:pStyle w:val="Bibliography1"/>
        <w:rPr/>
      </w:pPr>
      <w:r>
        <w:rPr>
          <w:smallCaps/>
        </w:rPr>
        <w:t>Bock, C.E.</w:t>
      </w:r>
      <w:r>
        <w:rPr/>
        <w:t xml:space="preserve"> and </w:t>
      </w:r>
      <w:r>
        <w:rPr>
          <w:smallCaps/>
        </w:rPr>
        <w:t>B. Webb</w:t>
      </w:r>
      <w:r>
        <w:rPr/>
        <w:t>. 1984. Birds as Grazing Indicator Species in Southeastern Arizona. The Journal of Wildlife Management 48: 1045–1049.</w:t>
      </w:r>
    </w:p>
    <w:p>
      <w:pPr>
        <w:pStyle w:val="Bibliography1"/>
        <w:rPr/>
      </w:pPr>
      <w:r>
        <w:rPr>
          <w:smallCaps/>
        </w:rPr>
        <w:t>Cooper, B.S.</w:t>
      </w:r>
      <w:r>
        <w:rPr/>
        <w:t xml:space="preserve">, </w:t>
      </w:r>
      <w:r>
        <w:rPr>
          <w:smallCaps/>
        </w:rPr>
        <w:t>R.D. Elmore</w:t>
      </w:r>
      <w:r>
        <w:rPr/>
        <w:t xml:space="preserve">, </w:t>
      </w:r>
      <w:r>
        <w:rPr>
          <w:smallCaps/>
        </w:rPr>
        <w:t>F.S. Guthery</w:t>
      </w:r>
      <w:r>
        <w:rPr/>
        <w:t xml:space="preserve"> and </w:t>
      </w:r>
      <w:r>
        <w:rPr>
          <w:smallCaps/>
        </w:rPr>
        <w:t>P. Van Els</w:t>
      </w:r>
      <w:r>
        <w:rPr/>
        <w:t>. 2013. Territory characteristics of Cassin’s Sparrows in northwestern Oklahoma. American Midland Naturalist 171: 90–96.</w:t>
      </w:r>
    </w:p>
    <w:p>
      <w:pPr>
        <w:pStyle w:val="Bibliography1"/>
        <w:rPr/>
      </w:pPr>
      <w:r>
        <w:rPr>
          <w:smallCaps/>
        </w:rPr>
        <w:t>Daubenmire, R.</w:t>
      </w:r>
      <w:r>
        <w:rPr/>
        <w:t xml:space="preserve"> 1959. A canopy-coverage method of vegetational analysis. Northwest Science 33: 43–64.</w:t>
      </w:r>
    </w:p>
    <w:p>
      <w:pPr>
        <w:pStyle w:val="Bibliography1"/>
        <w:rPr/>
      </w:pPr>
      <w:r>
        <w:rPr>
          <w:smallCaps/>
        </w:rPr>
        <w:t>Davis, S.K.</w:t>
      </w:r>
      <w:r>
        <w:rPr/>
        <w:t xml:space="preserve"> 2005. Nest-Site Selection Patterns and the Influence of Vegetation on Nest Survival of Mixed-Grass Prairie Passerines. The Condor 107: 605–616.</w:t>
      </w:r>
    </w:p>
    <w:p>
      <w:pPr>
        <w:pStyle w:val="Bibliography1"/>
        <w:rPr/>
      </w:pPr>
      <w:r>
        <w:rPr>
          <w:smallCaps/>
        </w:rPr>
        <w:t>Diamond, D.D.</w:t>
      </w:r>
      <w:r>
        <w:rPr/>
        <w:t xml:space="preserve"> and </w:t>
      </w:r>
      <w:r>
        <w:rPr>
          <w:smallCaps/>
        </w:rPr>
        <w:t>L.F. Elliott</w:t>
      </w:r>
      <w:r>
        <w:rPr/>
        <w:t>. 2015. Oklahoma ecological systems mapping interpretive booklet: methods, short type descriptions, and summary results. Oklahoma Department of Wildlife Conservation, Norman, OK.</w:t>
      </w:r>
    </w:p>
    <w:p>
      <w:pPr>
        <w:pStyle w:val="Bibliography1"/>
        <w:rPr/>
      </w:pPr>
      <w:r>
        <w:rPr>
          <w:smallCaps/>
        </w:rPr>
        <w:t>Dunning, Jr., J.B.</w:t>
      </w:r>
      <w:r>
        <w:rPr/>
        <w:t xml:space="preserve">, </w:t>
      </w:r>
      <w:r>
        <w:rPr>
          <w:smallCaps/>
        </w:rPr>
        <w:t>R.K. Bowers, Jr.</w:t>
      </w:r>
      <w:r>
        <w:rPr/>
        <w:t xml:space="preserve">, </w:t>
      </w:r>
      <w:r>
        <w:rPr>
          <w:smallCaps/>
        </w:rPr>
        <w:t>S.J. Suter</w:t>
      </w:r>
      <w:r>
        <w:rPr/>
        <w:t xml:space="preserve"> and </w:t>
      </w:r>
      <w:r>
        <w:rPr>
          <w:smallCaps/>
        </w:rPr>
        <w:t>C.E. Bock</w:t>
      </w:r>
      <w:r>
        <w:rPr/>
        <w:t xml:space="preserve"> [online]. 1999. Cassin’s Sparrow (Aimophila cassinii). The Birds of North America Online.</w:t>
      </w:r>
    </w:p>
    <w:p>
      <w:pPr>
        <w:pStyle w:val="Bibliography1"/>
        <w:rPr/>
      </w:pPr>
      <w:r>
        <w:rPr>
          <w:smallCaps/>
        </w:rPr>
        <w:t>Herse, M.R.</w:t>
      </w:r>
      <w:r>
        <w:rPr/>
        <w:t xml:space="preserve">, </w:t>
      </w:r>
      <w:r>
        <w:rPr>
          <w:smallCaps/>
        </w:rPr>
        <w:t>M.E. Estey</w:t>
      </w:r>
      <w:r>
        <w:rPr/>
        <w:t xml:space="preserve">, </w:t>
      </w:r>
      <w:r>
        <w:rPr>
          <w:smallCaps/>
        </w:rPr>
        <w:t>P.J. Moore</w:t>
      </w:r>
      <w:r>
        <w:rPr/>
        <w:t xml:space="preserve">, </w:t>
      </w:r>
      <w:r>
        <w:rPr>
          <w:smallCaps/>
        </w:rPr>
        <w:t>B.K. Sandercock</w:t>
      </w:r>
      <w:r>
        <w:rPr/>
        <w:t xml:space="preserve"> and </w:t>
      </w:r>
      <w:r>
        <w:rPr>
          <w:smallCaps/>
        </w:rPr>
        <w:t>W.A. Boyle</w:t>
      </w:r>
      <w:r>
        <w:rPr/>
        <w:t>. 2017. Landscape context drives breeding habitat selection by an enigmatic grassland songbird. Landscape Ecology 32: 2351–2364.</w:t>
      </w:r>
    </w:p>
    <w:p>
      <w:pPr>
        <w:pStyle w:val="Bibliography1"/>
        <w:rPr/>
      </w:pPr>
      <w:r>
        <w:rPr>
          <w:smallCaps/>
        </w:rPr>
        <w:t>Jones, J.</w:t>
      </w:r>
      <w:r>
        <w:rPr/>
        <w:t xml:space="preserve"> 2001. Habitat Selection Studies in Avian Ecology: A Critical Review. The Auk 118: 557.</w:t>
      </w:r>
    </w:p>
    <w:p>
      <w:pPr>
        <w:pStyle w:val="Bibliography1"/>
        <w:rPr/>
      </w:pPr>
      <w:r>
        <w:rPr>
          <w:smallCaps/>
        </w:rPr>
        <w:t>Maurer, B.A.</w:t>
      </w:r>
      <w:r>
        <w:rPr/>
        <w:t xml:space="preserve"> 1986. Predicting Habitat Quality for Grassland Birds Using Density-Habitat Correlations. The Journal of Wildlife Management 50: 556–566.</w:t>
      </w:r>
    </w:p>
    <w:p>
      <w:pPr>
        <w:pStyle w:val="Bibliography1"/>
        <w:rPr/>
      </w:pPr>
      <w:r>
        <w:rPr>
          <w:smallCaps/>
        </w:rPr>
        <w:t>Patten, M.A.</w:t>
      </w:r>
      <w:r>
        <w:rPr/>
        <w:t xml:space="preserve"> and </w:t>
      </w:r>
      <w:r>
        <w:rPr>
          <w:smallCaps/>
        </w:rPr>
        <w:t>B.D. Smith-Patten</w:t>
      </w:r>
      <w:r>
        <w:rPr/>
        <w:t>. 2012. Testing the microclimate hypothesis: Light environment and population trends of Neotropical birds. Biological Conservation 155: 85–93.</w:t>
      </w:r>
    </w:p>
    <w:p>
      <w:pPr>
        <w:pStyle w:val="Bibliography1"/>
        <w:rPr/>
      </w:pPr>
      <w:r>
        <w:rPr>
          <w:smallCaps/>
        </w:rPr>
        <w:t>Patten, M.A.</w:t>
      </w:r>
      <w:r>
        <w:rPr/>
        <w:t xml:space="preserve">, </w:t>
      </w:r>
      <w:r>
        <w:rPr>
          <w:smallCaps/>
        </w:rPr>
        <w:t>D.H. Wolfe</w:t>
      </w:r>
      <w:r>
        <w:rPr/>
        <w:t xml:space="preserve">, </w:t>
      </w:r>
      <w:r>
        <w:rPr>
          <w:smallCaps/>
        </w:rPr>
        <w:t>E. Shochat</w:t>
      </w:r>
      <w:r>
        <w:rPr/>
        <w:t xml:space="preserve"> and </w:t>
      </w:r>
      <w:r>
        <w:rPr>
          <w:smallCaps/>
        </w:rPr>
        <w:t>S.K. Sherrod</w:t>
      </w:r>
      <w:r>
        <w:rPr/>
        <w:t>. 2005. Effects of Microhabitat and Microclimate Selection on Adult Survivorship of the Lesser Prairie-Chicken. The Journal of Wildlife Management 69: 1270–1278.</w:t>
      </w:r>
    </w:p>
    <w:p>
      <w:pPr>
        <w:pStyle w:val="Bibliography1"/>
        <w:rPr/>
      </w:pPr>
      <w:r>
        <w:rPr>
          <w:smallCaps/>
        </w:rPr>
        <w:t>Ruth, J.M.</w:t>
      </w:r>
      <w:r>
        <w:rPr/>
        <w:t xml:space="preserve"> [online]. 2000. Cassin’s sparrow (</w:t>
      </w:r>
      <w:r>
        <w:rPr>
          <w:i/>
        </w:rPr>
        <w:t>Aimophila cassinii</w:t>
      </w:r>
      <w:r>
        <w:rPr/>
        <w:t>) status assessment and conservation plan.</w:t>
      </w:r>
    </w:p>
    <w:p>
      <w:pPr>
        <w:pStyle w:val="Bibliography1"/>
        <w:rPr/>
      </w:pPr>
      <w:r>
        <w:rPr>
          <w:smallCaps/>
        </w:rPr>
        <w:t>Sauer, J.R.</w:t>
      </w:r>
      <w:r>
        <w:rPr/>
        <w:t xml:space="preserve">, </w:t>
      </w:r>
      <w:r>
        <w:rPr>
          <w:smallCaps/>
        </w:rPr>
        <w:t>D.K. Niven</w:t>
      </w:r>
      <w:r>
        <w:rPr/>
        <w:t xml:space="preserve">, </w:t>
      </w:r>
      <w:r>
        <w:rPr>
          <w:smallCaps/>
        </w:rPr>
        <w:t>J.E. Hines</w:t>
      </w:r>
      <w:r>
        <w:rPr/>
        <w:t xml:space="preserve">, </w:t>
      </w:r>
      <w:r>
        <w:rPr>
          <w:smallCaps/>
        </w:rPr>
        <w:t>D.J. Ziolkowski, Jr.</w:t>
      </w:r>
      <w:r>
        <w:rPr/>
        <w:t xml:space="preserve">, </w:t>
      </w:r>
      <w:r>
        <w:rPr>
          <w:smallCaps/>
        </w:rPr>
        <w:t>K.L. Pardieck</w:t>
      </w:r>
      <w:r>
        <w:rPr/>
        <w:t xml:space="preserve">, </w:t>
      </w:r>
      <w:r>
        <w:rPr>
          <w:smallCaps/>
        </w:rPr>
        <w:t>J.E. Fallon</w:t>
      </w:r>
      <w:r>
        <w:rPr/>
        <w:t xml:space="preserve"> and </w:t>
      </w:r>
      <w:r>
        <w:rPr>
          <w:smallCaps/>
        </w:rPr>
        <w:t>W.A. Link</w:t>
      </w:r>
      <w:r>
        <w:rPr/>
        <w:t>. 2017. The North American Breeding Bird Survey, Results and Analysis 1966 - 2015, Version 2.07.2017. USGS Patuxent Wildlife Research Center, Laurel, MD.</w:t>
      </w:r>
    </w:p>
    <w:p>
      <w:pPr>
        <w:pStyle w:val="Bibliography1"/>
        <w:rPr/>
      </w:pPr>
      <w:r>
        <w:rPr>
          <w:smallCaps/>
        </w:rPr>
        <w:t>Schnase, J.L.</w:t>
      </w:r>
      <w:r>
        <w:rPr/>
        <w:t xml:space="preserve">, </w:t>
      </w:r>
      <w:r>
        <w:rPr>
          <w:smallCaps/>
        </w:rPr>
        <w:t>W.E. Grant</w:t>
      </w:r>
      <w:r>
        <w:rPr/>
        <w:t xml:space="preserve">, </w:t>
      </w:r>
      <w:r>
        <w:rPr>
          <w:smallCaps/>
        </w:rPr>
        <w:t>T.C. Maxwell</w:t>
      </w:r>
      <w:r>
        <w:rPr/>
        <w:t xml:space="preserve"> and </w:t>
      </w:r>
      <w:r>
        <w:rPr>
          <w:smallCaps/>
        </w:rPr>
        <w:t>J.J. Leggett</w:t>
      </w:r>
      <w:r>
        <w:rPr/>
        <w:t>. 1991. Time and energy budgets of Cassin’s sparrow (Aimophila cassinii) during the breeding season: evaluation through modelling. Ecological Modelling 55: 285–319.</w:t>
      </w:r>
    </w:p>
    <w:p>
      <w:pPr>
        <w:pStyle w:val="Bibliography1"/>
        <w:rPr/>
      </w:pPr>
      <w:r>
        <w:rPr>
          <w:smallCaps/>
        </w:rPr>
        <w:t>Seager, R., N. Lis, J. Feldman, M. Ting, A.P. Williams, J. Nakamura, et al.</w:t>
      </w:r>
      <w:r>
        <w:rPr/>
        <w:t xml:space="preserve"> 2018. Whither the 100th Meridian? The Once and Future Physical and Human Geography of America’s Arid–Humid Divide. Part I: The Story So Far. Earth Interactions 22: 1–22.</w:t>
      </w:r>
    </w:p>
    <w:p>
      <w:pPr>
        <w:pStyle w:val="Bibliography1"/>
        <w:rPr/>
      </w:pPr>
      <w:r>
        <w:rPr>
          <w:smallCaps/>
        </w:rPr>
        <w:t>Selman Ranch</w:t>
      </w:r>
      <w:r>
        <w:rPr/>
        <w:t xml:space="preserve"> [online]. 2009. Selman Ranch Home. &lt;http://www.selmanranch.com/main.htm&gt; (20 July 2017).</w:t>
      </w:r>
    </w:p>
    <w:p>
      <w:pPr>
        <w:pStyle w:val="Bibliography1"/>
        <w:rPr/>
      </w:pPr>
      <w:r>
        <w:rPr>
          <w:smallCaps/>
        </w:rPr>
        <w:t>Tabachnick, B.G.</w:t>
      </w:r>
      <w:r>
        <w:rPr/>
        <w:t xml:space="preserve"> and </w:t>
      </w:r>
      <w:r>
        <w:rPr>
          <w:smallCaps/>
        </w:rPr>
        <w:t>L.S. Fidell</w:t>
      </w:r>
      <w:r>
        <w:rPr/>
        <w:t>. 2007. Using multivariate statistics, 5th edition. Pearson, Boston.</w:t>
      </w:r>
    </w:p>
    <w:p>
      <w:pPr>
        <w:pStyle w:val="Bibliography1"/>
        <w:spacing w:lineRule="auto" w:line="240" w:before="0" w:after="0"/>
        <w:rPr>
          <w:szCs w:val="24"/>
        </w:rPr>
      </w:pPr>
      <w:r>
        <w:rPr>
          <w:smallCaps/>
          <w:szCs w:val="24"/>
        </w:rPr>
        <w:t>Williams, E.J.</w:t>
      </w:r>
      <w:r>
        <w:rPr>
          <w:szCs w:val="24"/>
        </w:rPr>
        <w:t xml:space="preserve"> and </w:t>
      </w:r>
      <w:r>
        <w:rPr>
          <w:smallCaps/>
          <w:szCs w:val="24"/>
        </w:rPr>
        <w:t>W.A. Boyle</w:t>
      </w:r>
      <w:r>
        <w:rPr>
          <w:szCs w:val="24"/>
        </w:rPr>
        <w:t>. 2017. Patterns and correlates of within-season breeding dispersal: A common strategy in a declining grassland songbird. The Auk 135: 1–14.</w:t>
      </w:r>
      <w:bookmarkEnd w:id="365"/>
      <w:r>
        <w:rPr>
          <w:szCs w:val="24"/>
        </w:rPr>
        <w:t>. 2017. Patterns and correlates of within-season breeding dispersal: A common strategy in a declining grassland songbird. The Auk 135: 1–14.</w:t>
      </w:r>
      <w:r>
        <w:br w:type="page"/>
      </w:r>
    </w:p>
    <w:p>
      <w:pPr>
        <w:pStyle w:val="Normal"/>
        <w:jc w:val="center"/>
        <w:rPr>
          <w:szCs w:val="24"/>
        </w:rPr>
      </w:pPr>
      <w:commentRangeStart w:id="4"/>
      <w:r>
        <w:rPr>
          <w:szCs w:val="24"/>
        </w:rPr>
        <w:t>TABLES</w:t>
      </w:r>
      <w:commentRangeEnd w:id="4"/>
      <w:r>
        <w:commentReference w:id="4"/>
      </w:r>
      <w:r>
        <w:rPr>
          <w:szCs w:val="24"/>
        </w:rPr>
      </w:r>
    </w:p>
    <w:p>
      <w:pPr>
        <w:pStyle w:val="Normal"/>
        <w:ind w:firstLine="720"/>
        <w:rPr/>
      </w:pPr>
      <w:r>
        <w:rPr>
          <w:szCs w:val="24"/>
        </w:rPr>
        <w:t>TABLE 1. Each study plot listed with the habitat types found at each survey point based on Diamond and Elliot (2015), with count of points that had territorial defense behaviors observed an</w:t>
      </w:r>
      <w:bookmarkStart w:id="368" w:name="rsGridData"/>
      <w:bookmarkEnd w:id="368"/>
      <w:r>
        <w:rPr>
          <w:color w:val="00000A"/>
          <w:sz w:val="24"/>
          <w:szCs w:val="24"/>
        </w:rPr>
        <w:t>d that had no territorial defense behaviors observed for Cassin’s Sparrows after song playback.</w:t>
      </w:r>
    </w:p>
    <w:tbl>
      <w:tblPr>
        <w:tblW w:w="9360" w:type="dxa"/>
        <w:jc w:val="left"/>
        <w:tblInd w:w="29" w:type="dxa"/>
        <w:tblBorders>
          <w:top w:val="single" w:sz="2" w:space="0" w:color="000001"/>
          <w:bottom w:val="single" w:sz="2" w:space="0" w:color="000001"/>
          <w:insideH w:val="single" w:sz="2" w:space="0" w:color="000001"/>
        </w:tblBorders>
        <w:tblCellMar>
          <w:top w:w="29" w:type="dxa"/>
          <w:left w:w="29" w:type="dxa"/>
          <w:bottom w:w="29" w:type="dxa"/>
          <w:right w:w="29" w:type="dxa"/>
        </w:tblCellMar>
      </w:tblPr>
      <w:tblGrid>
        <w:gridCol w:w="1710"/>
        <w:gridCol w:w="2790"/>
        <w:gridCol w:w="2430"/>
        <w:gridCol w:w="2429"/>
      </w:tblGrid>
      <w:tr>
        <w:trPr/>
        <w:tc>
          <w:tcPr>
            <w:tcW w:w="1710" w:type="dxa"/>
            <w:tcBorders>
              <w:top w:val="single" w:sz="2" w:space="0" w:color="000001"/>
              <w:bottom w:val="single" w:sz="2" w:space="0" w:color="000001"/>
              <w:insideH w:val="single" w:sz="2" w:space="0" w:color="000001"/>
            </w:tcBorders>
            <w:shd w:fill="auto" w:val="cle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Study site</w:t>
            </w:r>
          </w:p>
        </w:tc>
        <w:tc>
          <w:tcPr>
            <w:tcW w:w="2790" w:type="dxa"/>
            <w:tcBorders>
              <w:top w:val="single" w:sz="2" w:space="0" w:color="000001"/>
              <w:bottom w:val="single" w:sz="2" w:space="0" w:color="000001"/>
              <w:insideH w:val="single" w:sz="2" w:space="0" w:color="000001"/>
            </w:tcBorders>
            <w:shd w:fill="auto" w:val="cle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Habitat type</w:t>
            </w:r>
          </w:p>
        </w:tc>
        <w:tc>
          <w:tcPr>
            <w:tcW w:w="2430" w:type="dxa"/>
            <w:tcBorders>
              <w:top w:val="single" w:sz="2" w:space="0" w:color="000001"/>
              <w:bottom w:val="single" w:sz="2" w:space="0" w:color="000001"/>
              <w:insideH w:val="single" w:sz="2" w:space="0" w:color="000001"/>
            </w:tcBorders>
            <w:shd w:fill="auto" w:val="cle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Presence of territorial defense behavior</w:t>
            </w:r>
          </w:p>
        </w:tc>
        <w:tc>
          <w:tcPr>
            <w:tcW w:w="2429" w:type="dxa"/>
            <w:tcBorders>
              <w:top w:val="single" w:sz="2" w:space="0" w:color="000001"/>
              <w:bottom w:val="single" w:sz="2" w:space="0" w:color="000001"/>
              <w:insideH w:val="single" w:sz="2" w:space="0" w:color="000001"/>
            </w:tcBorders>
            <w:shd w:fill="auto" w:val="clear"/>
          </w:tcPr>
          <w:p>
            <w:pPr>
              <w:pStyle w:val="TableContents"/>
              <w:spacing w:lineRule="auto" w:line="480" w:before="0" w:after="0"/>
              <w:jc w:val="center"/>
              <w:rPr>
                <w:rFonts w:ascii="Times New Roman" w:hAnsi="Times New Roman"/>
                <w:color w:val="00000A"/>
                <w:sz w:val="24"/>
                <w:szCs w:val="24"/>
              </w:rPr>
            </w:pPr>
            <w:r>
              <w:rPr>
                <w:color w:val="00000A"/>
                <w:sz w:val="24"/>
                <w:szCs w:val="24"/>
              </w:rPr>
              <w:t>Number of survey points</w:t>
            </w:r>
          </w:p>
        </w:tc>
      </w:tr>
      <w:tr>
        <w:trPr/>
        <w:tc>
          <w:tcPr>
            <w:tcW w:w="171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Black Mesa State Park</w:t>
            </w:r>
          </w:p>
        </w:tc>
        <w:tc>
          <w:tcPr>
            <w:tcW w:w="279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Central Mixedgrass: Prairie/Pasture</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28" w:type="dxa"/>
              <w:left w:w="28" w:type="dxa"/>
              <w:bottom w:w="28" w:type="dxa"/>
              <w:right w:w="28" w:type="dxa"/>
            </w:tcMa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Row Crops</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5</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8</w:t>
            </w:r>
          </w:p>
        </w:tc>
      </w:tr>
      <w:tr>
        <w:trPr/>
        <w:tc>
          <w:tcPr>
            <w:tcW w:w="171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Cimarron Hills WMA</w:t>
            </w:r>
          </w:p>
        </w:tc>
        <w:tc>
          <w:tcPr>
            <w:tcW w:w="279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High Plains: Sandhill Shrubland</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2</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3</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High Plains: Sand Prairie</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2</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2</w:t>
            </w:r>
          </w:p>
        </w:tc>
      </w:tr>
      <w:tr>
        <w:trPr/>
        <w:tc>
          <w:tcPr>
            <w:tcW w:w="171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Optima WMA plot 1</w:t>
            </w:r>
          </w:p>
        </w:tc>
        <w:tc>
          <w:tcPr>
            <w:tcW w:w="279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High Plains: Riparian Deciduous Shrubland</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2</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High Plains: Shortgrass Prairie</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4</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Ruderal Plains Shrubland</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7</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8</w:t>
            </w:r>
          </w:p>
        </w:tc>
      </w:tr>
      <w:tr>
        <w:trPr/>
        <w:tc>
          <w:tcPr>
            <w:tcW w:w="171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Optima WMA plot 2</w:t>
            </w:r>
          </w:p>
        </w:tc>
        <w:tc>
          <w:tcPr>
            <w:tcW w:w="279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High Plains: Shortgrass Prairie</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5</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Row Crops</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Ruderal Plains Shrubland</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3</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10</w:t>
            </w:r>
          </w:p>
        </w:tc>
      </w:tr>
      <w:tr>
        <w:trPr/>
        <w:tc>
          <w:tcPr>
            <w:tcW w:w="171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Packsaddle WMA</w:t>
            </w:r>
          </w:p>
        </w:tc>
        <w:tc>
          <w:tcPr>
            <w:tcW w:w="279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Central Mixedgrass: Prairie/Pasture</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2</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High Plains: Riparian Deciduous Shrubland</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High Plains: Sand Prairie</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2</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2</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High Plains: Sandy Deciduous Shrubland</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r>
      <w:tr>
        <w:trPr/>
        <w:tc>
          <w:tcPr>
            <w:tcW w:w="171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Rita Blanca WMA</w:t>
            </w:r>
          </w:p>
        </w:tc>
        <w:tc>
          <w:tcPr>
            <w:tcW w:w="2790" w:type="dxa"/>
            <w:vMerge w:val="restart"/>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High Plains: Shortgrass Prairie</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14</w:t>
            </w:r>
          </w:p>
        </w:tc>
      </w:tr>
      <w:tr>
        <w:trPr/>
        <w:tc>
          <w:tcPr>
            <w:tcW w:w="171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continue"/>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22</w:t>
            </w:r>
          </w:p>
        </w:tc>
      </w:tr>
      <w:tr>
        <w:trPr/>
        <w:tc>
          <w:tcPr>
            <w:tcW w:w="1710" w:type="dxa"/>
            <w:vMerge w:val="restart"/>
            <w:tcBorders>
              <w:top w:val="single" w:sz="2" w:space="0" w:color="000001"/>
              <w:bottom w:val="single" w:sz="2" w:space="0" w:color="000001"/>
              <w:insideH w:val="single" w:sz="2" w:space="0" w:color="000001"/>
            </w:tcBorders>
            <w:shd w:fill="auto" w:val="cle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Selman Ranch</w:t>
            </w:r>
          </w:p>
        </w:tc>
        <w:tc>
          <w:tcPr>
            <w:tcW w:w="2790" w:type="dxa"/>
            <w:tcBorders>
              <w:top w:val="single" w:sz="2" w:space="0" w:color="000001"/>
              <w:bottom w:val="single" w:sz="2" w:space="0" w:color="000001"/>
              <w:insideH w:val="single" w:sz="2" w:space="0" w:color="000001"/>
            </w:tcBorders>
            <w:shd w:fill="auto" w:val="cle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Canyon: Gyp Deciduous Shrubland</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r>
      <w:tr>
        <w:trPr/>
        <w:tc>
          <w:tcPr>
            <w:tcW w:w="1710" w:type="dxa"/>
            <w:vMerge w:val="continue"/>
            <w:tcBorders>
              <w:top w:val="single" w:sz="2" w:space="0" w:color="000001"/>
              <w:bottom w:val="single" w:sz="2" w:space="0" w:color="000001"/>
              <w:insideH w:val="single" w:sz="2" w:space="0" w:color="000001"/>
            </w:tcBorders>
            <w:shd w:fill="auto" w:val="cle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tcBorders>
              <w:top w:val="single" w:sz="2" w:space="0" w:color="000001"/>
              <w:bottom w:val="single" w:sz="2" w:space="0" w:color="000001"/>
              <w:insideH w:val="single" w:sz="2" w:space="0" w:color="000001"/>
            </w:tcBorders>
            <w:shd w:fill="auto" w:val="cle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Canyon: Gyp Grassland</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r>
      <w:tr>
        <w:trPr/>
        <w:tc>
          <w:tcPr>
            <w:tcW w:w="1710" w:type="dxa"/>
            <w:vMerge w:val="continue"/>
            <w:tcBorders>
              <w:top w:val="single" w:sz="2" w:space="0" w:color="000001"/>
              <w:bottom w:val="single" w:sz="2" w:space="0" w:color="000001"/>
              <w:insideH w:val="single" w:sz="2" w:space="0" w:color="000001"/>
            </w:tcBorders>
            <w:shd w:fill="auto" w:val="cle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restart"/>
            <w:tcBorders>
              <w:top w:val="single" w:sz="2" w:space="0" w:color="000001"/>
              <w:bottom w:val="single" w:sz="2" w:space="0" w:color="000001"/>
              <w:insideH w:val="single" w:sz="2" w:space="0" w:color="000001"/>
            </w:tcBorders>
            <w:shd w:fill="auto" w:val="cle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Planted Non-native and/or Native Grasses</w:t>
            </w:r>
          </w:p>
        </w:tc>
        <w:tc>
          <w:tcPr>
            <w:tcW w:w="2430"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1</w:t>
            </w:r>
          </w:p>
        </w:tc>
        <w:tc>
          <w:tcPr>
            <w:tcW w:w="2429" w:type="dxa"/>
            <w:tcBorders>
              <w:top w:val="single" w:sz="2" w:space="0" w:color="000001"/>
              <w:bottom w:val="single" w:sz="2" w:space="0" w:color="000001"/>
              <w:insideH w:val="single" w:sz="2" w:space="0" w:color="000001"/>
            </w:tcBorders>
            <w:shd w:fill="auto" w:val="clear"/>
            <w:tcMar>
              <w:top w:w="0" w:type="dxa"/>
              <w:left w:w="0" w:type="dxa"/>
              <w:bottom w:w="0" w:type="dxa"/>
              <w:right w:w="0" w:type="dxa"/>
            </w:tcM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2</w:t>
            </w:r>
          </w:p>
        </w:tc>
      </w:tr>
      <w:tr>
        <w:trPr/>
        <w:tc>
          <w:tcPr>
            <w:tcW w:w="1710" w:type="dxa"/>
            <w:vMerge w:val="continue"/>
            <w:tcBorders>
              <w:top w:val="single" w:sz="2" w:space="0" w:color="000001"/>
              <w:bottom w:val="single" w:sz="2" w:space="0" w:color="000001"/>
              <w:insideH w:val="single" w:sz="2" w:space="0" w:color="000001"/>
            </w:tcBorders>
            <w:shd w:fill="auto" w:val="cle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790" w:type="dxa"/>
            <w:vMerge w:val="continue"/>
            <w:tcBorders>
              <w:top w:val="single" w:sz="2" w:space="0" w:color="000001"/>
              <w:bottom w:val="single" w:sz="2" w:space="0" w:color="000001"/>
              <w:insideH w:val="single" w:sz="2" w:space="0" w:color="000001"/>
            </w:tcBorders>
            <w:shd w:fill="auto" w:val="cle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r>
          </w:p>
        </w:tc>
        <w:tc>
          <w:tcPr>
            <w:tcW w:w="2430" w:type="dxa"/>
            <w:tcBorders>
              <w:top w:val="single" w:sz="2" w:space="0" w:color="000001"/>
              <w:bottom w:val="single" w:sz="2" w:space="0" w:color="000001"/>
              <w:insideH w:val="single" w:sz="2" w:space="0" w:color="000001"/>
            </w:tcBorders>
            <w:shd w:fill="auto" w:val="cle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0</w:t>
            </w:r>
          </w:p>
        </w:tc>
        <w:tc>
          <w:tcPr>
            <w:tcW w:w="2429" w:type="dxa"/>
            <w:tcBorders>
              <w:top w:val="single" w:sz="2" w:space="0" w:color="000001"/>
              <w:bottom w:val="single" w:sz="2" w:space="0" w:color="000001"/>
              <w:insideH w:val="single" w:sz="2" w:space="0" w:color="000001"/>
            </w:tcBorders>
            <w:shd w:fill="auto" w:val="clear"/>
            <w:vAlign w:val="center"/>
          </w:tcPr>
          <w:p>
            <w:pPr>
              <w:pStyle w:val="TableContents"/>
              <w:spacing w:lineRule="auto" w:line="480" w:before="0" w:after="0"/>
              <w:jc w:val="center"/>
              <w:rPr>
                <w:rFonts w:ascii="Times New Roman" w:hAnsi="Times New Roman"/>
                <w:color w:val="00000A"/>
                <w:sz w:val="24"/>
                <w:szCs w:val="24"/>
              </w:rPr>
            </w:pPr>
            <w:r>
              <w:rPr>
                <w:color w:val="00000A"/>
                <w:sz w:val="24"/>
                <w:szCs w:val="24"/>
              </w:rPr>
              <w:t>4</w:t>
            </w:r>
          </w:p>
        </w:tc>
      </w:tr>
    </w:tbl>
    <w:p>
      <w:pPr>
        <w:pStyle w:val="Normal"/>
        <w:rPr>
          <w:rFonts w:ascii="Times New Roman" w:hAnsi="Times New Roman"/>
          <w:color w:val="00000A"/>
          <w:sz w:val="24"/>
          <w:szCs w:val="24"/>
        </w:rPr>
      </w:pPr>
      <w:r>
        <w:rPr>
          <w:color w:val="00000A"/>
          <w:sz w:val="24"/>
          <w:szCs w:val="24"/>
        </w:rPr>
      </w:r>
      <w:r>
        <w:br w:type="page"/>
      </w:r>
    </w:p>
    <w:p>
      <w:pPr>
        <w:pStyle w:val="Normal"/>
        <w:ind w:firstLine="720"/>
        <w:rPr/>
      </w:pPr>
      <w:r>
        <w:rPr>
          <w:szCs w:val="24"/>
        </w:rPr>
        <w:t>TABLE 2. Coefficients from regression of response variables versus nine vegetation predictors.  The left model uses a logistic regression with the presence or absence of territorial agonistic behaviors as the response.  The right model uses a linear mixed model with distance to closest approach (m) as the response.  Values in bold are significant at p&lt;0.05.</w:t>
      </w:r>
    </w:p>
    <w:tbl>
      <w:tblPr>
        <w:tblStyle w:val="TableGrid"/>
        <w:tblW w:w="9575" w:type="dxa"/>
        <w:jc w:val="left"/>
        <w:tblInd w:w="0" w:type="dxa"/>
        <w:tblCellMar>
          <w:top w:w="0" w:type="dxa"/>
          <w:left w:w="113" w:type="dxa"/>
          <w:bottom w:w="0" w:type="dxa"/>
          <w:right w:w="108" w:type="dxa"/>
        </w:tblCellMar>
        <w:tblLook w:val="04a0" w:noVBand="1" w:noHBand="0" w:lastColumn="0" w:firstColumn="1" w:lastRow="0" w:firstRow="1"/>
      </w:tblPr>
      <w:tblGrid>
        <w:gridCol w:w="2716"/>
        <w:gridCol w:w="2788"/>
        <w:gridCol w:w="4071"/>
      </w:tblGrid>
      <w:tr>
        <w:trPr/>
        <w:tc>
          <w:tcPr>
            <w:tcW w:w="2716" w:type="dxa"/>
            <w:tcBorders>
              <w:top w:val="nil"/>
              <w:left w:val="nil"/>
              <w:bottom w:val="nil"/>
              <w:right w:val="nil"/>
              <w:insideH w:val="nil"/>
              <w:insideV w:val="nil"/>
            </w:tcBorders>
            <w:shd w:fill="auto" w:val="clear"/>
          </w:tcPr>
          <w:p>
            <w:pPr>
              <w:pStyle w:val="Normal"/>
              <w:spacing w:before="0" w:after="200"/>
              <w:rPr>
                <w:szCs w:val="24"/>
              </w:rPr>
            </w:pPr>
            <w:r>
              <w:rPr>
                <w:szCs w:val="24"/>
              </w:rPr>
            </w:r>
          </w:p>
        </w:tc>
        <w:tc>
          <w:tcPr>
            <w:tcW w:w="6859" w:type="dxa"/>
            <w:gridSpan w:val="2"/>
            <w:tcBorders>
              <w:left w:val="nil"/>
              <w:right w:val="nil"/>
              <w:insideV w:val="nil"/>
            </w:tcBorders>
            <w:shd w:fill="auto" w:val="clear"/>
          </w:tcPr>
          <w:p>
            <w:pPr>
              <w:pStyle w:val="Normal"/>
              <w:spacing w:before="0" w:after="200"/>
              <w:jc w:val="center"/>
              <w:rPr>
                <w:szCs w:val="24"/>
              </w:rPr>
            </w:pPr>
            <w:r>
              <w:rPr>
                <w:rFonts w:cs="Times New Roman"/>
                <w:szCs w:val="24"/>
              </w:rPr>
              <w:t>β±S.E. (p)</w:t>
            </w:r>
          </w:p>
        </w:tc>
      </w:tr>
      <w:tr>
        <w:trPr/>
        <w:tc>
          <w:tcPr>
            <w:tcW w:w="2716" w:type="dxa"/>
            <w:tcBorders>
              <w:top w:val="nil"/>
              <w:left w:val="nil"/>
              <w:right w:val="nil"/>
              <w:insideV w:val="nil"/>
            </w:tcBorders>
            <w:shd w:fill="auto" w:val="clear"/>
          </w:tcPr>
          <w:p>
            <w:pPr>
              <w:pStyle w:val="Normal"/>
              <w:spacing w:before="0" w:after="200"/>
              <w:rPr>
                <w:szCs w:val="24"/>
              </w:rPr>
            </w:pPr>
            <w:r>
              <w:rPr>
                <w:szCs w:val="24"/>
              </w:rPr>
            </w:r>
          </w:p>
        </w:tc>
        <w:tc>
          <w:tcPr>
            <w:tcW w:w="2788" w:type="dxa"/>
            <w:tcBorders>
              <w:left w:val="nil"/>
              <w:right w:val="nil"/>
              <w:insideV w:val="nil"/>
            </w:tcBorders>
            <w:shd w:fill="auto" w:val="clear"/>
          </w:tcPr>
          <w:p>
            <w:pPr>
              <w:pStyle w:val="Normal"/>
              <w:spacing w:before="0" w:after="200"/>
              <w:jc w:val="center"/>
              <w:rPr>
                <w:szCs w:val="24"/>
              </w:rPr>
            </w:pPr>
            <w:r>
              <w:rPr>
                <w:rFonts w:cs="Times New Roman"/>
                <w:szCs w:val="24"/>
              </w:rPr>
              <w:t>Defensive behaviors (0/1)</w:t>
            </w:r>
          </w:p>
        </w:tc>
        <w:tc>
          <w:tcPr>
            <w:tcW w:w="4071" w:type="dxa"/>
            <w:tcBorders>
              <w:left w:val="nil"/>
              <w:right w:val="nil"/>
              <w:insideV w:val="nil"/>
            </w:tcBorders>
            <w:shd w:fill="auto" w:val="clear"/>
          </w:tcPr>
          <w:p>
            <w:pPr>
              <w:pStyle w:val="Normal"/>
              <w:spacing w:before="0" w:after="200"/>
              <w:jc w:val="center"/>
              <w:rPr>
                <w:szCs w:val="24"/>
              </w:rPr>
            </w:pPr>
            <w:r>
              <w:rPr>
                <w:szCs w:val="24"/>
              </w:rPr>
              <w:t>Distance to closest approach (m)</w:t>
            </w:r>
          </w:p>
        </w:tc>
      </w:tr>
      <w:tr>
        <w:trPr/>
        <w:tc>
          <w:tcPr>
            <w:tcW w:w="2716" w:type="dxa"/>
            <w:tcBorders>
              <w:top w:val="nil"/>
              <w:left w:val="nil"/>
              <w:bottom w:val="nil"/>
              <w:right w:val="nil"/>
              <w:insideH w:val="nil"/>
              <w:insideV w:val="nil"/>
            </w:tcBorders>
            <w:shd w:fill="auto" w:val="clear"/>
          </w:tcPr>
          <w:p>
            <w:pPr>
              <w:pStyle w:val="Normal"/>
              <w:widowControl/>
              <w:bidi w:val="0"/>
              <w:spacing w:lineRule="auto" w:line="276" w:before="0" w:after="200"/>
              <w:jc w:val="left"/>
              <w:rPr>
                <w:szCs w:val="24"/>
              </w:rPr>
            </w:pPr>
            <w:r>
              <w:rPr>
                <w:szCs w:val="24"/>
              </w:rPr>
              <w:t>Daubenmire PC1</w:t>
            </w:r>
          </w:p>
        </w:tc>
        <w:tc>
          <w:tcPr>
            <w:tcW w:w="2788"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-0.09±0.19 (0.65)</w:t>
            </w:r>
          </w:p>
        </w:tc>
        <w:tc>
          <w:tcPr>
            <w:tcW w:w="4071"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0.37±3.58 (0.91)</w:t>
            </w:r>
          </w:p>
        </w:tc>
      </w:tr>
      <w:tr>
        <w:trPr/>
        <w:tc>
          <w:tcPr>
            <w:tcW w:w="2716" w:type="dxa"/>
            <w:tcBorders>
              <w:top w:val="nil"/>
              <w:left w:val="nil"/>
              <w:bottom w:val="nil"/>
              <w:right w:val="nil"/>
              <w:insideH w:val="nil"/>
              <w:insideV w:val="nil"/>
            </w:tcBorders>
            <w:shd w:fill="auto" w:val="clear"/>
          </w:tcPr>
          <w:p>
            <w:pPr>
              <w:pStyle w:val="Normal"/>
              <w:widowControl/>
              <w:bidi w:val="0"/>
              <w:spacing w:lineRule="auto" w:line="276" w:before="0" w:after="200"/>
              <w:jc w:val="left"/>
              <w:rPr>
                <w:szCs w:val="24"/>
              </w:rPr>
            </w:pPr>
            <w:r>
              <w:rPr>
                <w:szCs w:val="24"/>
              </w:rPr>
              <w:t>Daubenmire PC2</w:t>
            </w:r>
          </w:p>
        </w:tc>
        <w:tc>
          <w:tcPr>
            <w:tcW w:w="2788"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-0.11±0.19 (0.55)</w:t>
            </w:r>
          </w:p>
        </w:tc>
        <w:tc>
          <w:tcPr>
            <w:tcW w:w="4071"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1.56±3.48 (0.66)</w:t>
            </w:r>
          </w:p>
        </w:tc>
      </w:tr>
      <w:tr>
        <w:trPr/>
        <w:tc>
          <w:tcPr>
            <w:tcW w:w="2716" w:type="dxa"/>
            <w:tcBorders>
              <w:top w:val="nil"/>
              <w:left w:val="nil"/>
              <w:bottom w:val="nil"/>
              <w:right w:val="nil"/>
              <w:insideH w:val="nil"/>
              <w:insideV w:val="nil"/>
            </w:tcBorders>
            <w:shd w:fill="auto" w:val="clear"/>
          </w:tcPr>
          <w:p>
            <w:pPr>
              <w:pStyle w:val="Normal"/>
              <w:widowControl/>
              <w:bidi w:val="0"/>
              <w:spacing w:lineRule="auto" w:line="276" w:before="0" w:after="200"/>
              <w:jc w:val="left"/>
              <w:rPr>
                <w:szCs w:val="24"/>
              </w:rPr>
            </w:pPr>
            <w:r>
              <w:rPr>
                <w:szCs w:val="24"/>
              </w:rPr>
              <w:t>Daubenmire PC3</w:t>
            </w:r>
          </w:p>
        </w:tc>
        <w:tc>
          <w:tcPr>
            <w:tcW w:w="2788"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0.32±0.24 (0.18)</w:t>
            </w:r>
          </w:p>
        </w:tc>
        <w:tc>
          <w:tcPr>
            <w:tcW w:w="4071"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-0.50±3.45 (0.89)</w:t>
            </w:r>
          </w:p>
        </w:tc>
      </w:tr>
      <w:tr>
        <w:trPr/>
        <w:tc>
          <w:tcPr>
            <w:tcW w:w="2716" w:type="dxa"/>
            <w:tcBorders>
              <w:top w:val="nil"/>
              <w:left w:val="nil"/>
              <w:bottom w:val="nil"/>
              <w:right w:val="nil"/>
              <w:insideH w:val="nil"/>
              <w:insideV w:val="nil"/>
            </w:tcBorders>
            <w:shd w:fill="auto" w:val="clear"/>
          </w:tcPr>
          <w:p>
            <w:pPr>
              <w:pStyle w:val="Normal"/>
              <w:widowControl/>
              <w:bidi w:val="0"/>
              <w:spacing w:lineRule="auto" w:line="276" w:before="0" w:after="200"/>
              <w:jc w:val="left"/>
              <w:rPr>
                <w:szCs w:val="24"/>
              </w:rPr>
            </w:pPr>
            <w:r>
              <w:rPr>
                <w:szCs w:val="24"/>
              </w:rPr>
              <w:t>Tall shrubs/trees PC1</w:t>
            </w:r>
          </w:p>
        </w:tc>
        <w:tc>
          <w:tcPr>
            <w:tcW w:w="2788" w:type="dxa"/>
            <w:tcBorders>
              <w:top w:val="nil"/>
              <w:left w:val="nil"/>
              <w:bottom w:val="nil"/>
              <w:right w:val="nil"/>
              <w:insideH w:val="nil"/>
              <w:insideV w:val="nil"/>
            </w:tcBorders>
            <w:shd w:fill="auto" w:val="clear"/>
          </w:tcPr>
          <w:p>
            <w:pPr>
              <w:pStyle w:val="Normal"/>
              <w:spacing w:before="0" w:after="200"/>
              <w:jc w:val="center"/>
              <w:rPr>
                <w:b/>
                <w:b/>
                <w:bCs/>
              </w:rPr>
            </w:pPr>
            <w:r>
              <w:rPr>
                <w:rFonts w:cs="Times New Roman"/>
                <w:b/>
                <w:bCs/>
                <w:szCs w:val="24"/>
              </w:rPr>
              <w:t>-1.32±0.65 (0.04)</w:t>
            </w:r>
          </w:p>
        </w:tc>
        <w:tc>
          <w:tcPr>
            <w:tcW w:w="4071"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-1.11±9.54 (0.91)</w:t>
            </w:r>
          </w:p>
        </w:tc>
      </w:tr>
      <w:tr>
        <w:trPr/>
        <w:tc>
          <w:tcPr>
            <w:tcW w:w="2716" w:type="dxa"/>
            <w:tcBorders>
              <w:top w:val="nil"/>
              <w:left w:val="nil"/>
              <w:bottom w:val="nil"/>
              <w:right w:val="nil"/>
              <w:insideH w:val="nil"/>
              <w:insideV w:val="nil"/>
            </w:tcBorders>
            <w:shd w:fill="auto" w:val="clear"/>
          </w:tcPr>
          <w:p>
            <w:pPr>
              <w:pStyle w:val="Normal"/>
              <w:widowControl/>
              <w:bidi w:val="0"/>
              <w:spacing w:lineRule="auto" w:line="276" w:before="0" w:after="200"/>
              <w:jc w:val="left"/>
              <w:rPr>
                <w:szCs w:val="24"/>
              </w:rPr>
            </w:pPr>
            <w:r>
              <w:rPr>
                <w:szCs w:val="24"/>
              </w:rPr>
              <w:t>Tall shrubs/trees PC2</w:t>
            </w:r>
          </w:p>
        </w:tc>
        <w:tc>
          <w:tcPr>
            <w:tcW w:w="2788"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-0.11±0.49 (0.82)</w:t>
            </w:r>
          </w:p>
        </w:tc>
        <w:tc>
          <w:tcPr>
            <w:tcW w:w="4071"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-1.29±7.97 (0.87)</w:t>
            </w:r>
          </w:p>
        </w:tc>
      </w:tr>
      <w:tr>
        <w:trPr/>
        <w:tc>
          <w:tcPr>
            <w:tcW w:w="2716" w:type="dxa"/>
            <w:tcBorders>
              <w:top w:val="nil"/>
              <w:left w:val="nil"/>
              <w:bottom w:val="nil"/>
              <w:right w:val="nil"/>
              <w:insideH w:val="nil"/>
              <w:insideV w:val="nil"/>
            </w:tcBorders>
            <w:shd w:fill="auto" w:val="clear"/>
          </w:tcPr>
          <w:p>
            <w:pPr>
              <w:pStyle w:val="Normal"/>
              <w:widowControl/>
              <w:bidi w:val="0"/>
              <w:spacing w:lineRule="auto" w:line="276" w:before="0" w:after="200"/>
              <w:jc w:val="left"/>
              <w:rPr>
                <w:szCs w:val="24"/>
              </w:rPr>
            </w:pPr>
            <w:r>
              <w:rPr>
                <w:szCs w:val="24"/>
              </w:rPr>
              <w:t>Tall shrubs/trees PC3</w:t>
            </w:r>
          </w:p>
        </w:tc>
        <w:tc>
          <w:tcPr>
            <w:tcW w:w="2788"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-0.75±0.39 (0.05)</w:t>
            </w:r>
          </w:p>
        </w:tc>
        <w:tc>
          <w:tcPr>
            <w:tcW w:w="4071"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-3.82±6.63 (0.57)</w:t>
            </w:r>
          </w:p>
        </w:tc>
      </w:tr>
      <w:tr>
        <w:trPr/>
        <w:tc>
          <w:tcPr>
            <w:tcW w:w="2716" w:type="dxa"/>
            <w:tcBorders>
              <w:top w:val="nil"/>
              <w:left w:val="nil"/>
              <w:bottom w:val="nil"/>
              <w:right w:val="nil"/>
              <w:insideH w:val="nil"/>
              <w:insideV w:val="nil"/>
            </w:tcBorders>
            <w:shd w:fill="auto" w:val="clear"/>
          </w:tcPr>
          <w:p>
            <w:pPr>
              <w:pStyle w:val="Normal"/>
              <w:widowControl/>
              <w:bidi w:val="0"/>
              <w:spacing w:lineRule="auto" w:line="276" w:before="0" w:after="200"/>
              <w:jc w:val="left"/>
              <w:rPr>
                <w:szCs w:val="24"/>
              </w:rPr>
            </w:pPr>
            <w:r>
              <w:rPr>
                <w:szCs w:val="24"/>
              </w:rPr>
              <w:t>Short shrubs/trees PC1</w:t>
            </w:r>
          </w:p>
        </w:tc>
        <w:tc>
          <w:tcPr>
            <w:tcW w:w="2788" w:type="dxa"/>
            <w:tcBorders>
              <w:top w:val="nil"/>
              <w:left w:val="nil"/>
              <w:bottom w:val="nil"/>
              <w:right w:val="nil"/>
              <w:insideH w:val="nil"/>
              <w:insideV w:val="nil"/>
            </w:tcBorders>
            <w:shd w:fill="auto" w:val="clear"/>
          </w:tcPr>
          <w:p>
            <w:pPr>
              <w:pStyle w:val="Normal"/>
              <w:spacing w:before="0" w:after="200"/>
              <w:jc w:val="center"/>
              <w:rPr>
                <w:b/>
                <w:b/>
                <w:bCs/>
              </w:rPr>
            </w:pPr>
            <w:r>
              <w:rPr>
                <w:rFonts w:cs="Times New Roman"/>
                <w:b/>
                <w:bCs/>
                <w:szCs w:val="24"/>
              </w:rPr>
              <w:t>1.04±0.35 (&lt;0.01)</w:t>
            </w:r>
          </w:p>
        </w:tc>
        <w:tc>
          <w:tcPr>
            <w:tcW w:w="4071"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-0.95±4.89 (0.85)</w:t>
            </w:r>
          </w:p>
        </w:tc>
      </w:tr>
      <w:tr>
        <w:trPr/>
        <w:tc>
          <w:tcPr>
            <w:tcW w:w="2716" w:type="dxa"/>
            <w:tcBorders>
              <w:top w:val="nil"/>
              <w:left w:val="nil"/>
              <w:bottom w:val="nil"/>
              <w:right w:val="nil"/>
              <w:insideH w:val="nil"/>
              <w:insideV w:val="nil"/>
            </w:tcBorders>
            <w:shd w:fill="auto" w:val="clear"/>
          </w:tcPr>
          <w:p>
            <w:pPr>
              <w:pStyle w:val="Normal"/>
              <w:widowControl/>
              <w:bidi w:val="0"/>
              <w:spacing w:lineRule="auto" w:line="276" w:before="0" w:after="200"/>
              <w:jc w:val="left"/>
              <w:rPr>
                <w:szCs w:val="24"/>
              </w:rPr>
            </w:pPr>
            <w:r>
              <w:rPr>
                <w:szCs w:val="24"/>
              </w:rPr>
              <w:t>Short shrubs/trees PC2</w:t>
            </w:r>
          </w:p>
        </w:tc>
        <w:tc>
          <w:tcPr>
            <w:tcW w:w="2788"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0.25±0.32 (0.43)</w:t>
            </w:r>
          </w:p>
        </w:tc>
        <w:tc>
          <w:tcPr>
            <w:tcW w:w="4071" w:type="dxa"/>
            <w:tcBorders>
              <w:top w:val="nil"/>
              <w:left w:val="nil"/>
              <w:bottom w:val="nil"/>
              <w:right w:val="nil"/>
              <w:insideH w:val="nil"/>
              <w:insideV w:val="nil"/>
            </w:tcBorders>
            <w:shd w:fill="auto" w:val="clear"/>
          </w:tcPr>
          <w:p>
            <w:pPr>
              <w:pStyle w:val="Normal"/>
              <w:spacing w:before="0" w:after="200"/>
              <w:jc w:val="center"/>
              <w:rPr/>
            </w:pPr>
            <w:r>
              <w:rPr>
                <w:rFonts w:cs="Times New Roman"/>
                <w:szCs w:val="24"/>
              </w:rPr>
              <w:t>-2.18±6.53 (0.74)</w:t>
            </w:r>
          </w:p>
        </w:tc>
      </w:tr>
      <w:tr>
        <w:trPr/>
        <w:tc>
          <w:tcPr>
            <w:tcW w:w="2716" w:type="dxa"/>
            <w:tcBorders>
              <w:top w:val="nil"/>
              <w:left w:val="nil"/>
              <w:right w:val="nil"/>
              <w:insideV w:val="nil"/>
            </w:tcBorders>
            <w:shd w:fill="auto" w:val="clear"/>
          </w:tcPr>
          <w:p>
            <w:pPr>
              <w:pStyle w:val="Normal"/>
              <w:widowControl/>
              <w:bidi w:val="0"/>
              <w:spacing w:lineRule="auto" w:line="276" w:before="0" w:after="200"/>
              <w:jc w:val="left"/>
              <w:rPr>
                <w:szCs w:val="24"/>
              </w:rPr>
            </w:pPr>
            <w:r>
              <w:rPr>
                <w:szCs w:val="24"/>
              </w:rPr>
              <w:t>Short shrubs/trees PC3</w:t>
            </w:r>
          </w:p>
        </w:tc>
        <w:tc>
          <w:tcPr>
            <w:tcW w:w="2788" w:type="dxa"/>
            <w:tcBorders>
              <w:top w:val="nil"/>
              <w:left w:val="nil"/>
              <w:right w:val="nil"/>
              <w:insideV w:val="nil"/>
            </w:tcBorders>
            <w:shd w:fill="auto" w:val="clear"/>
          </w:tcPr>
          <w:p>
            <w:pPr>
              <w:pStyle w:val="Normal"/>
              <w:spacing w:before="0" w:after="200"/>
              <w:jc w:val="center"/>
              <w:rPr/>
            </w:pPr>
            <w:r>
              <w:rPr>
                <w:rFonts w:cs="Times New Roman"/>
                <w:szCs w:val="24"/>
              </w:rPr>
              <w:t>0.98±0.94 (0.30)</w:t>
            </w:r>
          </w:p>
        </w:tc>
        <w:tc>
          <w:tcPr>
            <w:tcW w:w="4071" w:type="dxa"/>
            <w:tcBorders>
              <w:top w:val="nil"/>
              <w:left w:val="nil"/>
              <w:right w:val="nil"/>
              <w:insideV w:val="nil"/>
            </w:tcBorders>
            <w:shd w:fill="auto" w:val="clear"/>
          </w:tcPr>
          <w:p>
            <w:pPr>
              <w:pStyle w:val="Normal"/>
              <w:spacing w:before="0" w:after="200"/>
              <w:jc w:val="center"/>
              <w:rPr/>
            </w:pPr>
            <w:r>
              <w:rPr>
                <w:rFonts w:cs="Times New Roman"/>
                <w:szCs w:val="24"/>
              </w:rPr>
              <w:t>-0.02±2.85 (1.00)</w:t>
            </w:r>
          </w:p>
        </w:tc>
      </w:tr>
    </w:tbl>
    <w:p>
      <w:pPr>
        <w:pStyle w:val="Normal"/>
        <w:ind w:firstLine="720"/>
        <w:rPr>
          <w:rFonts w:ascii="Lucida Console" w:hAnsi="Lucida Console" w:eastAsia="Times New Roman" w:cs="Courier New"/>
          <w:color w:val="000000"/>
          <w:sz w:val="20"/>
          <w:szCs w:val="20"/>
        </w:rPr>
      </w:pPr>
      <w:r>
        <w:rPr>
          <w:rFonts w:eastAsia="Times New Roman" w:cs="Courier New" w:ascii="Lucida Console" w:hAnsi="Lucida Console"/>
          <w:color w:val="000000"/>
          <w:sz w:val="20"/>
          <w:szCs w:val="20"/>
        </w:rPr>
      </w:r>
    </w:p>
    <w:p>
      <w:pPr>
        <w:pStyle w:val="Normal"/>
        <w:spacing w:lineRule="auto" w:line="240" w:before="0" w:after="0"/>
        <w:rPr>
          <w:rFonts w:ascii="Lucida Console" w:hAnsi="Lucida Console" w:eastAsia="Times New Roman" w:cs="Courier New"/>
          <w:color w:val="000000"/>
          <w:sz w:val="20"/>
          <w:szCs w:val="20"/>
        </w:rPr>
      </w:pPr>
      <w:r>
        <w:rPr>
          <w:rFonts w:eastAsia="Times New Roman" w:cs="Courier New" w:ascii="Lucida Console" w:hAnsi="Lucida Console"/>
          <w:color w:val="000000"/>
          <w:sz w:val="20"/>
          <w:szCs w:val="20"/>
        </w:rPr>
      </w:r>
      <w:r>
        <w:br w:type="page"/>
      </w:r>
    </w:p>
    <w:p>
      <w:pPr>
        <w:pStyle w:val="Normal"/>
        <w:rPr/>
      </w:pPr>
      <w:r>
        <w:rPr>
          <w:szCs w:val="24"/>
        </w:rPr>
        <w:t>TABLE 3. Principle components analysis loadings for principle component axes that were sig</w:t>
      </w:r>
      <w:bookmarkStart w:id="369" w:name="_GoBack"/>
      <w:bookmarkEnd w:id="369"/>
      <w:r>
        <w:rPr>
          <w:szCs w:val="24"/>
        </w:rPr>
        <w:t>nificant in vegetation regressions.  Loa</w:t>
      </w:r>
      <w:r>
        <w:rPr>
          <w:color w:val="00000A"/>
          <w:sz w:val="24"/>
          <w:szCs w:val="24"/>
        </w:rPr>
        <w:t xml:space="preserve">dings </w:t>
      </w:r>
      <w:r>
        <w:rPr>
          <w:rFonts w:eastAsia="Ubuntu" w:cs="Ubuntu"/>
          <w:color w:val="00000A"/>
          <w:sz w:val="24"/>
          <w:szCs w:val="24"/>
        </w:rPr>
        <w:t xml:space="preserve">≥|0.33| are interpreted </w:t>
      </w:r>
      <w:bookmarkStart w:id="370" w:name="__UnoMark__1505_782143424"/>
      <w:bookmarkStart w:id="371" w:name="ZOTERO_BREF_AxlUzyF5ZCLf"/>
      <w:r>
        <w:rPr>
          <w:rFonts w:eastAsia="Ubuntu" w:cs="Ubuntu"/>
          <w:color w:val="00000A"/>
          <w:sz w:val="24"/>
          <w:szCs w:val="24"/>
        </w:rPr>
        <w:t>(Tabachnick and Fidell 2007)</w:t>
      </w:r>
      <w:bookmarkStart w:id="372" w:name="__UnoMark__1605_782143424"/>
      <w:bookmarkEnd w:id="370"/>
      <w:bookmarkEnd w:id="371"/>
      <w:bookmarkEnd w:id="372"/>
      <w:r>
        <w:rPr/>
        <w:t>.</w:t>
      </w:r>
    </w:p>
    <w:tbl>
      <w:tblPr>
        <w:tblStyle w:val="TableGrid"/>
        <w:tblW w:w="9573" w:type="dxa"/>
        <w:jc w:val="left"/>
        <w:tblInd w:w="0" w:type="dxa"/>
        <w:tblCellMar>
          <w:top w:w="0" w:type="dxa"/>
          <w:left w:w="113" w:type="dxa"/>
          <w:bottom w:w="0" w:type="dxa"/>
          <w:right w:w="108" w:type="dxa"/>
        </w:tblCellMar>
        <w:tblLook w:val="04a0" w:noVBand="1" w:noHBand="0" w:lastColumn="0" w:firstColumn="1" w:lastRow="0" w:firstRow="1"/>
      </w:tblPr>
      <w:tblGrid>
        <w:gridCol w:w="2339"/>
        <w:gridCol w:w="2412"/>
        <w:gridCol w:w="2411"/>
        <w:gridCol w:w="2410"/>
      </w:tblGrid>
      <w:tr>
        <w:trPr/>
        <w:tc>
          <w:tcPr>
            <w:tcW w:w="2339" w:type="dxa"/>
            <w:tcBorders>
              <w:top w:val="nil"/>
              <w:left w:val="nil"/>
              <w:right w:val="nil"/>
              <w:insideV w:val="nil"/>
            </w:tcBorders>
            <w:shd w:fill="auto" w:val="clear"/>
          </w:tcPr>
          <w:p>
            <w:pPr>
              <w:pStyle w:val="Normal"/>
              <w:spacing w:before="0" w:after="200"/>
              <w:rPr>
                <w:szCs w:val="24"/>
              </w:rPr>
            </w:pPr>
            <w:r>
              <w:rPr>
                <w:szCs w:val="24"/>
              </w:rPr>
            </w:r>
          </w:p>
        </w:tc>
        <w:tc>
          <w:tcPr>
            <w:tcW w:w="2412" w:type="dxa"/>
            <w:tcBorders>
              <w:left w:val="nil"/>
              <w:right w:val="nil"/>
              <w:insideV w:val="nil"/>
            </w:tcBorders>
            <w:shd w:fill="auto" w:val="clear"/>
          </w:tcPr>
          <w:p>
            <w:pPr>
              <w:pStyle w:val="Normal"/>
              <w:spacing w:before="0" w:after="200"/>
              <w:jc w:val="center"/>
              <w:rPr>
                <w:szCs w:val="24"/>
              </w:rPr>
            </w:pPr>
            <w:r>
              <w:rPr>
                <w:szCs w:val="24"/>
              </w:rPr>
              <w:t>Tall shrubs/trees PC1</w:t>
            </w:r>
          </w:p>
        </w:tc>
        <w:tc>
          <w:tcPr>
            <w:tcW w:w="2411" w:type="dxa"/>
            <w:tcBorders>
              <w:left w:val="nil"/>
              <w:right w:val="nil"/>
              <w:insideV w:val="nil"/>
            </w:tcBorders>
            <w:shd w:fill="auto" w:val="clear"/>
          </w:tcPr>
          <w:p>
            <w:pPr>
              <w:pStyle w:val="Normal"/>
              <w:spacing w:before="0" w:after="200"/>
              <w:jc w:val="center"/>
              <w:rPr>
                <w:szCs w:val="24"/>
              </w:rPr>
            </w:pPr>
            <w:r>
              <w:rPr>
                <w:szCs w:val="24"/>
              </w:rPr>
              <w:t>Short shrubs/trees PC1</w:t>
            </w:r>
          </w:p>
        </w:tc>
        <w:tc>
          <w:tcPr>
            <w:tcW w:w="2410" w:type="dxa"/>
            <w:tcBorders>
              <w:left w:val="nil"/>
              <w:right w:val="nil"/>
              <w:insideV w:val="nil"/>
            </w:tcBorders>
            <w:shd w:fill="auto" w:val="clear"/>
          </w:tcPr>
          <w:p>
            <w:pPr>
              <w:pStyle w:val="Normal"/>
              <w:spacing w:before="0" w:after="200"/>
              <w:jc w:val="center"/>
              <w:rPr/>
            </w:pPr>
            <w:r>
              <w:rPr>
                <w:szCs w:val="24"/>
              </w:rPr>
              <w:t>Tall shrubs/trees PC3</w:t>
            </w:r>
          </w:p>
        </w:tc>
      </w:tr>
      <w:tr>
        <w:trPr/>
        <w:tc>
          <w:tcPr>
            <w:tcW w:w="2339" w:type="dxa"/>
            <w:tcBorders>
              <w:top w:val="nil"/>
              <w:left w:val="nil"/>
              <w:bottom w:val="nil"/>
              <w:right w:val="nil"/>
              <w:insideH w:val="nil"/>
              <w:insideV w:val="nil"/>
            </w:tcBorders>
            <w:shd w:fill="auto" w:val="clear"/>
          </w:tcPr>
          <w:p>
            <w:pPr>
              <w:pStyle w:val="Normal"/>
              <w:widowControl/>
              <w:bidi w:val="0"/>
              <w:spacing w:lineRule="auto" w:line="276" w:before="0" w:after="200"/>
              <w:jc w:val="left"/>
              <w:rPr/>
            </w:pPr>
            <w:r>
              <w:rPr>
                <w:szCs w:val="24"/>
              </w:rPr>
              <w:t>Yucca (</w:t>
            </w:r>
            <w:r>
              <w:rPr>
                <w:i/>
                <w:iCs/>
                <w:szCs w:val="24"/>
              </w:rPr>
              <w:t>Yucca</w:t>
            </w:r>
            <w:r>
              <w:rPr>
                <w:szCs w:val="24"/>
              </w:rPr>
              <w:t xml:space="preserve"> sp.)</w:t>
            </w:r>
          </w:p>
        </w:tc>
        <w:tc>
          <w:tcPr>
            <w:tcW w:w="2412" w:type="dxa"/>
            <w:tcBorders>
              <w:top w:val="nil"/>
              <w:left w:val="nil"/>
              <w:bottom w:val="nil"/>
              <w:right w:val="nil"/>
              <w:insideH w:val="nil"/>
              <w:insideV w:val="nil"/>
            </w:tcBorders>
            <w:shd w:fill="auto" w:val="clear"/>
          </w:tcPr>
          <w:p>
            <w:pPr>
              <w:pStyle w:val="Normal"/>
              <w:spacing w:before="0" w:after="200"/>
              <w:jc w:val="center"/>
              <w:rPr>
                <w:szCs w:val="24"/>
              </w:rPr>
            </w:pPr>
            <w:r>
              <w:rPr>
                <w:szCs w:val="24"/>
              </w:rPr>
              <w:t>0.02</w:t>
            </w:r>
          </w:p>
        </w:tc>
        <w:tc>
          <w:tcPr>
            <w:tcW w:w="2411" w:type="dxa"/>
            <w:tcBorders>
              <w:top w:val="nil"/>
              <w:left w:val="nil"/>
              <w:bottom w:val="nil"/>
              <w:right w:val="nil"/>
              <w:insideH w:val="nil"/>
              <w:insideV w:val="nil"/>
            </w:tcBorders>
            <w:shd w:fill="auto" w:val="clear"/>
          </w:tcPr>
          <w:p>
            <w:pPr>
              <w:pStyle w:val="Normal"/>
              <w:spacing w:before="0" w:after="200"/>
              <w:jc w:val="center"/>
              <w:rPr>
                <w:b/>
                <w:b/>
                <w:szCs w:val="24"/>
              </w:rPr>
            </w:pPr>
            <w:r>
              <w:rPr>
                <w:b/>
                <w:szCs w:val="24"/>
              </w:rPr>
              <w:t>-0.38</w:t>
            </w:r>
          </w:p>
        </w:tc>
        <w:tc>
          <w:tcPr>
            <w:tcW w:w="2410" w:type="dxa"/>
            <w:tcBorders>
              <w:top w:val="nil"/>
              <w:left w:val="nil"/>
              <w:bottom w:val="nil"/>
              <w:right w:val="nil"/>
              <w:insideH w:val="nil"/>
              <w:insideV w:val="nil"/>
            </w:tcBorders>
            <w:shd w:fill="auto" w:val="clear"/>
          </w:tcPr>
          <w:p>
            <w:pPr>
              <w:pStyle w:val="Normal"/>
              <w:spacing w:before="0" w:after="200"/>
              <w:jc w:val="center"/>
              <w:rPr>
                <w:b/>
                <w:b/>
                <w:bCs/>
              </w:rPr>
            </w:pPr>
            <w:r>
              <w:rPr>
                <w:b/>
                <w:bCs/>
              </w:rPr>
              <w:t>-0.76</w:t>
            </w:r>
          </w:p>
        </w:tc>
      </w:tr>
      <w:tr>
        <w:trPr/>
        <w:tc>
          <w:tcPr>
            <w:tcW w:w="2339" w:type="dxa"/>
            <w:tcBorders>
              <w:top w:val="nil"/>
              <w:left w:val="nil"/>
              <w:bottom w:val="nil"/>
              <w:right w:val="nil"/>
              <w:insideH w:val="nil"/>
              <w:insideV w:val="nil"/>
            </w:tcBorders>
            <w:shd w:fill="auto" w:val="clear"/>
          </w:tcPr>
          <w:p>
            <w:pPr>
              <w:pStyle w:val="Normal"/>
              <w:spacing w:before="0" w:after="200"/>
              <w:rPr>
                <w:rFonts w:ascii="Times New Roman" w:hAnsi="Times New Roman"/>
                <w:color w:val="00000A"/>
                <w:sz w:val="24"/>
                <w:szCs w:val="24"/>
              </w:rPr>
            </w:pPr>
            <w:r>
              <w:rPr>
                <w:color w:val="00000A"/>
                <w:sz w:val="24"/>
                <w:szCs w:val="24"/>
              </w:rPr>
              <w:t>Sagebrush (</w:t>
            </w:r>
            <w:r>
              <w:rPr>
                <w:b w:val="false"/>
                <w:i/>
                <w:iCs/>
                <w:caps w:val="false"/>
                <w:smallCaps w:val="false"/>
                <w:color w:val="00000A"/>
                <w:spacing w:val="0"/>
                <w:sz w:val="24"/>
                <w:szCs w:val="24"/>
              </w:rPr>
              <w:t>Artemisia</w:t>
            </w:r>
            <w:r>
              <w:rPr>
                <w:b w:val="false"/>
                <w:i w:val="false"/>
                <w:caps w:val="false"/>
                <w:smallCaps w:val="false"/>
                <w:color w:val="00000A"/>
                <w:spacing w:val="0"/>
                <w:sz w:val="24"/>
                <w:szCs w:val="24"/>
              </w:rPr>
              <w:t xml:space="preserve"> sp.)</w:t>
            </w:r>
          </w:p>
        </w:tc>
        <w:tc>
          <w:tcPr>
            <w:tcW w:w="2412" w:type="dxa"/>
            <w:tcBorders>
              <w:top w:val="nil"/>
              <w:left w:val="nil"/>
              <w:bottom w:val="nil"/>
              <w:right w:val="nil"/>
              <w:insideH w:val="nil"/>
              <w:insideV w:val="nil"/>
            </w:tcBorders>
            <w:shd w:fill="auto" w:val="clear"/>
          </w:tcPr>
          <w:p>
            <w:pPr>
              <w:pStyle w:val="Normal"/>
              <w:spacing w:before="0" w:after="200"/>
              <w:jc w:val="center"/>
              <w:rPr>
                <w:b/>
                <w:b/>
                <w:szCs w:val="24"/>
              </w:rPr>
            </w:pPr>
            <w:r>
              <w:rPr>
                <w:b/>
                <w:szCs w:val="24"/>
              </w:rPr>
              <w:t>0.65</w:t>
            </w:r>
          </w:p>
        </w:tc>
        <w:tc>
          <w:tcPr>
            <w:tcW w:w="2411" w:type="dxa"/>
            <w:tcBorders>
              <w:top w:val="nil"/>
              <w:left w:val="nil"/>
              <w:bottom w:val="nil"/>
              <w:right w:val="nil"/>
              <w:insideH w:val="nil"/>
              <w:insideV w:val="nil"/>
            </w:tcBorders>
            <w:shd w:fill="auto" w:val="clear"/>
          </w:tcPr>
          <w:p>
            <w:pPr>
              <w:pStyle w:val="Normal"/>
              <w:spacing w:before="0" w:after="200"/>
              <w:jc w:val="center"/>
              <w:rPr>
                <w:b/>
                <w:b/>
                <w:szCs w:val="24"/>
              </w:rPr>
            </w:pPr>
            <w:r>
              <w:rPr>
                <w:b/>
                <w:szCs w:val="24"/>
              </w:rPr>
              <w:t>0.72</w:t>
            </w:r>
          </w:p>
        </w:tc>
        <w:tc>
          <w:tcPr>
            <w:tcW w:w="2410" w:type="dxa"/>
            <w:tcBorders>
              <w:top w:val="nil"/>
              <w:left w:val="nil"/>
              <w:bottom w:val="nil"/>
              <w:right w:val="nil"/>
              <w:insideH w:val="nil"/>
              <w:insideV w:val="nil"/>
            </w:tcBorders>
            <w:shd w:fill="auto" w:val="clear"/>
          </w:tcPr>
          <w:p>
            <w:pPr>
              <w:pStyle w:val="Normal"/>
              <w:spacing w:before="0" w:after="200"/>
              <w:jc w:val="center"/>
              <w:rPr/>
            </w:pPr>
            <w:r>
              <w:rPr/>
              <w:t>0.13</w:t>
            </w:r>
          </w:p>
        </w:tc>
      </w:tr>
      <w:tr>
        <w:trPr/>
        <w:tc>
          <w:tcPr>
            <w:tcW w:w="2339" w:type="dxa"/>
            <w:tcBorders>
              <w:top w:val="nil"/>
              <w:left w:val="nil"/>
              <w:bottom w:val="nil"/>
              <w:right w:val="nil"/>
              <w:insideH w:val="nil"/>
              <w:insideV w:val="nil"/>
            </w:tcBorders>
            <w:shd w:fill="auto" w:val="clear"/>
          </w:tcPr>
          <w:p>
            <w:pPr>
              <w:pStyle w:val="Normal"/>
              <w:widowControl/>
              <w:bidi w:val="0"/>
              <w:spacing w:lineRule="auto" w:line="276" w:before="0" w:after="200"/>
              <w:jc w:val="left"/>
              <w:rPr/>
            </w:pPr>
            <w:r>
              <w:rPr>
                <w:szCs w:val="24"/>
              </w:rPr>
              <w:t>Sandplum (</w:t>
            </w:r>
            <w:r>
              <w:rPr>
                <w:i/>
                <w:iCs/>
                <w:szCs w:val="24"/>
              </w:rPr>
              <w:t>Prunus</w:t>
            </w:r>
            <w:r>
              <w:rPr>
                <w:szCs w:val="24"/>
              </w:rPr>
              <w:t xml:space="preserve"> sp.)</w:t>
            </w:r>
          </w:p>
        </w:tc>
        <w:tc>
          <w:tcPr>
            <w:tcW w:w="2412" w:type="dxa"/>
            <w:tcBorders>
              <w:top w:val="nil"/>
              <w:left w:val="nil"/>
              <w:bottom w:val="nil"/>
              <w:right w:val="nil"/>
              <w:insideH w:val="nil"/>
              <w:insideV w:val="nil"/>
            </w:tcBorders>
            <w:shd w:fill="auto" w:val="clear"/>
          </w:tcPr>
          <w:p>
            <w:pPr>
              <w:pStyle w:val="Normal"/>
              <w:spacing w:before="0" w:after="200"/>
              <w:jc w:val="center"/>
              <w:rPr>
                <w:b/>
                <w:b/>
                <w:szCs w:val="24"/>
              </w:rPr>
            </w:pPr>
            <w:r>
              <w:rPr>
                <w:b/>
                <w:szCs w:val="24"/>
              </w:rPr>
              <w:t>0.59</w:t>
            </w:r>
          </w:p>
        </w:tc>
        <w:tc>
          <w:tcPr>
            <w:tcW w:w="2411" w:type="dxa"/>
            <w:tcBorders>
              <w:top w:val="nil"/>
              <w:left w:val="nil"/>
              <w:bottom w:val="nil"/>
              <w:right w:val="nil"/>
              <w:insideH w:val="nil"/>
              <w:insideV w:val="nil"/>
            </w:tcBorders>
            <w:shd w:fill="auto" w:val="clear"/>
          </w:tcPr>
          <w:p>
            <w:pPr>
              <w:pStyle w:val="Normal"/>
              <w:spacing w:before="0" w:after="200"/>
              <w:jc w:val="center"/>
              <w:rPr>
                <w:b/>
                <w:b/>
                <w:szCs w:val="24"/>
              </w:rPr>
            </w:pPr>
            <w:r>
              <w:rPr>
                <w:b/>
                <w:szCs w:val="24"/>
              </w:rPr>
              <w:t>0.59</w:t>
            </w:r>
          </w:p>
        </w:tc>
        <w:tc>
          <w:tcPr>
            <w:tcW w:w="2410" w:type="dxa"/>
            <w:tcBorders>
              <w:top w:val="nil"/>
              <w:left w:val="nil"/>
              <w:bottom w:val="nil"/>
              <w:right w:val="nil"/>
              <w:insideH w:val="nil"/>
              <w:insideV w:val="nil"/>
            </w:tcBorders>
            <w:shd w:fill="auto" w:val="clear"/>
          </w:tcPr>
          <w:p>
            <w:pPr>
              <w:pStyle w:val="Normal"/>
              <w:spacing w:before="0" w:after="200"/>
              <w:jc w:val="center"/>
              <w:rPr/>
            </w:pPr>
            <w:r>
              <w:rPr/>
              <w:t>0.28</w:t>
            </w:r>
          </w:p>
        </w:tc>
      </w:tr>
      <w:tr>
        <w:trPr/>
        <w:tc>
          <w:tcPr>
            <w:tcW w:w="2339" w:type="dxa"/>
            <w:tcBorders>
              <w:top w:val="nil"/>
              <w:left w:val="nil"/>
              <w:bottom w:val="nil"/>
              <w:right w:val="nil"/>
              <w:insideH w:val="nil"/>
              <w:insideV w:val="nil"/>
            </w:tcBorders>
            <w:shd w:fill="auto" w:val="clear"/>
          </w:tcPr>
          <w:p>
            <w:pPr>
              <w:pStyle w:val="Normal"/>
              <w:spacing w:before="0" w:after="200"/>
              <w:rPr>
                <w:rFonts w:ascii="Times New Roman" w:hAnsi="Times New Roman"/>
                <w:color w:val="00000A"/>
                <w:sz w:val="24"/>
                <w:szCs w:val="24"/>
              </w:rPr>
            </w:pPr>
            <w:r>
              <w:rPr>
                <w:color w:val="00000A"/>
                <w:sz w:val="24"/>
                <w:szCs w:val="24"/>
              </w:rPr>
              <w:t>Cholla (</w:t>
            </w:r>
            <w:r>
              <w:rPr>
                <w:b w:val="false"/>
                <w:i/>
                <w:iCs/>
                <w:caps w:val="false"/>
                <w:smallCaps w:val="false"/>
                <w:color w:val="00000A"/>
                <w:spacing w:val="0"/>
                <w:sz w:val="24"/>
                <w:szCs w:val="24"/>
              </w:rPr>
              <w:t>Cylindropuntia</w:t>
            </w:r>
            <w:r>
              <w:rPr>
                <w:b w:val="false"/>
                <w:i w:val="false"/>
                <w:caps w:val="false"/>
                <w:smallCaps w:val="false"/>
                <w:color w:val="00000A"/>
                <w:spacing w:val="0"/>
                <w:sz w:val="24"/>
                <w:szCs w:val="24"/>
              </w:rPr>
              <w:t xml:space="preserve"> sp.)</w:t>
            </w:r>
          </w:p>
        </w:tc>
        <w:tc>
          <w:tcPr>
            <w:tcW w:w="2412" w:type="dxa"/>
            <w:tcBorders>
              <w:top w:val="nil"/>
              <w:left w:val="nil"/>
              <w:bottom w:val="nil"/>
              <w:right w:val="nil"/>
              <w:insideH w:val="nil"/>
              <w:insideV w:val="nil"/>
            </w:tcBorders>
            <w:shd w:fill="auto" w:val="clear"/>
          </w:tcPr>
          <w:p>
            <w:pPr>
              <w:pStyle w:val="Normal"/>
              <w:spacing w:before="0" w:after="200"/>
              <w:jc w:val="center"/>
              <w:rPr>
                <w:b/>
                <w:b/>
                <w:szCs w:val="24"/>
              </w:rPr>
            </w:pPr>
            <w:r>
              <w:rPr>
                <w:b/>
                <w:szCs w:val="24"/>
              </w:rPr>
              <w:t>-0.53</w:t>
            </w:r>
          </w:p>
        </w:tc>
        <w:tc>
          <w:tcPr>
            <w:tcW w:w="2411" w:type="dxa"/>
            <w:tcBorders>
              <w:top w:val="nil"/>
              <w:left w:val="nil"/>
              <w:bottom w:val="nil"/>
              <w:right w:val="nil"/>
              <w:insideH w:val="nil"/>
              <w:insideV w:val="nil"/>
            </w:tcBorders>
            <w:shd w:fill="auto" w:val="clear"/>
          </w:tcPr>
          <w:p>
            <w:pPr>
              <w:pStyle w:val="Normal"/>
              <w:spacing w:before="0" w:after="200"/>
              <w:jc w:val="center"/>
              <w:rPr>
                <w:b/>
                <w:b/>
                <w:szCs w:val="24"/>
              </w:rPr>
            </w:pPr>
            <w:r>
              <w:rPr>
                <w:b/>
                <w:szCs w:val="24"/>
              </w:rPr>
              <w:t>-0.38</w:t>
            </w:r>
          </w:p>
        </w:tc>
        <w:tc>
          <w:tcPr>
            <w:tcW w:w="2410" w:type="dxa"/>
            <w:tcBorders>
              <w:top w:val="nil"/>
              <w:left w:val="nil"/>
              <w:bottom w:val="nil"/>
              <w:right w:val="nil"/>
              <w:insideH w:val="nil"/>
              <w:insideV w:val="nil"/>
            </w:tcBorders>
            <w:shd w:fill="auto" w:val="clear"/>
          </w:tcPr>
          <w:p>
            <w:pPr>
              <w:pStyle w:val="Normal"/>
              <w:spacing w:before="0" w:after="200"/>
              <w:jc w:val="center"/>
              <w:rPr/>
            </w:pPr>
            <w:r>
              <w:rPr/>
              <w:t>0.27</w:t>
            </w:r>
          </w:p>
        </w:tc>
      </w:tr>
      <w:tr>
        <w:trPr/>
        <w:tc>
          <w:tcPr>
            <w:tcW w:w="2339" w:type="dxa"/>
            <w:tcBorders>
              <w:top w:val="nil"/>
              <w:left w:val="nil"/>
              <w:bottom w:val="nil"/>
              <w:right w:val="nil"/>
              <w:insideH w:val="nil"/>
              <w:insideV w:val="nil"/>
            </w:tcBorders>
            <w:shd w:fill="auto" w:val="clear"/>
          </w:tcPr>
          <w:p>
            <w:pPr>
              <w:pStyle w:val="Normal"/>
              <w:spacing w:before="0" w:after="200"/>
              <w:rPr/>
            </w:pPr>
            <w:r>
              <w:rPr>
                <w:szCs w:val="24"/>
              </w:rPr>
              <w:t>Trees</w:t>
            </w:r>
          </w:p>
        </w:tc>
        <w:tc>
          <w:tcPr>
            <w:tcW w:w="2412" w:type="dxa"/>
            <w:tcBorders>
              <w:top w:val="nil"/>
              <w:left w:val="nil"/>
              <w:bottom w:val="nil"/>
              <w:right w:val="nil"/>
              <w:insideH w:val="nil"/>
              <w:insideV w:val="nil"/>
            </w:tcBorders>
            <w:shd w:fill="auto" w:val="clear"/>
          </w:tcPr>
          <w:p>
            <w:pPr>
              <w:pStyle w:val="Normal"/>
              <w:spacing w:before="0" w:after="200"/>
              <w:jc w:val="center"/>
              <w:rPr>
                <w:szCs w:val="24"/>
              </w:rPr>
            </w:pPr>
            <w:r>
              <w:rPr>
                <w:szCs w:val="24"/>
              </w:rPr>
              <w:t>-0.04</w:t>
            </w:r>
          </w:p>
        </w:tc>
        <w:tc>
          <w:tcPr>
            <w:tcW w:w="2411" w:type="dxa"/>
            <w:tcBorders>
              <w:top w:val="nil"/>
              <w:left w:val="nil"/>
              <w:bottom w:val="nil"/>
              <w:right w:val="nil"/>
              <w:insideH w:val="nil"/>
              <w:insideV w:val="nil"/>
            </w:tcBorders>
            <w:shd w:fill="auto" w:val="clear"/>
          </w:tcPr>
          <w:p>
            <w:pPr>
              <w:pStyle w:val="Normal"/>
              <w:spacing w:before="0" w:after="200"/>
              <w:jc w:val="center"/>
              <w:rPr>
                <w:szCs w:val="24"/>
              </w:rPr>
            </w:pPr>
            <w:r>
              <w:rPr>
                <w:szCs w:val="24"/>
              </w:rPr>
              <w:t>0.01</w:t>
            </w:r>
          </w:p>
        </w:tc>
        <w:tc>
          <w:tcPr>
            <w:tcW w:w="2410" w:type="dxa"/>
            <w:tcBorders>
              <w:top w:val="nil"/>
              <w:left w:val="nil"/>
              <w:bottom w:val="nil"/>
              <w:right w:val="nil"/>
              <w:insideH w:val="nil"/>
              <w:insideV w:val="nil"/>
            </w:tcBorders>
            <w:shd w:fill="auto" w:val="clear"/>
          </w:tcPr>
          <w:p>
            <w:pPr>
              <w:pStyle w:val="Normal"/>
              <w:spacing w:before="0" w:after="200"/>
              <w:jc w:val="center"/>
              <w:rPr>
                <w:b/>
                <w:b/>
                <w:bCs/>
              </w:rPr>
            </w:pPr>
            <w:r>
              <w:rPr>
                <w:b/>
                <w:bCs/>
              </w:rPr>
              <w:t>0.53</w:t>
            </w:r>
          </w:p>
        </w:tc>
      </w:tr>
      <w:tr>
        <w:trPr/>
        <w:tc>
          <w:tcPr>
            <w:tcW w:w="2339" w:type="dxa"/>
            <w:tcBorders>
              <w:top w:val="nil"/>
              <w:left w:val="nil"/>
              <w:right w:val="nil"/>
              <w:insideV w:val="nil"/>
            </w:tcBorders>
            <w:shd w:fill="auto" w:val="clear"/>
          </w:tcPr>
          <w:p>
            <w:pPr>
              <w:pStyle w:val="Normal"/>
              <w:widowControl/>
              <w:bidi w:val="0"/>
              <w:spacing w:lineRule="auto" w:line="276" w:before="0" w:after="200"/>
              <w:jc w:val="left"/>
              <w:rPr>
                <w:szCs w:val="24"/>
              </w:rPr>
            </w:pPr>
            <w:r>
              <w:rPr>
                <w:szCs w:val="24"/>
              </w:rPr>
              <w:t>Other shrubs</w:t>
            </w:r>
          </w:p>
        </w:tc>
        <w:tc>
          <w:tcPr>
            <w:tcW w:w="2412" w:type="dxa"/>
            <w:tcBorders>
              <w:top w:val="nil"/>
              <w:left w:val="nil"/>
              <w:right w:val="nil"/>
              <w:insideV w:val="nil"/>
            </w:tcBorders>
            <w:shd w:fill="auto" w:val="clear"/>
          </w:tcPr>
          <w:p>
            <w:pPr>
              <w:pStyle w:val="Normal"/>
              <w:spacing w:before="0" w:after="200"/>
              <w:jc w:val="center"/>
              <w:rPr>
                <w:b/>
                <w:b/>
                <w:szCs w:val="24"/>
              </w:rPr>
            </w:pPr>
            <w:r>
              <w:rPr>
                <w:b/>
                <w:szCs w:val="24"/>
              </w:rPr>
              <w:t>-0.56</w:t>
            </w:r>
          </w:p>
        </w:tc>
        <w:tc>
          <w:tcPr>
            <w:tcW w:w="2411" w:type="dxa"/>
            <w:tcBorders>
              <w:top w:val="nil"/>
              <w:left w:val="nil"/>
              <w:right w:val="nil"/>
              <w:insideV w:val="nil"/>
            </w:tcBorders>
            <w:shd w:fill="auto" w:val="clear"/>
          </w:tcPr>
          <w:p>
            <w:pPr>
              <w:pStyle w:val="Normal"/>
              <w:spacing w:before="0" w:after="200"/>
              <w:jc w:val="center"/>
              <w:rPr>
                <w:b/>
                <w:b/>
                <w:szCs w:val="24"/>
              </w:rPr>
            </w:pPr>
            <w:r>
              <w:rPr>
                <w:b/>
                <w:szCs w:val="24"/>
              </w:rPr>
              <w:t>-0.42</w:t>
            </w:r>
          </w:p>
        </w:tc>
        <w:tc>
          <w:tcPr>
            <w:tcW w:w="2410" w:type="dxa"/>
            <w:tcBorders>
              <w:top w:val="nil"/>
              <w:left w:val="nil"/>
              <w:right w:val="nil"/>
              <w:insideV w:val="nil"/>
            </w:tcBorders>
            <w:shd w:fill="auto" w:val="clear"/>
          </w:tcPr>
          <w:p>
            <w:pPr>
              <w:pStyle w:val="Normal"/>
              <w:spacing w:before="0" w:after="200"/>
              <w:jc w:val="center"/>
              <w:rPr/>
            </w:pPr>
            <w:r>
              <w:rPr/>
              <w:t>0.13</w:t>
            </w:r>
          </w:p>
        </w:tc>
      </w:tr>
    </w:tbl>
    <w:p>
      <w:pPr>
        <w:pStyle w:val="Normal"/>
        <w:rPr>
          <w:szCs w:val="24"/>
        </w:rPr>
      </w:pPr>
      <w:r>
        <w:rPr>
          <w:szCs w:val="24"/>
        </w:rPr>
      </w:r>
    </w:p>
    <w:p>
      <w:pPr>
        <w:pStyle w:val="Normal"/>
        <w:rPr>
          <w:szCs w:val="24"/>
        </w:rPr>
      </w:pPr>
      <w:r>
        <w:rPr>
          <w:szCs w:val="24"/>
        </w:rPr>
      </w:r>
      <w:r>
        <w:br w:type="page"/>
      </w:r>
    </w:p>
    <w:p>
      <w:pPr>
        <w:pStyle w:val="Normal"/>
        <w:jc w:val="center"/>
        <w:rPr>
          <w:szCs w:val="24"/>
        </w:rPr>
      </w:pPr>
      <w:commentRangeStart w:id="5"/>
      <w:r>
        <w:rPr>
          <w:szCs w:val="24"/>
        </w:rPr>
        <w:t>FIGURE CAPTIONS</w:t>
      </w:r>
      <w:commentRangeEnd w:id="5"/>
      <w:r>
        <w:commentReference w:id="5"/>
      </w:r>
      <w:r>
        <w:rPr>
          <w:szCs w:val="24"/>
        </w:rPr>
      </w:r>
    </w:p>
    <w:p>
      <w:pPr>
        <w:pStyle w:val="Normal"/>
        <w:rPr/>
      </w:pPr>
      <w:r>
        <w:rPr>
          <w:szCs w:val="24"/>
        </w:rPr>
        <w:t>FIG. 1. Six study sites in western Oklahoma, USA, covered multiple local habitats.  Habitat raster from Diamond and Elliot (2015).</w:t>
      </w:r>
    </w:p>
    <w:p>
      <w:pPr>
        <w:pStyle w:val="Normal"/>
        <w:rPr/>
      </w:pPr>
      <w:r>
        <w:rPr>
          <w:szCs w:val="24"/>
        </w:rPr>
        <w:t>FIG. 2. Cassin’s Sparrows more often defend points with more vegetation &gt;1m in height (sagebrush, sandplum) and less vegetation &gt;1m height (cholla and other shrubs).</w:t>
      </w:r>
    </w:p>
    <w:p>
      <w:pPr>
        <w:pStyle w:val="Normal"/>
        <w:rPr/>
      </w:pPr>
      <w:r>
        <w:rPr>
          <w:szCs w:val="24"/>
        </w:rPr>
        <w:t>FIG. 3.  Cassin’s Sparrows more often defend points with more vegetation &lt;1m in height (sagebrush, sandplum) and less vegetation &lt;1m in height (cholla, yucca, and other shrubs).</w:t>
      </w:r>
    </w:p>
    <w:p>
      <w:pPr>
        <w:pStyle w:val="Normal"/>
        <w:rPr/>
      </w:pPr>
      <w:r>
        <w:rPr>
          <w:szCs w:val="24"/>
        </w:rPr>
        <w:t xml:space="preserve">FIG. 4. Significant principle component axes showing each survey point as one data point.  </w:t>
      </w:r>
    </w:p>
    <w:p>
      <w:pPr>
        <w:pStyle w:val="Normal"/>
        <w:ind w:firstLine="720"/>
        <w:rPr>
          <w:szCs w:val="24"/>
        </w:rPr>
      </w:pPr>
      <w:r>
        <w:rPr>
          <w:szCs w:val="24"/>
        </w:rPr>
      </w:r>
    </w:p>
    <w:p>
      <w:pPr>
        <w:pStyle w:val="Normal"/>
        <w:rPr>
          <w:szCs w:val="24"/>
        </w:rPr>
      </w:pPr>
      <w:r>
        <w:rPr>
          <w:szCs w:val="24"/>
        </w:rPr>
      </w:r>
      <w:r>
        <w:br w:type="page"/>
      </w:r>
    </w:p>
    <w:p>
      <w:pPr>
        <w:pStyle w:val="Normal"/>
        <w:jc w:val="center"/>
        <w:rPr>
          <w:szCs w:val="24"/>
        </w:rPr>
      </w:pPr>
      <w:r>
        <w:rPr>
          <w:szCs w:val="24"/>
        </w:rPr>
        <w:t>FIGURES</w:t>
      </w:r>
    </w:p>
    <w:p>
      <w:pPr>
        <w:pStyle w:val="Normal"/>
        <w:rPr>
          <w:szCs w:val="24"/>
        </w:rPr>
      </w:pPr>
      <w:r>
        <w:rPr>
          <w:szCs w:val="24"/>
        </w:rPr>
      </w:r>
    </w:p>
    <w:p>
      <w:pPr>
        <w:pStyle w:val="Normal"/>
        <w:ind w:firstLine="720"/>
        <w:rPr>
          <w:szCs w:val="24"/>
        </w:rPr>
      </w:pPr>
      <w:r>
        <w:rPr>
          <w:szCs w:val="24"/>
        </w:rPr>
        <w:t xml:space="preserve">FIG. 1. </w:t>
      </w:r>
    </w:p>
    <w:p>
      <w:pPr>
        <w:pStyle w:val="Normal"/>
        <w:ind w:firstLine="720"/>
        <w:rPr>
          <w:szCs w:val="24"/>
          <w:highlight w:val="yellow"/>
        </w:rPr>
      </w:pPr>
      <w:r>
        <w:rPr>
          <w:szCs w:val="24"/>
          <w:highlight w:val="yellow"/>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7153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3715385"/>
                    </a:xfrm>
                    <a:prstGeom prst="rect">
                      <a:avLst/>
                    </a:prstGeom>
                  </pic:spPr>
                </pic:pic>
              </a:graphicData>
            </a:graphic>
          </wp:anchor>
        </w:drawing>
      </w:r>
      <w:r>
        <w:br w:type="page"/>
      </w:r>
    </w:p>
    <w:p>
      <w:pPr>
        <w:pStyle w:val="Normal"/>
        <w:ind w:firstLine="720"/>
        <w:rPr/>
      </w:pPr>
      <w:r>
        <w:rPr>
          <w:szCs w:val="24"/>
        </w:rPr>
        <w:t xml:space="preserve">FIG. 2. </w:t>
      </w:r>
    </w:p>
    <w:p>
      <w:pPr>
        <w:pStyle w:val="Normal"/>
        <w:ind w:firstLine="720"/>
        <w:rPr>
          <w:szCs w:val="24"/>
        </w:rPr>
      </w:pPr>
      <w:r>
        <w:rPr>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42443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4244340"/>
                    </a:xfrm>
                    <a:prstGeom prst="rect">
                      <a:avLst/>
                    </a:prstGeom>
                  </pic:spPr>
                </pic:pic>
              </a:graphicData>
            </a:graphic>
          </wp:anchor>
        </w:drawing>
      </w:r>
    </w:p>
    <w:p>
      <w:pPr>
        <w:pStyle w:val="Normal"/>
        <w:rPr>
          <w:szCs w:val="24"/>
        </w:rPr>
      </w:pPr>
      <w:r>
        <w:rPr>
          <w:szCs w:val="24"/>
        </w:rPr>
      </w:r>
      <w:r>
        <w:br w:type="page"/>
      </w:r>
    </w:p>
    <w:p>
      <w:pPr>
        <w:pStyle w:val="Normal"/>
        <w:ind w:firstLine="720"/>
        <w:rPr/>
      </w:pPr>
      <w:r>
        <w:rPr>
          <w:szCs w:val="24"/>
        </w:rPr>
        <w:t>FIG. 3.</w:t>
      </w:r>
    </w:p>
    <w:p>
      <w:pPr>
        <w:pStyle w:val="Normal"/>
        <w:ind w:firstLine="720"/>
        <w:rPr>
          <w:szCs w:val="24"/>
        </w:rPr>
      </w:pPr>
      <w:r>
        <w:rPr>
          <w:szCs w:val="24"/>
        </w:rPr>
      </w:r>
    </w:p>
    <w:p>
      <w:pPr>
        <w:pStyle w:val="Normal"/>
        <w:rPr>
          <w:szCs w:val="24"/>
        </w:rPr>
      </w:pPr>
      <w:r>
        <w:rPr>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42449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4244975"/>
                    </a:xfrm>
                    <a:prstGeom prst="rect">
                      <a:avLst/>
                    </a:prstGeom>
                  </pic:spPr>
                </pic:pic>
              </a:graphicData>
            </a:graphic>
          </wp:anchor>
        </w:drawing>
      </w:r>
      <w:r>
        <w:br w:type="page"/>
      </w:r>
    </w:p>
    <w:p>
      <w:pPr>
        <w:pStyle w:val="Normal"/>
        <w:ind w:firstLine="720"/>
        <w:rPr>
          <w:szCs w:val="24"/>
        </w:rPr>
      </w:pPr>
      <w:r>
        <w:rPr>
          <w:szCs w:val="24"/>
        </w:rPr>
        <w:t>FIG. 4.</w:t>
      </w:r>
    </w:p>
    <w:p>
      <w:pPr>
        <w:pStyle w:val="Normal"/>
        <w:spacing w:before="0" w:after="200"/>
        <w:ind w:firstLine="72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59436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anchor>
        </w:drawing>
      </w:r>
    </w:p>
    <w:sectPr>
      <w:headerReference w:type="default" r:id="rId7"/>
      <w:footerReference w:type="default" r:id="rId8"/>
      <w:type w:val="nextPage"/>
      <w:pgSz w:w="12240" w:h="15840"/>
      <w:pgMar w:left="1440" w:right="1440" w:header="720" w:top="1440" w:footer="720" w:bottom="1440" w:gutter="0"/>
      <w:pgNumType w:fmt="decimal"/>
      <w:formProt w:val="false"/>
      <w:textDirection w:val="lrTb"/>
      <w:docGrid w:type="default" w:linePitch="360" w:charSpace="4294961151"/>
    </w:sectPr>
  </w:body>
</w:document>
</file>