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9CD" w:rsidRPr="00443905" w:rsidRDefault="00DA59CD" w:rsidP="00DA59CD">
      <w:pPr>
        <w:jc w:val="right"/>
        <w:rPr>
          <w:rFonts w:ascii="Times New Roman" w:hAnsi="Times New Roman" w:cs="Times New Roman"/>
          <w:sz w:val="24"/>
          <w:szCs w:val="24"/>
        </w:rPr>
      </w:pPr>
      <w:r w:rsidRPr="00443905">
        <w:rPr>
          <w:rFonts w:ascii="Times New Roman" w:hAnsi="Times New Roman" w:cs="Times New Roman"/>
          <w:sz w:val="24"/>
          <w:szCs w:val="24"/>
        </w:rPr>
        <w:t>Tory Smith</w:t>
      </w:r>
    </w:p>
    <w:p w:rsidR="00DA59CD" w:rsidRDefault="00DA59CD" w:rsidP="000179A3">
      <w:pPr>
        <w:jc w:val="center"/>
        <w:rPr>
          <w:rFonts w:ascii="Times New Roman" w:hAnsi="Times New Roman" w:cs="Times New Roman"/>
          <w:sz w:val="28"/>
          <w:szCs w:val="28"/>
          <w:u w:val="single"/>
        </w:rPr>
      </w:pPr>
    </w:p>
    <w:p w:rsidR="00CD148B" w:rsidRPr="00F326FB" w:rsidRDefault="000179A3" w:rsidP="000179A3">
      <w:pPr>
        <w:jc w:val="center"/>
        <w:rPr>
          <w:rFonts w:ascii="Times New Roman" w:hAnsi="Times New Roman" w:cs="Times New Roman"/>
          <w:sz w:val="28"/>
          <w:szCs w:val="28"/>
          <w:u w:val="single"/>
        </w:rPr>
      </w:pPr>
      <w:r w:rsidRPr="00F326FB">
        <w:rPr>
          <w:rFonts w:ascii="Times New Roman" w:hAnsi="Times New Roman" w:cs="Times New Roman"/>
          <w:sz w:val="28"/>
          <w:szCs w:val="28"/>
          <w:u w:val="single"/>
        </w:rPr>
        <w:t>Research Outline of Cassin’s Sparrow Study</w:t>
      </w:r>
    </w:p>
    <w:p w:rsidR="000179A3" w:rsidRPr="00F326FB" w:rsidRDefault="000179A3" w:rsidP="000179A3">
      <w:pPr>
        <w:jc w:val="center"/>
        <w:rPr>
          <w:rFonts w:ascii="Times New Roman" w:hAnsi="Times New Roman" w:cs="Times New Roman"/>
          <w:sz w:val="28"/>
          <w:szCs w:val="28"/>
          <w:u w:val="single"/>
        </w:rPr>
      </w:pPr>
    </w:p>
    <w:p w:rsidR="00437D57" w:rsidRDefault="0010499F" w:rsidP="000179A3">
      <w:pPr>
        <w:rPr>
          <w:rFonts w:ascii="Times New Roman" w:hAnsi="Times New Roman" w:cs="Times New Roman"/>
          <w:sz w:val="24"/>
          <w:szCs w:val="24"/>
        </w:rPr>
      </w:pPr>
      <w:r>
        <w:rPr>
          <w:rFonts w:ascii="Times New Roman" w:hAnsi="Times New Roman" w:cs="Times New Roman"/>
          <w:sz w:val="24"/>
          <w:szCs w:val="24"/>
        </w:rPr>
        <w:t xml:space="preserve">Background: </w:t>
      </w:r>
    </w:p>
    <w:p w:rsidR="004843DE" w:rsidRDefault="006427E5" w:rsidP="003D0EE0">
      <w:pPr>
        <w:ind w:left="1080"/>
        <w:rPr>
          <w:rFonts w:ascii="Times New Roman" w:hAnsi="Times New Roman" w:cs="Times New Roman"/>
          <w:sz w:val="24"/>
          <w:szCs w:val="24"/>
        </w:rPr>
      </w:pPr>
      <w:r>
        <w:rPr>
          <w:rFonts w:ascii="Times New Roman" w:hAnsi="Times New Roman" w:cs="Times New Roman"/>
          <w:sz w:val="24"/>
          <w:szCs w:val="24"/>
        </w:rPr>
        <w:t>Cassin’</w:t>
      </w:r>
      <w:r w:rsidR="002D065D">
        <w:rPr>
          <w:rFonts w:ascii="Times New Roman" w:hAnsi="Times New Roman" w:cs="Times New Roman"/>
          <w:sz w:val="24"/>
          <w:szCs w:val="24"/>
        </w:rPr>
        <w:t>s S</w:t>
      </w:r>
      <w:r w:rsidR="003D0EE0">
        <w:rPr>
          <w:rFonts w:ascii="Times New Roman" w:hAnsi="Times New Roman" w:cs="Times New Roman"/>
          <w:sz w:val="24"/>
          <w:szCs w:val="24"/>
        </w:rPr>
        <w:t>parrow</w:t>
      </w:r>
      <w:r w:rsidR="002D065D">
        <w:rPr>
          <w:rFonts w:ascii="Times New Roman" w:hAnsi="Times New Roman" w:cs="Times New Roman"/>
          <w:sz w:val="24"/>
          <w:szCs w:val="24"/>
        </w:rPr>
        <w:t xml:space="preserve">, </w:t>
      </w:r>
      <w:r w:rsidR="002D065D">
        <w:rPr>
          <w:rFonts w:ascii="Times New Roman" w:hAnsi="Times New Roman" w:cs="Times New Roman"/>
          <w:i/>
          <w:sz w:val="24"/>
          <w:szCs w:val="24"/>
        </w:rPr>
        <w:t>Peucaea cassinii,</w:t>
      </w:r>
      <w:r w:rsidR="003D0EE0">
        <w:rPr>
          <w:rFonts w:ascii="Times New Roman" w:hAnsi="Times New Roman" w:cs="Times New Roman"/>
          <w:sz w:val="24"/>
          <w:szCs w:val="24"/>
        </w:rPr>
        <w:t xml:space="preserve"> is</w:t>
      </w:r>
      <w:r w:rsidR="00437D57">
        <w:rPr>
          <w:rFonts w:ascii="Times New Roman" w:hAnsi="Times New Roman" w:cs="Times New Roman"/>
          <w:sz w:val="24"/>
          <w:szCs w:val="24"/>
        </w:rPr>
        <w:t xml:space="preserve"> a</w:t>
      </w:r>
      <w:r w:rsidR="003D0EE0">
        <w:rPr>
          <w:rFonts w:ascii="Times New Roman" w:hAnsi="Times New Roman" w:cs="Times New Roman"/>
          <w:sz w:val="24"/>
          <w:szCs w:val="24"/>
        </w:rPr>
        <w:t xml:space="preserve"> little studied species whose migratory patterns continue to puzzle biologists. </w:t>
      </w:r>
      <w:r w:rsidR="002D065D">
        <w:rPr>
          <w:rFonts w:ascii="Times New Roman" w:hAnsi="Times New Roman" w:cs="Times New Roman"/>
          <w:sz w:val="24"/>
          <w:szCs w:val="24"/>
        </w:rPr>
        <w:t>These birds remain elusive for much of the year with the exception of the impressive song and flight display given by males</w:t>
      </w:r>
      <w:r w:rsidR="004843DE">
        <w:rPr>
          <w:rFonts w:ascii="Times New Roman" w:hAnsi="Times New Roman" w:cs="Times New Roman"/>
          <w:sz w:val="24"/>
          <w:szCs w:val="24"/>
        </w:rPr>
        <w:t xml:space="preserve"> during their breeding season. Despite the enthusiasm with which Cassin’s Sparrows defend their territories however, they rarely return to the same location in the following year. </w:t>
      </w:r>
    </w:p>
    <w:p w:rsidR="00F517E0" w:rsidRDefault="00A931B3" w:rsidP="003D0EE0">
      <w:pPr>
        <w:ind w:left="1080"/>
        <w:rPr>
          <w:rFonts w:ascii="Times New Roman" w:hAnsi="Times New Roman" w:cs="Times New Roman"/>
          <w:sz w:val="24"/>
          <w:szCs w:val="24"/>
        </w:rPr>
      </w:pPr>
      <w:r>
        <w:rPr>
          <w:rFonts w:ascii="Times New Roman" w:hAnsi="Times New Roman" w:cs="Times New Roman"/>
          <w:sz w:val="24"/>
          <w:szCs w:val="24"/>
        </w:rPr>
        <w:t>Movement of these sparrows on a species-wide scale is also unusual. The approximate breedi</w:t>
      </w:r>
      <w:r w:rsidR="00F326FB">
        <w:rPr>
          <w:rFonts w:ascii="Times New Roman" w:hAnsi="Times New Roman" w:cs="Times New Roman"/>
          <w:sz w:val="24"/>
          <w:szCs w:val="24"/>
        </w:rPr>
        <w:t>ng range begins in n</w:t>
      </w:r>
      <w:r w:rsidR="005A6BE8">
        <w:rPr>
          <w:rFonts w:ascii="Times New Roman" w:hAnsi="Times New Roman" w:cs="Times New Roman"/>
          <w:sz w:val="24"/>
          <w:szCs w:val="24"/>
        </w:rPr>
        <w:t>e</w:t>
      </w:r>
      <w:r w:rsidR="00F326FB">
        <w:rPr>
          <w:rFonts w:ascii="Times New Roman" w:hAnsi="Times New Roman" w:cs="Times New Roman"/>
          <w:sz w:val="24"/>
          <w:szCs w:val="24"/>
        </w:rPr>
        <w:t xml:space="preserve">. Colorado and extends south through e. New Mexico, </w:t>
      </w:r>
      <w:r>
        <w:rPr>
          <w:rFonts w:ascii="Times New Roman" w:hAnsi="Times New Roman" w:cs="Times New Roman"/>
          <w:sz w:val="24"/>
          <w:szCs w:val="24"/>
        </w:rPr>
        <w:t>w. Oklahoma</w:t>
      </w:r>
      <w:r w:rsidR="00F326FB">
        <w:rPr>
          <w:rFonts w:ascii="Times New Roman" w:hAnsi="Times New Roman" w:cs="Times New Roman"/>
          <w:sz w:val="24"/>
          <w:szCs w:val="24"/>
        </w:rPr>
        <w:t>, s</w:t>
      </w:r>
      <w:r w:rsidR="005A6BE8">
        <w:rPr>
          <w:rFonts w:ascii="Times New Roman" w:hAnsi="Times New Roman" w:cs="Times New Roman"/>
          <w:sz w:val="24"/>
          <w:szCs w:val="24"/>
        </w:rPr>
        <w:t>e</w:t>
      </w:r>
      <w:r w:rsidR="00F326FB">
        <w:rPr>
          <w:rFonts w:ascii="Times New Roman" w:hAnsi="Times New Roman" w:cs="Times New Roman"/>
          <w:sz w:val="24"/>
          <w:szCs w:val="24"/>
        </w:rPr>
        <w:t xml:space="preserve">. Arizona, Texas and northern Mexico. Movement within this range is sensitive to variation in summer rainfall, and the appearance or disappearance of </w:t>
      </w:r>
      <w:r w:rsidR="00D72D80">
        <w:rPr>
          <w:rFonts w:ascii="Times New Roman" w:hAnsi="Times New Roman" w:cs="Times New Roman"/>
          <w:sz w:val="24"/>
          <w:szCs w:val="24"/>
        </w:rPr>
        <w:t>large nu</w:t>
      </w:r>
      <w:r w:rsidR="00F326FB">
        <w:rPr>
          <w:rFonts w:ascii="Times New Roman" w:hAnsi="Times New Roman" w:cs="Times New Roman"/>
          <w:sz w:val="24"/>
          <w:szCs w:val="24"/>
        </w:rPr>
        <w:t xml:space="preserve">mbers of birds in certain years </w:t>
      </w:r>
      <w:r w:rsidR="00D72D80">
        <w:rPr>
          <w:rFonts w:ascii="Times New Roman" w:hAnsi="Times New Roman" w:cs="Times New Roman"/>
          <w:sz w:val="24"/>
          <w:szCs w:val="24"/>
        </w:rPr>
        <w:t xml:space="preserve">in unexpected areas isn’t uncommon. </w:t>
      </w:r>
    </w:p>
    <w:p w:rsidR="00007607" w:rsidRDefault="004843DE" w:rsidP="008B0C11">
      <w:pPr>
        <w:ind w:left="1080"/>
        <w:rPr>
          <w:rFonts w:ascii="Times New Roman" w:hAnsi="Times New Roman" w:cs="Times New Roman"/>
          <w:sz w:val="24"/>
          <w:szCs w:val="24"/>
        </w:rPr>
      </w:pPr>
      <w:r>
        <w:rPr>
          <w:rFonts w:ascii="Times New Roman" w:hAnsi="Times New Roman" w:cs="Times New Roman"/>
          <w:sz w:val="24"/>
          <w:szCs w:val="24"/>
        </w:rPr>
        <w:t>Several hypotheses have been proposed to explain this behavior, including an east-to-west migratory pattern unique for North American sparrows</w:t>
      </w:r>
      <w:r w:rsidR="00D72D80">
        <w:rPr>
          <w:rFonts w:ascii="Times New Roman" w:hAnsi="Times New Roman" w:cs="Times New Roman"/>
          <w:sz w:val="24"/>
          <w:szCs w:val="24"/>
        </w:rPr>
        <w:t>,</w:t>
      </w:r>
      <w:r>
        <w:rPr>
          <w:rFonts w:ascii="Times New Roman" w:hAnsi="Times New Roman" w:cs="Times New Roman"/>
          <w:sz w:val="24"/>
          <w:szCs w:val="24"/>
        </w:rPr>
        <w:t xml:space="preserve"> </w:t>
      </w:r>
      <w:r w:rsidR="00007607">
        <w:rPr>
          <w:rFonts w:ascii="Times New Roman" w:hAnsi="Times New Roman" w:cs="Times New Roman"/>
          <w:sz w:val="24"/>
          <w:szCs w:val="24"/>
        </w:rPr>
        <w:t xml:space="preserve">regional </w:t>
      </w:r>
      <w:r>
        <w:rPr>
          <w:rFonts w:ascii="Times New Roman" w:hAnsi="Times New Roman" w:cs="Times New Roman"/>
          <w:sz w:val="24"/>
          <w:szCs w:val="24"/>
        </w:rPr>
        <w:t>nomadi</w:t>
      </w:r>
      <w:r w:rsidR="00D72D80">
        <w:rPr>
          <w:rFonts w:ascii="Times New Roman" w:hAnsi="Times New Roman" w:cs="Times New Roman"/>
          <w:sz w:val="24"/>
          <w:szCs w:val="24"/>
        </w:rPr>
        <w:t xml:space="preserve">sm, and the attempt of failed breeders to </w:t>
      </w:r>
      <w:r w:rsidR="00F517E0">
        <w:rPr>
          <w:rFonts w:ascii="Times New Roman" w:hAnsi="Times New Roman" w:cs="Times New Roman"/>
          <w:sz w:val="24"/>
          <w:szCs w:val="24"/>
        </w:rPr>
        <w:t xml:space="preserve">succeed in new territories. These hypotheses </w:t>
      </w:r>
      <w:r w:rsidR="008B0C11">
        <w:rPr>
          <w:rFonts w:ascii="Times New Roman" w:hAnsi="Times New Roman" w:cs="Times New Roman"/>
          <w:sz w:val="24"/>
          <w:szCs w:val="24"/>
        </w:rPr>
        <w:t>have not acquired a substantial amount of direct evidence at this time, and so the mystery of what causes such low return rates in these sparrows remains.</w:t>
      </w:r>
    </w:p>
    <w:p w:rsidR="006427E5" w:rsidRDefault="000179A3" w:rsidP="0010499F">
      <w:pPr>
        <w:ind w:left="1080" w:hanging="1080"/>
        <w:rPr>
          <w:rFonts w:ascii="Times New Roman" w:hAnsi="Times New Roman" w:cs="Times New Roman"/>
          <w:sz w:val="24"/>
          <w:szCs w:val="24"/>
        </w:rPr>
      </w:pPr>
      <w:r>
        <w:rPr>
          <w:rFonts w:ascii="Times New Roman" w:hAnsi="Times New Roman" w:cs="Times New Roman"/>
          <w:sz w:val="24"/>
          <w:szCs w:val="24"/>
        </w:rPr>
        <w:t xml:space="preserve">Locations: </w:t>
      </w:r>
    </w:p>
    <w:p w:rsidR="0010499F" w:rsidRDefault="000179A3" w:rsidP="00F326FB">
      <w:pPr>
        <w:tabs>
          <w:tab w:val="left" w:pos="1350"/>
          <w:tab w:val="left" w:pos="1800"/>
        </w:tabs>
        <w:ind w:left="1080"/>
        <w:rPr>
          <w:rFonts w:ascii="Times New Roman" w:hAnsi="Times New Roman" w:cs="Times New Roman"/>
          <w:sz w:val="24"/>
          <w:szCs w:val="24"/>
        </w:rPr>
      </w:pPr>
      <w:r>
        <w:rPr>
          <w:rFonts w:ascii="Times New Roman" w:hAnsi="Times New Roman" w:cs="Times New Roman"/>
          <w:sz w:val="24"/>
          <w:szCs w:val="24"/>
        </w:rPr>
        <w:t xml:space="preserve">Three principle areas </w:t>
      </w:r>
      <w:r w:rsidR="0010499F">
        <w:rPr>
          <w:rFonts w:ascii="Times New Roman" w:hAnsi="Times New Roman" w:cs="Times New Roman"/>
          <w:sz w:val="24"/>
          <w:szCs w:val="24"/>
        </w:rPr>
        <w:t xml:space="preserve">within the state of Oklahoma will be studied.                           </w:t>
      </w:r>
    </w:p>
    <w:p w:rsidR="0010499F" w:rsidRDefault="000179A3" w:rsidP="00F326FB">
      <w:pPr>
        <w:pStyle w:val="ListParagraph"/>
        <w:numPr>
          <w:ilvl w:val="0"/>
          <w:numId w:val="3"/>
        </w:numPr>
        <w:tabs>
          <w:tab w:val="left" w:pos="1350"/>
          <w:tab w:val="left" w:pos="1620"/>
          <w:tab w:val="left" w:pos="1800"/>
        </w:tabs>
        <w:ind w:left="1080" w:firstLine="0"/>
        <w:rPr>
          <w:rFonts w:ascii="Times New Roman" w:hAnsi="Times New Roman" w:cs="Times New Roman"/>
          <w:sz w:val="24"/>
          <w:szCs w:val="24"/>
        </w:rPr>
      </w:pPr>
      <w:r w:rsidRPr="0010499F">
        <w:rPr>
          <w:rFonts w:ascii="Times New Roman" w:hAnsi="Times New Roman" w:cs="Times New Roman"/>
          <w:sz w:val="24"/>
          <w:szCs w:val="24"/>
        </w:rPr>
        <w:t>O</w:t>
      </w:r>
      <w:r w:rsidR="006D43A7">
        <w:rPr>
          <w:rFonts w:ascii="Times New Roman" w:hAnsi="Times New Roman" w:cs="Times New Roman"/>
          <w:sz w:val="24"/>
          <w:szCs w:val="24"/>
        </w:rPr>
        <w:t>ptima Wildlife Management Area</w:t>
      </w:r>
    </w:p>
    <w:p w:rsidR="00520CDF" w:rsidRDefault="00520CDF" w:rsidP="00A219FE">
      <w:pPr>
        <w:pStyle w:val="ListParagraph"/>
        <w:tabs>
          <w:tab w:val="left" w:pos="1350"/>
          <w:tab w:val="left" w:pos="1620"/>
          <w:tab w:val="left" w:pos="1800"/>
        </w:tabs>
        <w:ind w:left="1350"/>
        <w:rPr>
          <w:rFonts w:ascii="Times New Roman" w:hAnsi="Times New Roman" w:cs="Times New Roman"/>
          <w:sz w:val="24"/>
          <w:szCs w:val="24"/>
        </w:rPr>
      </w:pPr>
    </w:p>
    <w:p w:rsidR="006D43A7" w:rsidRDefault="002F4024" w:rsidP="00A219FE">
      <w:pPr>
        <w:pStyle w:val="ListParagraph"/>
        <w:tabs>
          <w:tab w:val="left" w:pos="1350"/>
          <w:tab w:val="left" w:pos="1620"/>
          <w:tab w:val="left" w:pos="1800"/>
        </w:tabs>
        <w:ind w:left="1350"/>
        <w:rPr>
          <w:rFonts w:ascii="Times New Roman" w:hAnsi="Times New Roman" w:cs="Times New Roman"/>
          <w:sz w:val="24"/>
          <w:szCs w:val="24"/>
        </w:rPr>
      </w:pPr>
      <w:r>
        <w:rPr>
          <w:rFonts w:ascii="Times New Roman" w:hAnsi="Times New Roman" w:cs="Times New Roman"/>
          <w:sz w:val="24"/>
          <w:szCs w:val="24"/>
        </w:rPr>
        <w:t xml:space="preserve">Once intended to be a lake, Optima WMA became instead a 4,333 acre </w:t>
      </w:r>
      <w:r w:rsidR="00A219FE">
        <w:rPr>
          <w:rFonts w:ascii="Times New Roman" w:hAnsi="Times New Roman" w:cs="Times New Roman"/>
          <w:sz w:val="24"/>
          <w:szCs w:val="24"/>
        </w:rPr>
        <w:t xml:space="preserve">expanse of mixed-grass prairie. The uplands of the area are characterized by </w:t>
      </w:r>
      <w:r w:rsidR="00A219FE">
        <w:rPr>
          <w:rFonts w:ascii="Times New Roman" w:hAnsi="Times New Roman" w:cs="Times New Roman"/>
          <w:iCs/>
          <w:sz w:val="24"/>
          <w:szCs w:val="24"/>
          <w:lang w:val="en"/>
        </w:rPr>
        <w:t>short</w:t>
      </w:r>
      <w:r w:rsidR="00A219FE" w:rsidRPr="00A219FE">
        <w:rPr>
          <w:rFonts w:ascii="Times New Roman" w:hAnsi="Times New Roman" w:cs="Times New Roman"/>
          <w:iCs/>
          <w:sz w:val="24"/>
          <w:szCs w:val="24"/>
          <w:lang w:val="en"/>
        </w:rPr>
        <w:t xml:space="preserve">grass prairie species such as buffalo grass, blue grama and </w:t>
      </w:r>
      <w:r w:rsidR="00A219FE">
        <w:rPr>
          <w:rFonts w:ascii="Times New Roman" w:hAnsi="Times New Roman" w:cs="Times New Roman"/>
          <w:iCs/>
          <w:sz w:val="24"/>
          <w:szCs w:val="24"/>
          <w:lang w:val="en"/>
        </w:rPr>
        <w:t xml:space="preserve">yucca. In the bottomlands tallgrass prairie species predominate, including </w:t>
      </w:r>
      <w:r w:rsidR="00CA424B">
        <w:rPr>
          <w:rFonts w:ascii="Times New Roman" w:hAnsi="Times New Roman" w:cs="Times New Roman"/>
          <w:iCs/>
          <w:sz w:val="24"/>
          <w:szCs w:val="24"/>
          <w:lang w:val="en"/>
        </w:rPr>
        <w:t xml:space="preserve">big and little bluestem as well as Indiangrass. Located in Texas County, the area is 30 minutes east of Guymon. </w:t>
      </w:r>
    </w:p>
    <w:p w:rsidR="006D43A7" w:rsidRPr="0010499F" w:rsidRDefault="006D43A7" w:rsidP="006D43A7">
      <w:pPr>
        <w:pStyle w:val="ListParagraph"/>
        <w:tabs>
          <w:tab w:val="left" w:pos="1350"/>
          <w:tab w:val="left" w:pos="1620"/>
          <w:tab w:val="left" w:pos="1800"/>
        </w:tabs>
        <w:ind w:left="1080"/>
        <w:rPr>
          <w:rFonts w:ascii="Times New Roman" w:hAnsi="Times New Roman" w:cs="Times New Roman"/>
          <w:sz w:val="24"/>
          <w:szCs w:val="24"/>
        </w:rPr>
      </w:pPr>
    </w:p>
    <w:p w:rsidR="0010499F" w:rsidRDefault="000179A3" w:rsidP="00F326FB">
      <w:pPr>
        <w:pStyle w:val="ListParagraph"/>
        <w:numPr>
          <w:ilvl w:val="0"/>
          <w:numId w:val="3"/>
        </w:numPr>
        <w:tabs>
          <w:tab w:val="left" w:pos="1350"/>
          <w:tab w:val="left" w:pos="1620"/>
          <w:tab w:val="left" w:pos="1800"/>
        </w:tabs>
        <w:ind w:left="1080" w:firstLine="0"/>
        <w:rPr>
          <w:rFonts w:ascii="Times New Roman" w:hAnsi="Times New Roman" w:cs="Times New Roman"/>
          <w:sz w:val="24"/>
          <w:szCs w:val="24"/>
        </w:rPr>
      </w:pPr>
      <w:r w:rsidRPr="0010499F">
        <w:rPr>
          <w:rFonts w:ascii="Times New Roman" w:hAnsi="Times New Roman" w:cs="Times New Roman"/>
          <w:sz w:val="24"/>
          <w:szCs w:val="24"/>
        </w:rPr>
        <w:t>Rita Blanc</w:t>
      </w:r>
      <w:r w:rsidR="0010499F" w:rsidRPr="0010499F">
        <w:rPr>
          <w:rFonts w:ascii="Times New Roman" w:hAnsi="Times New Roman" w:cs="Times New Roman"/>
          <w:sz w:val="24"/>
          <w:szCs w:val="24"/>
        </w:rPr>
        <w:t>a Wildlife Management Area</w:t>
      </w:r>
    </w:p>
    <w:p w:rsidR="00520CDF" w:rsidRDefault="00520CDF" w:rsidP="00CA424B">
      <w:pPr>
        <w:pStyle w:val="ListParagraph"/>
        <w:tabs>
          <w:tab w:val="left" w:pos="1350"/>
          <w:tab w:val="left" w:pos="1620"/>
          <w:tab w:val="left" w:pos="1800"/>
        </w:tabs>
        <w:ind w:left="1350"/>
        <w:rPr>
          <w:rFonts w:ascii="Times New Roman" w:hAnsi="Times New Roman" w:cs="Times New Roman"/>
          <w:sz w:val="24"/>
          <w:szCs w:val="24"/>
        </w:rPr>
      </w:pPr>
    </w:p>
    <w:p w:rsidR="00CA424B" w:rsidRDefault="00520CDF" w:rsidP="00CA424B">
      <w:pPr>
        <w:pStyle w:val="ListParagraph"/>
        <w:tabs>
          <w:tab w:val="left" w:pos="1350"/>
          <w:tab w:val="left" w:pos="1620"/>
          <w:tab w:val="left" w:pos="1800"/>
        </w:tabs>
        <w:ind w:left="1350"/>
        <w:rPr>
          <w:rFonts w:ascii="Times New Roman" w:hAnsi="Times New Roman" w:cs="Times New Roman"/>
          <w:sz w:val="24"/>
          <w:szCs w:val="24"/>
        </w:rPr>
      </w:pPr>
      <w:r>
        <w:rPr>
          <w:rFonts w:ascii="Times New Roman" w:hAnsi="Times New Roman" w:cs="Times New Roman"/>
          <w:sz w:val="24"/>
          <w:szCs w:val="24"/>
        </w:rPr>
        <w:t xml:space="preserve">Although broken up by privately owned land, Rita Blanca WMA covers 15,575 acres of southwestern Cimarron County in the farthest reaches of the Oklahoma panhandle. The area also extends into northern Texas and northeastern New </w:t>
      </w:r>
      <w:r>
        <w:rPr>
          <w:rFonts w:ascii="Times New Roman" w:hAnsi="Times New Roman" w:cs="Times New Roman"/>
          <w:sz w:val="24"/>
          <w:szCs w:val="24"/>
        </w:rPr>
        <w:lastRenderedPageBreak/>
        <w:t>Mexico. The shortgrass prairie in this region consist</w:t>
      </w:r>
      <w:r w:rsidR="006D5E16">
        <w:rPr>
          <w:rFonts w:ascii="Times New Roman" w:hAnsi="Times New Roman" w:cs="Times New Roman"/>
          <w:sz w:val="24"/>
          <w:szCs w:val="24"/>
        </w:rPr>
        <w:t xml:space="preserve">s primarily of buffalo grasses, although yucca is also present. The area is around 30 minutes south of Boise City. </w:t>
      </w:r>
    </w:p>
    <w:p w:rsidR="004021C2" w:rsidRDefault="004021C2" w:rsidP="00CA424B">
      <w:pPr>
        <w:pStyle w:val="ListParagraph"/>
        <w:tabs>
          <w:tab w:val="left" w:pos="1350"/>
          <w:tab w:val="left" w:pos="1620"/>
          <w:tab w:val="left" w:pos="1800"/>
        </w:tabs>
        <w:ind w:left="1350"/>
        <w:rPr>
          <w:rFonts w:ascii="Times New Roman" w:hAnsi="Times New Roman" w:cs="Times New Roman"/>
          <w:sz w:val="24"/>
          <w:szCs w:val="24"/>
        </w:rPr>
      </w:pPr>
    </w:p>
    <w:p w:rsidR="00CA424B" w:rsidRPr="0010499F" w:rsidRDefault="00CA424B" w:rsidP="00CA424B">
      <w:pPr>
        <w:pStyle w:val="ListParagraph"/>
        <w:tabs>
          <w:tab w:val="left" w:pos="1350"/>
          <w:tab w:val="left" w:pos="1620"/>
          <w:tab w:val="left" w:pos="1800"/>
        </w:tabs>
        <w:ind w:left="1080"/>
        <w:rPr>
          <w:rFonts w:ascii="Times New Roman" w:hAnsi="Times New Roman" w:cs="Times New Roman"/>
          <w:sz w:val="24"/>
          <w:szCs w:val="24"/>
        </w:rPr>
      </w:pPr>
    </w:p>
    <w:p w:rsidR="00EE12B9" w:rsidRDefault="00EE12B9" w:rsidP="00EE12B9">
      <w:pPr>
        <w:pStyle w:val="ListParagraph"/>
        <w:numPr>
          <w:ilvl w:val="0"/>
          <w:numId w:val="3"/>
        </w:numPr>
        <w:tabs>
          <w:tab w:val="left" w:pos="1350"/>
          <w:tab w:val="left" w:pos="1620"/>
          <w:tab w:val="left" w:pos="1800"/>
        </w:tabs>
        <w:ind w:left="1080" w:firstLine="0"/>
        <w:rPr>
          <w:rFonts w:ascii="Times New Roman" w:hAnsi="Times New Roman" w:cs="Times New Roman"/>
          <w:sz w:val="24"/>
          <w:szCs w:val="24"/>
        </w:rPr>
      </w:pPr>
      <w:r>
        <w:rPr>
          <w:rFonts w:ascii="Times New Roman" w:hAnsi="Times New Roman" w:cs="Times New Roman"/>
          <w:sz w:val="24"/>
          <w:szCs w:val="24"/>
        </w:rPr>
        <w:t>Black Mesa State Park</w:t>
      </w:r>
    </w:p>
    <w:p w:rsidR="00EE12B9" w:rsidRDefault="00EE12B9" w:rsidP="00EE12B9">
      <w:pPr>
        <w:pStyle w:val="ListParagraph"/>
        <w:tabs>
          <w:tab w:val="left" w:pos="1350"/>
          <w:tab w:val="left" w:pos="1620"/>
          <w:tab w:val="left" w:pos="1800"/>
        </w:tabs>
        <w:ind w:left="1080"/>
        <w:rPr>
          <w:rFonts w:ascii="Times New Roman" w:hAnsi="Times New Roman" w:cs="Times New Roman"/>
          <w:sz w:val="24"/>
          <w:szCs w:val="24"/>
        </w:rPr>
      </w:pPr>
    </w:p>
    <w:p w:rsidR="000179A3" w:rsidRDefault="00EE12B9" w:rsidP="004C71A2">
      <w:pPr>
        <w:pStyle w:val="ListParagraph"/>
        <w:tabs>
          <w:tab w:val="left" w:pos="1350"/>
          <w:tab w:val="left" w:pos="1620"/>
          <w:tab w:val="left" w:pos="1800"/>
        </w:tabs>
        <w:ind w:left="1350"/>
        <w:rPr>
          <w:rFonts w:ascii="Times New Roman" w:hAnsi="Times New Roman" w:cs="Times New Roman"/>
          <w:sz w:val="24"/>
          <w:szCs w:val="24"/>
        </w:rPr>
      </w:pPr>
      <w:r>
        <w:rPr>
          <w:rFonts w:ascii="Times New Roman" w:hAnsi="Times New Roman" w:cs="Times New Roman"/>
          <w:sz w:val="24"/>
          <w:szCs w:val="24"/>
        </w:rPr>
        <w:t xml:space="preserve">The </w:t>
      </w:r>
      <w:r w:rsidR="004C71A2">
        <w:rPr>
          <w:rFonts w:ascii="Times New Roman" w:hAnsi="Times New Roman" w:cs="Times New Roman"/>
          <w:sz w:val="24"/>
          <w:szCs w:val="24"/>
        </w:rPr>
        <w:t>smallest of the three areas</w:t>
      </w:r>
      <w:r w:rsidR="00917D5E">
        <w:rPr>
          <w:rFonts w:ascii="Times New Roman" w:hAnsi="Times New Roman" w:cs="Times New Roman"/>
          <w:sz w:val="24"/>
          <w:szCs w:val="24"/>
        </w:rPr>
        <w:t xml:space="preserve"> at 549</w:t>
      </w:r>
      <w:r>
        <w:rPr>
          <w:rFonts w:ascii="Times New Roman" w:hAnsi="Times New Roman" w:cs="Times New Roman"/>
          <w:sz w:val="24"/>
          <w:szCs w:val="24"/>
        </w:rPr>
        <w:t xml:space="preserve"> acres, Black Mesa is a dividing point where the Rocky Mountains merge into shortgrass prairie. </w:t>
      </w:r>
      <w:r w:rsidR="00917D5E">
        <w:rPr>
          <w:rFonts w:ascii="Times New Roman" w:hAnsi="Times New Roman" w:cs="Times New Roman"/>
          <w:sz w:val="24"/>
          <w:szCs w:val="24"/>
        </w:rPr>
        <w:t>Lake Carl Etling is located centrally in the park. Juniper</w:t>
      </w:r>
      <w:r w:rsidR="004C71A2">
        <w:rPr>
          <w:rFonts w:ascii="Times New Roman" w:hAnsi="Times New Roman" w:cs="Times New Roman"/>
          <w:sz w:val="24"/>
          <w:szCs w:val="24"/>
        </w:rPr>
        <w:t xml:space="preserve"> trees and C</w:t>
      </w:r>
      <w:r w:rsidR="00917D5E">
        <w:rPr>
          <w:rFonts w:ascii="Times New Roman" w:hAnsi="Times New Roman" w:cs="Times New Roman"/>
          <w:sz w:val="24"/>
          <w:szCs w:val="24"/>
        </w:rPr>
        <w:t xml:space="preserve">holla </w:t>
      </w:r>
      <w:r w:rsidR="004C71A2">
        <w:rPr>
          <w:rFonts w:ascii="Times New Roman" w:hAnsi="Times New Roman" w:cs="Times New Roman"/>
          <w:sz w:val="24"/>
          <w:szCs w:val="24"/>
        </w:rPr>
        <w:t xml:space="preserve">cactus </w:t>
      </w:r>
      <w:r w:rsidR="00917D5E">
        <w:rPr>
          <w:rFonts w:ascii="Times New Roman" w:hAnsi="Times New Roman" w:cs="Times New Roman"/>
          <w:sz w:val="24"/>
          <w:szCs w:val="24"/>
        </w:rPr>
        <w:t>are</w:t>
      </w:r>
      <w:r w:rsidR="004C71A2">
        <w:rPr>
          <w:rFonts w:ascii="Times New Roman" w:hAnsi="Times New Roman" w:cs="Times New Roman"/>
          <w:sz w:val="24"/>
          <w:szCs w:val="24"/>
        </w:rPr>
        <w:t xml:space="preserve"> of particular interest in this area, as they are absent or marginally present in the other study sites. Also located in Cimarron County, the park is 45 minutes from Boise City. </w:t>
      </w:r>
    </w:p>
    <w:p w:rsidR="004C71A2" w:rsidRDefault="004C71A2" w:rsidP="004C71A2">
      <w:pPr>
        <w:pStyle w:val="ListParagraph"/>
        <w:tabs>
          <w:tab w:val="left" w:pos="1350"/>
          <w:tab w:val="left" w:pos="1620"/>
          <w:tab w:val="left" w:pos="1800"/>
        </w:tabs>
        <w:ind w:left="1350"/>
        <w:rPr>
          <w:rFonts w:ascii="Times New Roman" w:hAnsi="Times New Roman" w:cs="Times New Roman"/>
          <w:sz w:val="24"/>
          <w:szCs w:val="24"/>
        </w:rPr>
      </w:pPr>
    </w:p>
    <w:p w:rsidR="00D52831" w:rsidRPr="00D52831" w:rsidRDefault="00D52831" w:rsidP="00D52831">
      <w:pPr>
        <w:tabs>
          <w:tab w:val="left" w:pos="1080"/>
          <w:tab w:val="left" w:pos="1620"/>
          <w:tab w:val="left" w:pos="1800"/>
        </w:tabs>
        <w:ind w:left="1080"/>
        <w:rPr>
          <w:rFonts w:ascii="Times New Roman" w:hAnsi="Times New Roman" w:cs="Times New Roman"/>
          <w:sz w:val="24"/>
          <w:szCs w:val="24"/>
        </w:rPr>
      </w:pPr>
      <w:r>
        <w:rPr>
          <w:rFonts w:ascii="Times New Roman" w:hAnsi="Times New Roman" w:cs="Times New Roman"/>
          <w:sz w:val="24"/>
          <w:szCs w:val="24"/>
        </w:rPr>
        <w:t xml:space="preserve">Cassin’s Sparrows have been found to inhabit sections of all three sites. Variation in population abundance and choice of habitat within each area will be a focal point of this study. </w:t>
      </w:r>
    </w:p>
    <w:p w:rsidR="000179A3" w:rsidRPr="000179A3" w:rsidRDefault="000179A3" w:rsidP="000179A3">
      <w:pPr>
        <w:rPr>
          <w:rFonts w:ascii="Times New Roman" w:hAnsi="Times New Roman" w:cs="Times New Roman"/>
          <w:sz w:val="24"/>
          <w:szCs w:val="24"/>
        </w:rPr>
      </w:pPr>
      <w:r w:rsidRPr="000179A3">
        <w:rPr>
          <w:rFonts w:ascii="Times New Roman" w:hAnsi="Times New Roman" w:cs="Times New Roman"/>
          <w:sz w:val="24"/>
          <w:szCs w:val="24"/>
        </w:rPr>
        <w:t>Methods:</w:t>
      </w:r>
    </w:p>
    <w:p w:rsidR="00930971" w:rsidRDefault="00437D57" w:rsidP="006427E5">
      <w:pPr>
        <w:ind w:left="1080"/>
        <w:rPr>
          <w:rFonts w:ascii="Times New Roman" w:hAnsi="Times New Roman" w:cs="Times New Roman"/>
          <w:sz w:val="24"/>
          <w:szCs w:val="24"/>
        </w:rPr>
      </w:pPr>
      <w:r>
        <w:rPr>
          <w:rFonts w:ascii="Times New Roman" w:hAnsi="Times New Roman" w:cs="Times New Roman"/>
          <w:sz w:val="24"/>
          <w:szCs w:val="24"/>
        </w:rPr>
        <w:t>As of June 1, 2014, one survey has been taken in each of the three areas of interest. The surveys were set up as a grid system of points us</w:t>
      </w:r>
      <w:r w:rsidR="00F7088C">
        <w:rPr>
          <w:rFonts w:ascii="Times New Roman" w:hAnsi="Times New Roman" w:cs="Times New Roman"/>
          <w:sz w:val="24"/>
          <w:szCs w:val="24"/>
        </w:rPr>
        <w:t xml:space="preserve">ing </w:t>
      </w:r>
      <w:r w:rsidR="006427E5" w:rsidRPr="006427E5">
        <w:rPr>
          <w:rFonts w:ascii="Times New Roman" w:hAnsi="Times New Roman" w:cs="Times New Roman"/>
          <w:sz w:val="24"/>
          <w:szCs w:val="24"/>
        </w:rPr>
        <w:t>G</w:t>
      </w:r>
      <w:r>
        <w:rPr>
          <w:rFonts w:ascii="Times New Roman" w:hAnsi="Times New Roman" w:cs="Times New Roman"/>
          <w:sz w:val="24"/>
          <w:szCs w:val="24"/>
        </w:rPr>
        <w:t xml:space="preserve">oogle Earth. </w:t>
      </w:r>
      <w:r w:rsidR="00567C0F">
        <w:rPr>
          <w:rFonts w:ascii="Times New Roman" w:hAnsi="Times New Roman" w:cs="Times New Roman"/>
          <w:sz w:val="24"/>
          <w:szCs w:val="24"/>
        </w:rPr>
        <w:t>Each grid was plotted as five parallel transects running in an east to west direction. Each transect consisted of five points, with 100m between each point. The transect lines were also spaced at 100m</w:t>
      </w:r>
      <w:r w:rsidR="00007607">
        <w:rPr>
          <w:rFonts w:ascii="Times New Roman" w:hAnsi="Times New Roman" w:cs="Times New Roman"/>
          <w:sz w:val="24"/>
          <w:szCs w:val="24"/>
        </w:rPr>
        <w:t xml:space="preserve"> apart</w:t>
      </w:r>
      <w:r w:rsidR="00567C0F">
        <w:rPr>
          <w:rFonts w:ascii="Times New Roman" w:hAnsi="Times New Roman" w:cs="Times New Roman"/>
          <w:sz w:val="24"/>
          <w:szCs w:val="24"/>
        </w:rPr>
        <w:t xml:space="preserve"> to create a square of 400m by 400m. </w:t>
      </w:r>
    </w:p>
    <w:p w:rsidR="002C5BBE" w:rsidRDefault="002C5BBE" w:rsidP="006427E5">
      <w:pPr>
        <w:ind w:left="1080"/>
        <w:rPr>
          <w:rFonts w:ascii="Times New Roman" w:hAnsi="Times New Roman" w:cs="Times New Roman"/>
          <w:sz w:val="24"/>
          <w:szCs w:val="24"/>
        </w:rPr>
      </w:pPr>
      <w:r>
        <w:rPr>
          <w:rFonts w:ascii="Times New Roman" w:hAnsi="Times New Roman" w:cs="Times New Roman"/>
          <w:sz w:val="24"/>
          <w:szCs w:val="24"/>
        </w:rPr>
        <w:t xml:space="preserve">In order to better ascertain what habitat preferences the sparrows have when choosing a territory, the grids were plotted so as to contain vegetation predicted to be both favorable and unfavorable to the birds. The Optima WMA had been thoroughly scouted prior to creating a grid, and so a more balanced ratio of habitat was likely attained in that area. Rita Blanca WMA and Black Mesa State Park grids were placed based on terrain appearance on Google Earth. </w:t>
      </w:r>
    </w:p>
    <w:p w:rsidR="005F4553" w:rsidRDefault="00567C0F" w:rsidP="008D0C7F">
      <w:pPr>
        <w:ind w:left="1080"/>
        <w:rPr>
          <w:rFonts w:ascii="Times New Roman" w:hAnsi="Times New Roman" w:cs="Times New Roman"/>
          <w:sz w:val="24"/>
          <w:szCs w:val="24"/>
        </w:rPr>
      </w:pPr>
      <w:r>
        <w:rPr>
          <w:rFonts w:ascii="Times New Roman" w:hAnsi="Times New Roman" w:cs="Times New Roman"/>
          <w:sz w:val="24"/>
          <w:szCs w:val="24"/>
        </w:rPr>
        <w:t xml:space="preserve">Once plotted on Google Earth, the points were exported into Garmin </w:t>
      </w:r>
      <w:r w:rsidR="008D0C7F">
        <w:rPr>
          <w:rFonts w:ascii="Times New Roman" w:hAnsi="Times New Roman" w:cs="Times New Roman"/>
          <w:sz w:val="24"/>
          <w:szCs w:val="24"/>
        </w:rPr>
        <w:t xml:space="preserve">BaseCamp </w:t>
      </w:r>
      <w:r w:rsidR="00007607">
        <w:rPr>
          <w:rFonts w:ascii="Times New Roman" w:hAnsi="Times New Roman" w:cs="Times New Roman"/>
          <w:sz w:val="24"/>
          <w:szCs w:val="24"/>
        </w:rPr>
        <w:t>and then loaded on</w:t>
      </w:r>
      <w:r w:rsidR="008D0C7F">
        <w:rPr>
          <w:rFonts w:ascii="Times New Roman" w:hAnsi="Times New Roman" w:cs="Times New Roman"/>
          <w:sz w:val="24"/>
          <w:szCs w:val="24"/>
        </w:rPr>
        <w:t xml:space="preserve">to a Garmin Foretrex 301 </w:t>
      </w:r>
      <w:r>
        <w:rPr>
          <w:rFonts w:ascii="Times New Roman" w:hAnsi="Times New Roman" w:cs="Times New Roman"/>
          <w:sz w:val="24"/>
          <w:szCs w:val="24"/>
        </w:rPr>
        <w:t xml:space="preserve">GPS. </w:t>
      </w:r>
      <w:r w:rsidR="002C5BBE">
        <w:rPr>
          <w:rFonts w:ascii="Times New Roman" w:hAnsi="Times New Roman" w:cs="Times New Roman"/>
          <w:sz w:val="24"/>
          <w:szCs w:val="24"/>
        </w:rPr>
        <w:t xml:space="preserve">The surveys began at Point 1 of Transect A, </w:t>
      </w:r>
      <w:r w:rsidR="004628D8">
        <w:rPr>
          <w:rFonts w:ascii="Times New Roman" w:hAnsi="Times New Roman" w:cs="Times New Roman"/>
          <w:sz w:val="24"/>
          <w:szCs w:val="24"/>
        </w:rPr>
        <w:t>then continued</w:t>
      </w:r>
      <w:r w:rsidR="002C5BBE">
        <w:rPr>
          <w:rFonts w:ascii="Times New Roman" w:hAnsi="Times New Roman" w:cs="Times New Roman"/>
          <w:sz w:val="24"/>
          <w:szCs w:val="24"/>
        </w:rPr>
        <w:t xml:space="preserve"> in an east-to-west line through Points 2-5. At Point 5, surveyor walked 100m south to Point 6 on Transect B. Points 7-10 were completed in the same manner and opposite direction. Surveyor continued this zigzag pattern for Transects C-E. </w:t>
      </w:r>
    </w:p>
    <w:p w:rsidR="000179A3" w:rsidRDefault="002C5BBE" w:rsidP="008D0C7F">
      <w:pPr>
        <w:ind w:left="1080"/>
        <w:rPr>
          <w:rFonts w:ascii="Times New Roman" w:hAnsi="Times New Roman" w:cs="Times New Roman"/>
          <w:sz w:val="24"/>
          <w:szCs w:val="24"/>
        </w:rPr>
      </w:pPr>
      <w:r>
        <w:rPr>
          <w:rFonts w:ascii="Times New Roman" w:hAnsi="Times New Roman" w:cs="Times New Roman"/>
          <w:sz w:val="24"/>
          <w:szCs w:val="24"/>
        </w:rPr>
        <w:t>Upon reaching each point, a</w:t>
      </w:r>
      <w:r w:rsidR="00E857AC">
        <w:rPr>
          <w:rFonts w:ascii="Times New Roman" w:hAnsi="Times New Roman" w:cs="Times New Roman"/>
          <w:sz w:val="24"/>
          <w:szCs w:val="24"/>
        </w:rPr>
        <w:t xml:space="preserve"> Western Rivers Apache game caller (i.e. playback) was used to play the primary song of the Cassin’s Sparrow. This song was played once, followed by 30 seconds of obs</w:t>
      </w:r>
      <w:r w:rsidR="004628D8">
        <w:rPr>
          <w:rFonts w:ascii="Times New Roman" w:hAnsi="Times New Roman" w:cs="Times New Roman"/>
          <w:sz w:val="24"/>
          <w:szCs w:val="24"/>
        </w:rPr>
        <w:t>ervation. T</w:t>
      </w:r>
      <w:r w:rsidR="001C261E">
        <w:rPr>
          <w:rFonts w:ascii="Times New Roman" w:hAnsi="Times New Roman" w:cs="Times New Roman"/>
          <w:sz w:val="24"/>
          <w:szCs w:val="24"/>
        </w:rPr>
        <w:t>he sparrow’s call was then played once, followed by another 30 seconds of observation.</w:t>
      </w:r>
      <w:r w:rsidR="005F4553">
        <w:rPr>
          <w:rFonts w:ascii="Times New Roman" w:hAnsi="Times New Roman" w:cs="Times New Roman"/>
          <w:sz w:val="24"/>
          <w:szCs w:val="24"/>
        </w:rPr>
        <w:t xml:space="preserve"> Behavior of the sparrows was categorized from least to </w:t>
      </w:r>
      <w:r w:rsidR="00057BD9">
        <w:rPr>
          <w:rFonts w:ascii="Times New Roman" w:hAnsi="Times New Roman" w:cs="Times New Roman"/>
          <w:sz w:val="24"/>
          <w:szCs w:val="24"/>
        </w:rPr>
        <w:t>most aggressive response</w:t>
      </w:r>
      <w:r w:rsidR="005F4553">
        <w:rPr>
          <w:rFonts w:ascii="Times New Roman" w:hAnsi="Times New Roman" w:cs="Times New Roman"/>
          <w:sz w:val="24"/>
          <w:szCs w:val="24"/>
        </w:rPr>
        <w:t xml:space="preserve">, </w:t>
      </w:r>
      <w:r w:rsidR="00C22861">
        <w:rPr>
          <w:rFonts w:ascii="Times New Roman" w:hAnsi="Times New Roman" w:cs="Times New Roman"/>
          <w:b/>
          <w:sz w:val="24"/>
          <w:szCs w:val="24"/>
        </w:rPr>
        <w:t>Fig. 1</w:t>
      </w:r>
      <w:r w:rsidR="005F4553">
        <w:rPr>
          <w:rFonts w:ascii="Times New Roman" w:hAnsi="Times New Roman" w:cs="Times New Roman"/>
          <w:sz w:val="24"/>
          <w:szCs w:val="24"/>
        </w:rPr>
        <w:t xml:space="preserve">. </w:t>
      </w:r>
      <w:r w:rsidR="00057BD9">
        <w:rPr>
          <w:rFonts w:ascii="Times New Roman" w:hAnsi="Times New Roman" w:cs="Times New Roman"/>
          <w:sz w:val="24"/>
          <w:szCs w:val="24"/>
        </w:rPr>
        <w:t>The distance (m) and angle (in 360° circle from central po</w:t>
      </w:r>
      <w:r w:rsidR="008D7E62">
        <w:rPr>
          <w:rFonts w:ascii="Times New Roman" w:hAnsi="Times New Roman" w:cs="Times New Roman"/>
          <w:sz w:val="24"/>
          <w:szCs w:val="24"/>
        </w:rPr>
        <w:t>int with 0° in direction of current transect)</w:t>
      </w:r>
      <w:r w:rsidR="00EF09E7">
        <w:rPr>
          <w:rFonts w:ascii="Times New Roman" w:hAnsi="Times New Roman" w:cs="Times New Roman"/>
          <w:sz w:val="24"/>
          <w:szCs w:val="24"/>
        </w:rPr>
        <w:t xml:space="preserve"> of each bird was recorded as well. </w:t>
      </w:r>
      <w:r w:rsidR="005779CE">
        <w:rPr>
          <w:rFonts w:ascii="Times New Roman" w:hAnsi="Times New Roman" w:cs="Times New Roman"/>
          <w:sz w:val="24"/>
          <w:szCs w:val="24"/>
        </w:rPr>
        <w:t xml:space="preserve">The playback was held at arm’s length, at full volume, and played with both speakers facing along the line of the transect. </w:t>
      </w:r>
      <w:r w:rsidR="00280879">
        <w:rPr>
          <w:rFonts w:ascii="Times New Roman" w:hAnsi="Times New Roman" w:cs="Times New Roman"/>
          <w:sz w:val="24"/>
          <w:szCs w:val="24"/>
        </w:rPr>
        <w:t xml:space="preserve">Song and call were exported to playback using Xeno-canto. </w:t>
      </w:r>
    </w:p>
    <w:p w:rsidR="005A5AF2" w:rsidRDefault="005A5AF2" w:rsidP="00443905">
      <w:pPr>
        <w:rPr>
          <w:rFonts w:ascii="Times New Roman" w:hAnsi="Times New Roman" w:cs="Times New Roman"/>
          <w:sz w:val="24"/>
          <w:szCs w:val="24"/>
        </w:rPr>
      </w:pPr>
    </w:p>
    <w:tbl>
      <w:tblPr>
        <w:tblpPr w:leftFromText="180" w:rightFromText="180" w:vertAnchor="text" w:horzAnchor="page" w:tblpX="2445" w:tblpYSpec="inside"/>
        <w:tblOverlap w:val="never"/>
        <w:tblW w:w="0" w:type="auto"/>
        <w:tblLayout w:type="fixed"/>
        <w:tblLook w:val="0000" w:firstRow="0" w:lastRow="0" w:firstColumn="0" w:lastColumn="0" w:noHBand="0" w:noVBand="0"/>
      </w:tblPr>
      <w:tblGrid>
        <w:gridCol w:w="2578"/>
        <w:gridCol w:w="1032"/>
        <w:gridCol w:w="2368"/>
      </w:tblGrid>
      <w:tr w:rsidR="005A5AF2" w:rsidTr="002A3C37">
        <w:trPr>
          <w:trHeight w:val="290"/>
        </w:trPr>
        <w:tc>
          <w:tcPr>
            <w:tcW w:w="2578" w:type="dxa"/>
            <w:tcBorders>
              <w:top w:val="single" w:sz="6" w:space="0" w:color="FFCC99"/>
              <w:left w:val="single" w:sz="6" w:space="0" w:color="FFCC99"/>
              <w:bottom w:val="single" w:sz="6" w:space="0" w:color="FFCC99"/>
              <w:right w:val="nil"/>
            </w:tcBorders>
            <w:shd w:val="solid" w:color="FF6600" w:fill="FF6600"/>
          </w:tcPr>
          <w:p w:rsidR="005A5AF2" w:rsidRDefault="005A5AF2" w:rsidP="002A3C37">
            <w:pPr>
              <w:autoSpaceDE w:val="0"/>
              <w:autoSpaceDN w:val="0"/>
              <w:adjustRightInd w:val="0"/>
              <w:spacing w:after="0" w:line="240" w:lineRule="auto"/>
              <w:rPr>
                <w:rFonts w:ascii="Calibri" w:hAnsi="Calibri" w:cs="Calibri"/>
                <w:b/>
                <w:bCs/>
                <w:color w:val="FFFFFF"/>
                <w:kern w:val="0"/>
              </w:rPr>
            </w:pPr>
            <w:r>
              <w:rPr>
                <w:rFonts w:ascii="Calibri" w:hAnsi="Calibri" w:cs="Calibri"/>
                <w:b/>
                <w:bCs/>
                <w:color w:val="FFFFFF"/>
                <w:kern w:val="0"/>
              </w:rPr>
              <w:t>Behavior</w:t>
            </w:r>
          </w:p>
        </w:tc>
        <w:tc>
          <w:tcPr>
            <w:tcW w:w="1032" w:type="dxa"/>
            <w:tcBorders>
              <w:top w:val="single" w:sz="6" w:space="0" w:color="FFCC99"/>
              <w:left w:val="nil"/>
              <w:bottom w:val="single" w:sz="6" w:space="0" w:color="FFCC99"/>
              <w:right w:val="nil"/>
            </w:tcBorders>
            <w:shd w:val="solid" w:color="FF6600" w:fill="FF6600"/>
          </w:tcPr>
          <w:p w:rsidR="005A5AF2" w:rsidRDefault="005A5AF2" w:rsidP="002A3C37">
            <w:pPr>
              <w:autoSpaceDE w:val="0"/>
              <w:autoSpaceDN w:val="0"/>
              <w:adjustRightInd w:val="0"/>
              <w:spacing w:after="0" w:line="240" w:lineRule="auto"/>
              <w:rPr>
                <w:rFonts w:ascii="Calibri" w:hAnsi="Calibri" w:cs="Calibri"/>
                <w:b/>
                <w:bCs/>
                <w:color w:val="FFFFFF"/>
                <w:kern w:val="0"/>
              </w:rPr>
            </w:pPr>
            <w:r>
              <w:rPr>
                <w:rFonts w:ascii="Calibri" w:hAnsi="Calibri" w:cs="Calibri"/>
                <w:b/>
                <w:bCs/>
                <w:color w:val="FFFFFF"/>
                <w:kern w:val="0"/>
              </w:rPr>
              <w:t>Code</w:t>
            </w:r>
          </w:p>
        </w:tc>
        <w:tc>
          <w:tcPr>
            <w:tcW w:w="2368" w:type="dxa"/>
            <w:tcBorders>
              <w:top w:val="single" w:sz="6" w:space="0" w:color="FFCC99"/>
              <w:left w:val="nil"/>
              <w:bottom w:val="single" w:sz="6" w:space="0" w:color="FFCC99"/>
              <w:right w:val="single" w:sz="6" w:space="0" w:color="FFCC99"/>
            </w:tcBorders>
            <w:shd w:val="solid" w:color="FF6600" w:fill="FF6600"/>
          </w:tcPr>
          <w:p w:rsidR="005A5AF2" w:rsidRDefault="005A5AF2" w:rsidP="002A3C37">
            <w:pPr>
              <w:autoSpaceDE w:val="0"/>
              <w:autoSpaceDN w:val="0"/>
              <w:adjustRightInd w:val="0"/>
              <w:spacing w:after="0" w:line="240" w:lineRule="auto"/>
              <w:rPr>
                <w:rFonts w:ascii="Calibri" w:hAnsi="Calibri" w:cs="Calibri"/>
                <w:b/>
                <w:bCs/>
                <w:color w:val="FFFFFF"/>
                <w:kern w:val="0"/>
              </w:rPr>
            </w:pPr>
            <w:r>
              <w:rPr>
                <w:rFonts w:ascii="Calibri" w:hAnsi="Calibri" w:cs="Calibri"/>
                <w:b/>
                <w:bCs/>
                <w:color w:val="FFFFFF"/>
                <w:kern w:val="0"/>
              </w:rPr>
              <w:t>Level of Aggression</w:t>
            </w:r>
          </w:p>
        </w:tc>
      </w:tr>
      <w:tr w:rsidR="005A5AF2" w:rsidTr="002A3C37">
        <w:trPr>
          <w:trHeight w:val="290"/>
        </w:trPr>
        <w:tc>
          <w:tcPr>
            <w:tcW w:w="2578" w:type="dxa"/>
            <w:tcBorders>
              <w:top w:val="single" w:sz="6" w:space="0" w:color="FFCC99"/>
              <w:left w:val="single" w:sz="6" w:space="0" w:color="FFCC99"/>
              <w:bottom w:val="single" w:sz="6" w:space="0" w:color="FFCC99"/>
              <w:right w:val="nil"/>
            </w:tcBorders>
          </w:tcPr>
          <w:p w:rsidR="005A5AF2" w:rsidRDefault="005A5AF2" w:rsidP="002A3C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Distant song</w:t>
            </w:r>
          </w:p>
        </w:tc>
        <w:tc>
          <w:tcPr>
            <w:tcW w:w="1032" w:type="dxa"/>
            <w:tcBorders>
              <w:top w:val="single" w:sz="6" w:space="0" w:color="FFCC99"/>
              <w:left w:val="nil"/>
              <w:bottom w:val="single" w:sz="6" w:space="0" w:color="FFCC99"/>
              <w:right w:val="nil"/>
            </w:tcBorders>
          </w:tcPr>
          <w:p w:rsidR="005A5AF2" w:rsidRDefault="005A5AF2" w:rsidP="002A3C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DS</w:t>
            </w:r>
          </w:p>
        </w:tc>
        <w:tc>
          <w:tcPr>
            <w:tcW w:w="2368" w:type="dxa"/>
            <w:tcBorders>
              <w:top w:val="single" w:sz="6" w:space="0" w:color="FFCC99"/>
              <w:left w:val="nil"/>
              <w:bottom w:val="single" w:sz="6" w:space="0" w:color="FFCC99"/>
              <w:right w:val="single" w:sz="6" w:space="0" w:color="FFCC99"/>
            </w:tcBorders>
          </w:tcPr>
          <w:p w:rsidR="005A5AF2" w:rsidRDefault="005A5AF2" w:rsidP="002A3C37">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1</w:t>
            </w:r>
          </w:p>
        </w:tc>
      </w:tr>
      <w:tr w:rsidR="005A5AF2" w:rsidTr="002A3C37">
        <w:trPr>
          <w:trHeight w:val="290"/>
        </w:trPr>
        <w:tc>
          <w:tcPr>
            <w:tcW w:w="2578" w:type="dxa"/>
            <w:tcBorders>
              <w:top w:val="single" w:sz="6" w:space="0" w:color="FFCC99"/>
              <w:left w:val="single" w:sz="6" w:space="0" w:color="FFCC99"/>
              <w:bottom w:val="single" w:sz="6" w:space="0" w:color="FFCC99"/>
              <w:right w:val="nil"/>
            </w:tcBorders>
          </w:tcPr>
          <w:p w:rsidR="005A5AF2" w:rsidRDefault="005A5AF2" w:rsidP="002A3C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Chip notes</w:t>
            </w:r>
          </w:p>
        </w:tc>
        <w:tc>
          <w:tcPr>
            <w:tcW w:w="1032" w:type="dxa"/>
            <w:tcBorders>
              <w:top w:val="single" w:sz="6" w:space="0" w:color="FFCC99"/>
              <w:left w:val="nil"/>
              <w:bottom w:val="single" w:sz="6" w:space="0" w:color="FFCC99"/>
              <w:right w:val="nil"/>
            </w:tcBorders>
          </w:tcPr>
          <w:p w:rsidR="005A5AF2" w:rsidRDefault="005A5AF2" w:rsidP="002A3C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CN</w:t>
            </w:r>
          </w:p>
        </w:tc>
        <w:tc>
          <w:tcPr>
            <w:tcW w:w="2368" w:type="dxa"/>
            <w:tcBorders>
              <w:top w:val="single" w:sz="6" w:space="0" w:color="FFCC99"/>
              <w:left w:val="nil"/>
              <w:bottom w:val="single" w:sz="6" w:space="0" w:color="FFCC99"/>
              <w:right w:val="single" w:sz="6" w:space="0" w:color="FFCC99"/>
            </w:tcBorders>
          </w:tcPr>
          <w:p w:rsidR="005A5AF2" w:rsidRDefault="005A5AF2" w:rsidP="002A3C37">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2</w:t>
            </w:r>
          </w:p>
        </w:tc>
      </w:tr>
      <w:tr w:rsidR="005A5AF2" w:rsidTr="002A3C37">
        <w:trPr>
          <w:trHeight w:val="290"/>
        </w:trPr>
        <w:tc>
          <w:tcPr>
            <w:tcW w:w="2578" w:type="dxa"/>
            <w:tcBorders>
              <w:top w:val="single" w:sz="6" w:space="0" w:color="FFCC99"/>
              <w:left w:val="single" w:sz="6" w:space="0" w:color="FFCC99"/>
              <w:bottom w:val="single" w:sz="6" w:space="0" w:color="FFCC99"/>
              <w:right w:val="nil"/>
            </w:tcBorders>
          </w:tcPr>
          <w:p w:rsidR="005A5AF2" w:rsidRDefault="005A5AF2" w:rsidP="002A3C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Counter song</w:t>
            </w:r>
          </w:p>
        </w:tc>
        <w:tc>
          <w:tcPr>
            <w:tcW w:w="1032" w:type="dxa"/>
            <w:tcBorders>
              <w:top w:val="single" w:sz="6" w:space="0" w:color="FFCC99"/>
              <w:left w:val="nil"/>
              <w:bottom w:val="single" w:sz="6" w:space="0" w:color="FFCC99"/>
              <w:right w:val="nil"/>
            </w:tcBorders>
          </w:tcPr>
          <w:p w:rsidR="005A5AF2" w:rsidRDefault="005A5AF2" w:rsidP="002A3C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CS</w:t>
            </w:r>
          </w:p>
        </w:tc>
        <w:tc>
          <w:tcPr>
            <w:tcW w:w="2368" w:type="dxa"/>
            <w:tcBorders>
              <w:top w:val="single" w:sz="6" w:space="0" w:color="FFCC99"/>
              <w:left w:val="nil"/>
              <w:bottom w:val="single" w:sz="6" w:space="0" w:color="FFCC99"/>
              <w:right w:val="single" w:sz="6" w:space="0" w:color="FFCC99"/>
            </w:tcBorders>
          </w:tcPr>
          <w:p w:rsidR="005A5AF2" w:rsidRDefault="005A5AF2" w:rsidP="002A3C37">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3</w:t>
            </w:r>
          </w:p>
        </w:tc>
      </w:tr>
      <w:tr w:rsidR="005A5AF2" w:rsidTr="002A3C37">
        <w:trPr>
          <w:trHeight w:val="290"/>
        </w:trPr>
        <w:tc>
          <w:tcPr>
            <w:tcW w:w="2578" w:type="dxa"/>
            <w:tcBorders>
              <w:top w:val="single" w:sz="6" w:space="0" w:color="FFCC99"/>
              <w:left w:val="single" w:sz="6" w:space="0" w:color="FFCC99"/>
              <w:bottom w:val="single" w:sz="6" w:space="0" w:color="FFCC99"/>
              <w:right w:val="nil"/>
            </w:tcBorders>
          </w:tcPr>
          <w:p w:rsidR="005A5AF2" w:rsidRDefault="005A5AF2" w:rsidP="002A3C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Counter display</w:t>
            </w:r>
          </w:p>
        </w:tc>
        <w:tc>
          <w:tcPr>
            <w:tcW w:w="1032" w:type="dxa"/>
            <w:tcBorders>
              <w:top w:val="single" w:sz="6" w:space="0" w:color="FFCC99"/>
              <w:left w:val="nil"/>
              <w:bottom w:val="single" w:sz="6" w:space="0" w:color="FFCC99"/>
              <w:right w:val="nil"/>
            </w:tcBorders>
          </w:tcPr>
          <w:p w:rsidR="005A5AF2" w:rsidRDefault="005A5AF2" w:rsidP="002A3C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CD</w:t>
            </w:r>
          </w:p>
        </w:tc>
        <w:tc>
          <w:tcPr>
            <w:tcW w:w="2368" w:type="dxa"/>
            <w:tcBorders>
              <w:top w:val="single" w:sz="6" w:space="0" w:color="FFCC99"/>
              <w:left w:val="nil"/>
              <w:bottom w:val="single" w:sz="6" w:space="0" w:color="FFCC99"/>
              <w:right w:val="single" w:sz="6" w:space="0" w:color="FFCC99"/>
            </w:tcBorders>
          </w:tcPr>
          <w:p w:rsidR="005A5AF2" w:rsidRDefault="005A5AF2" w:rsidP="002A3C37">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4</w:t>
            </w:r>
          </w:p>
        </w:tc>
      </w:tr>
      <w:tr w:rsidR="005A5AF2" w:rsidTr="002A3C37">
        <w:trPr>
          <w:trHeight w:val="290"/>
        </w:trPr>
        <w:tc>
          <w:tcPr>
            <w:tcW w:w="2578" w:type="dxa"/>
            <w:tcBorders>
              <w:top w:val="single" w:sz="6" w:space="0" w:color="FFCC99"/>
              <w:left w:val="single" w:sz="6" w:space="0" w:color="FFCC99"/>
              <w:bottom w:val="single" w:sz="6" w:space="0" w:color="FFCC99"/>
              <w:right w:val="nil"/>
            </w:tcBorders>
          </w:tcPr>
          <w:p w:rsidR="005A5AF2" w:rsidRDefault="005A5AF2" w:rsidP="002A3C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Approach</w:t>
            </w:r>
          </w:p>
        </w:tc>
        <w:tc>
          <w:tcPr>
            <w:tcW w:w="1032" w:type="dxa"/>
            <w:tcBorders>
              <w:top w:val="single" w:sz="6" w:space="0" w:color="FFCC99"/>
              <w:left w:val="nil"/>
              <w:bottom w:val="single" w:sz="6" w:space="0" w:color="FFCC99"/>
              <w:right w:val="nil"/>
            </w:tcBorders>
          </w:tcPr>
          <w:p w:rsidR="005A5AF2" w:rsidRDefault="005A5AF2" w:rsidP="002A3C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APP</w:t>
            </w:r>
          </w:p>
        </w:tc>
        <w:tc>
          <w:tcPr>
            <w:tcW w:w="2368" w:type="dxa"/>
            <w:tcBorders>
              <w:top w:val="single" w:sz="6" w:space="0" w:color="FFCC99"/>
              <w:left w:val="nil"/>
              <w:bottom w:val="single" w:sz="6" w:space="0" w:color="FFCC99"/>
              <w:right w:val="single" w:sz="6" w:space="0" w:color="FFCC99"/>
            </w:tcBorders>
          </w:tcPr>
          <w:p w:rsidR="005A5AF2" w:rsidRDefault="005A5AF2" w:rsidP="002A3C37">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5</w:t>
            </w:r>
          </w:p>
        </w:tc>
      </w:tr>
      <w:tr w:rsidR="005A5AF2" w:rsidTr="002A3C37">
        <w:trPr>
          <w:trHeight w:val="290"/>
        </w:trPr>
        <w:tc>
          <w:tcPr>
            <w:tcW w:w="2578" w:type="dxa"/>
            <w:tcBorders>
              <w:top w:val="single" w:sz="6" w:space="0" w:color="FFCC99"/>
              <w:left w:val="single" w:sz="6" w:space="0" w:color="FFCC99"/>
              <w:bottom w:val="single" w:sz="6" w:space="0" w:color="FFCC99"/>
              <w:right w:val="nil"/>
            </w:tcBorders>
          </w:tcPr>
          <w:p w:rsidR="005A5AF2" w:rsidRDefault="005A5AF2" w:rsidP="002A3C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Circling the playback</w:t>
            </w:r>
          </w:p>
        </w:tc>
        <w:tc>
          <w:tcPr>
            <w:tcW w:w="1032" w:type="dxa"/>
            <w:tcBorders>
              <w:top w:val="single" w:sz="6" w:space="0" w:color="FFCC99"/>
              <w:left w:val="nil"/>
              <w:bottom w:val="single" w:sz="6" w:space="0" w:color="FFCC99"/>
              <w:right w:val="nil"/>
            </w:tcBorders>
          </w:tcPr>
          <w:p w:rsidR="005A5AF2" w:rsidRDefault="005A5AF2" w:rsidP="002A3C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CPB</w:t>
            </w:r>
          </w:p>
        </w:tc>
        <w:tc>
          <w:tcPr>
            <w:tcW w:w="2368" w:type="dxa"/>
            <w:tcBorders>
              <w:top w:val="single" w:sz="6" w:space="0" w:color="FFCC99"/>
              <w:left w:val="nil"/>
              <w:bottom w:val="single" w:sz="6" w:space="0" w:color="FFCC99"/>
              <w:right w:val="single" w:sz="6" w:space="0" w:color="FFCC99"/>
            </w:tcBorders>
          </w:tcPr>
          <w:p w:rsidR="005A5AF2" w:rsidRDefault="005A5AF2" w:rsidP="002A3C37">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w:t>
            </w:r>
          </w:p>
        </w:tc>
      </w:tr>
      <w:tr w:rsidR="005A5AF2" w:rsidTr="002A3C37">
        <w:trPr>
          <w:trHeight w:val="290"/>
        </w:trPr>
        <w:tc>
          <w:tcPr>
            <w:tcW w:w="2578" w:type="dxa"/>
            <w:tcBorders>
              <w:top w:val="single" w:sz="6" w:space="0" w:color="FFCC99"/>
              <w:left w:val="single" w:sz="6" w:space="0" w:color="FFCC99"/>
              <w:bottom w:val="single" w:sz="6" w:space="0" w:color="FFCC99"/>
              <w:right w:val="nil"/>
            </w:tcBorders>
          </w:tcPr>
          <w:p w:rsidR="005A5AF2" w:rsidRDefault="005A5AF2" w:rsidP="002A3C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Aggressive counter song</w:t>
            </w:r>
          </w:p>
        </w:tc>
        <w:tc>
          <w:tcPr>
            <w:tcW w:w="1032" w:type="dxa"/>
            <w:tcBorders>
              <w:top w:val="single" w:sz="6" w:space="0" w:color="FFCC99"/>
              <w:left w:val="nil"/>
              <w:bottom w:val="single" w:sz="6" w:space="0" w:color="FFCC99"/>
              <w:right w:val="nil"/>
            </w:tcBorders>
          </w:tcPr>
          <w:p w:rsidR="005A5AF2" w:rsidRDefault="005A5AF2" w:rsidP="002A3C37">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ACS</w:t>
            </w:r>
          </w:p>
        </w:tc>
        <w:tc>
          <w:tcPr>
            <w:tcW w:w="2368" w:type="dxa"/>
            <w:tcBorders>
              <w:top w:val="single" w:sz="6" w:space="0" w:color="FFCC99"/>
              <w:left w:val="nil"/>
              <w:bottom w:val="single" w:sz="6" w:space="0" w:color="FFCC99"/>
              <w:right w:val="single" w:sz="6" w:space="0" w:color="FFCC99"/>
            </w:tcBorders>
          </w:tcPr>
          <w:p w:rsidR="005A5AF2" w:rsidRDefault="005A5AF2" w:rsidP="002A3C37">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7</w:t>
            </w:r>
          </w:p>
        </w:tc>
      </w:tr>
    </w:tbl>
    <w:p w:rsidR="005A5AF2" w:rsidRDefault="005A5AF2" w:rsidP="005A5AF2">
      <w:pPr>
        <w:rPr>
          <w:rFonts w:ascii="Times New Roman" w:hAnsi="Times New Roman" w:cs="Times New Roman"/>
          <w:sz w:val="24"/>
          <w:szCs w:val="24"/>
        </w:rPr>
      </w:pPr>
    </w:p>
    <w:p w:rsidR="005A5AF2" w:rsidRPr="005A5AF2" w:rsidRDefault="005A5AF2" w:rsidP="005A5AF2">
      <w:pPr>
        <w:rPr>
          <w:rFonts w:ascii="Times New Roman" w:hAnsi="Times New Roman" w:cs="Times New Roman"/>
          <w:sz w:val="24"/>
          <w:szCs w:val="24"/>
        </w:rPr>
      </w:pPr>
    </w:p>
    <w:p w:rsidR="005A5AF2" w:rsidRPr="005A5AF2" w:rsidRDefault="005A5AF2" w:rsidP="005A5AF2">
      <w:pPr>
        <w:rPr>
          <w:rFonts w:ascii="Times New Roman" w:hAnsi="Times New Roman" w:cs="Times New Roman"/>
          <w:sz w:val="24"/>
          <w:szCs w:val="24"/>
        </w:rPr>
      </w:pPr>
    </w:p>
    <w:p w:rsidR="005A5AF2" w:rsidRPr="005A5AF2" w:rsidRDefault="005A5AF2" w:rsidP="005A5AF2">
      <w:pPr>
        <w:rPr>
          <w:rFonts w:ascii="Times New Roman" w:hAnsi="Times New Roman" w:cs="Times New Roman"/>
          <w:sz w:val="24"/>
          <w:szCs w:val="24"/>
        </w:rPr>
      </w:pPr>
    </w:p>
    <w:p w:rsidR="005A5AF2" w:rsidRDefault="005A5AF2" w:rsidP="005A5AF2">
      <w:pPr>
        <w:rPr>
          <w:rFonts w:ascii="Times New Roman" w:hAnsi="Times New Roman" w:cs="Times New Roman"/>
          <w:sz w:val="24"/>
          <w:szCs w:val="24"/>
        </w:rPr>
      </w:pPr>
    </w:p>
    <w:p w:rsidR="002A3C37" w:rsidRDefault="002A3C37" w:rsidP="002A3C37">
      <w:pPr>
        <w:rPr>
          <w:rFonts w:ascii="Times New Roman" w:hAnsi="Times New Roman" w:cs="Times New Roman"/>
          <w:sz w:val="24"/>
          <w:szCs w:val="24"/>
        </w:rPr>
      </w:pPr>
    </w:p>
    <w:p w:rsidR="002A3C37" w:rsidRPr="002A3C37" w:rsidRDefault="004C4C66" w:rsidP="002A3C37">
      <w:pPr>
        <w:spacing w:line="240" w:lineRule="auto"/>
        <w:ind w:left="990"/>
        <w:rPr>
          <w:rFonts w:ascii="Times New Roman" w:hAnsi="Times New Roman" w:cs="Times New Roman"/>
          <w:sz w:val="24"/>
          <w:szCs w:val="24"/>
        </w:rPr>
      </w:pPr>
      <w:r>
        <w:rPr>
          <w:rFonts w:ascii="Times New Roman" w:hAnsi="Times New Roman" w:cs="Times New Roman"/>
          <w:b/>
          <w:sz w:val="24"/>
          <w:szCs w:val="24"/>
        </w:rPr>
        <w:t>Table</w:t>
      </w:r>
      <w:bookmarkStart w:id="0" w:name="_GoBack"/>
      <w:bookmarkEnd w:id="0"/>
      <w:r w:rsidR="00C22861">
        <w:rPr>
          <w:rFonts w:ascii="Times New Roman" w:hAnsi="Times New Roman" w:cs="Times New Roman"/>
          <w:b/>
          <w:sz w:val="24"/>
          <w:szCs w:val="24"/>
        </w:rPr>
        <w:t xml:space="preserve"> 1:</w:t>
      </w:r>
      <w:r w:rsidR="002A3C37">
        <w:rPr>
          <w:rFonts w:ascii="Times New Roman" w:hAnsi="Times New Roman" w:cs="Times New Roman"/>
          <w:b/>
          <w:sz w:val="24"/>
          <w:szCs w:val="24"/>
        </w:rPr>
        <w:t xml:space="preserve"> </w:t>
      </w:r>
      <w:r w:rsidR="002A3C37">
        <w:rPr>
          <w:rFonts w:ascii="Times New Roman" w:hAnsi="Times New Roman" w:cs="Times New Roman"/>
          <w:sz w:val="24"/>
          <w:szCs w:val="24"/>
        </w:rPr>
        <w:t xml:space="preserve">Table showing categorization of Cassin’s Sparrow behavior by level of aggression. Level 1 is least aggressive and Level 6 is most aggressive response. </w:t>
      </w:r>
    </w:p>
    <w:p w:rsidR="00DA2C5A" w:rsidRDefault="00DA2C5A" w:rsidP="00DA2C5A">
      <w:pPr>
        <w:rPr>
          <w:rFonts w:ascii="Times New Roman" w:hAnsi="Times New Roman" w:cs="Times New Roman"/>
          <w:sz w:val="24"/>
          <w:szCs w:val="24"/>
        </w:rPr>
      </w:pPr>
    </w:p>
    <w:p w:rsidR="00427FFB" w:rsidRDefault="008D7E62" w:rsidP="00427FFB">
      <w:pPr>
        <w:ind w:left="1080"/>
        <w:rPr>
          <w:rFonts w:ascii="Times New Roman" w:hAnsi="Times New Roman" w:cs="Times New Roman"/>
          <w:sz w:val="24"/>
          <w:szCs w:val="24"/>
        </w:rPr>
      </w:pPr>
      <w:r>
        <w:rPr>
          <w:rFonts w:ascii="Times New Roman" w:hAnsi="Times New Roman" w:cs="Times New Roman"/>
          <w:sz w:val="24"/>
          <w:szCs w:val="24"/>
        </w:rPr>
        <w:t>In addition to the counts specific to Cassin’s Sparrows, general point counts were conducted</w:t>
      </w:r>
      <w:r w:rsidR="001A0578">
        <w:rPr>
          <w:rFonts w:ascii="Times New Roman" w:hAnsi="Times New Roman" w:cs="Times New Roman"/>
          <w:sz w:val="24"/>
          <w:szCs w:val="24"/>
        </w:rPr>
        <w:t xml:space="preserve"> at Points 1,3,5,11,13,15,21,23,25. Point counts lasted for three minutes each. Observations recorded included start time, cloud cover, wind speed, whether the bird was heard or seen, the distance (m) and the angle (in 360° circle from central point with 0° </w:t>
      </w:r>
      <w:r w:rsidR="00443905">
        <w:rPr>
          <w:rFonts w:ascii="Times New Roman" w:hAnsi="Times New Roman" w:cs="Times New Roman"/>
          <w:sz w:val="24"/>
          <w:szCs w:val="24"/>
        </w:rPr>
        <w:t>facing n</w:t>
      </w:r>
      <w:r w:rsidR="001A0578">
        <w:rPr>
          <w:rFonts w:ascii="Times New Roman" w:hAnsi="Times New Roman" w:cs="Times New Roman"/>
          <w:sz w:val="24"/>
          <w:szCs w:val="24"/>
        </w:rPr>
        <w:t>ort</w:t>
      </w:r>
      <w:r w:rsidR="004364AA">
        <w:rPr>
          <w:rFonts w:ascii="Times New Roman" w:hAnsi="Times New Roman" w:cs="Times New Roman"/>
          <w:sz w:val="24"/>
          <w:szCs w:val="24"/>
        </w:rPr>
        <w:t>h).</w:t>
      </w:r>
    </w:p>
    <w:p w:rsidR="00427FFB" w:rsidRDefault="00427FFB" w:rsidP="00EF09E7">
      <w:pPr>
        <w:ind w:left="1080"/>
        <w:rPr>
          <w:rFonts w:ascii="Times New Roman" w:hAnsi="Times New Roman" w:cs="Times New Roman"/>
          <w:sz w:val="24"/>
          <w:szCs w:val="24"/>
        </w:rPr>
      </w:pPr>
      <w:r>
        <w:rPr>
          <w:rFonts w:ascii="Times New Roman" w:hAnsi="Times New Roman" w:cs="Times New Roman"/>
          <w:sz w:val="24"/>
          <w:szCs w:val="24"/>
        </w:rPr>
        <w:t xml:space="preserve">Time between points averaged approximately 5 minutes and total time for each survey ranged from 2 to 3 hours. </w:t>
      </w:r>
    </w:p>
    <w:p w:rsidR="00EF09E7" w:rsidRDefault="00194C74" w:rsidP="00DA2C5A">
      <w:pPr>
        <w:rPr>
          <w:rFonts w:ascii="Times New Roman" w:hAnsi="Times New Roman" w:cs="Times New Roman"/>
          <w:sz w:val="24"/>
          <w:szCs w:val="24"/>
        </w:rPr>
      </w:pPr>
      <w:r>
        <w:rPr>
          <w:rFonts w:ascii="Times New Roman" w:hAnsi="Times New Roman" w:cs="Times New Roman"/>
          <w:sz w:val="24"/>
          <w:szCs w:val="24"/>
        </w:rPr>
        <w:t>Vegetation Surveys</w:t>
      </w:r>
    </w:p>
    <w:p w:rsidR="00194C74" w:rsidRDefault="00194C74" w:rsidP="00DA2C5A">
      <w:pPr>
        <w:rPr>
          <w:rFonts w:ascii="Times New Roman" w:hAnsi="Times New Roman" w:cs="Times New Roman"/>
          <w:sz w:val="24"/>
          <w:szCs w:val="24"/>
        </w:rPr>
      </w:pPr>
      <w:r>
        <w:rPr>
          <w:rFonts w:ascii="Times New Roman" w:hAnsi="Times New Roman" w:cs="Times New Roman"/>
          <w:sz w:val="24"/>
          <w:szCs w:val="24"/>
        </w:rPr>
        <w:tab/>
        <w:t xml:space="preserve">At each sampling location we evaluated the vegetation </w:t>
      </w:r>
      <w:r w:rsidR="00893B0F">
        <w:rPr>
          <w:rFonts w:ascii="Times New Roman" w:hAnsi="Times New Roman" w:cs="Times New Roman"/>
          <w:sz w:val="24"/>
          <w:szCs w:val="24"/>
        </w:rPr>
        <w:t>at</w:t>
      </w:r>
      <w:r>
        <w:rPr>
          <w:rFonts w:ascii="Times New Roman" w:hAnsi="Times New Roman" w:cs="Times New Roman"/>
          <w:sz w:val="24"/>
          <w:szCs w:val="24"/>
        </w:rPr>
        <w:t xml:space="preserve"> </w:t>
      </w:r>
      <w:r w:rsidR="00893B0F">
        <w:rPr>
          <w:rFonts w:ascii="Times New Roman" w:hAnsi="Times New Roman" w:cs="Times New Roman"/>
          <w:sz w:val="24"/>
          <w:szCs w:val="24"/>
        </w:rPr>
        <w:t xml:space="preserve">the spot as well as at </w:t>
      </w:r>
      <w:r>
        <w:rPr>
          <w:rFonts w:ascii="Times New Roman" w:hAnsi="Times New Roman" w:cs="Times New Roman"/>
          <w:sz w:val="24"/>
          <w:szCs w:val="24"/>
        </w:rPr>
        <w:t xml:space="preserve">10m </w:t>
      </w:r>
      <w:r w:rsidR="00893B0F">
        <w:rPr>
          <w:rFonts w:ascii="Times New Roman" w:hAnsi="Times New Roman" w:cs="Times New Roman"/>
          <w:sz w:val="24"/>
          <w:szCs w:val="24"/>
        </w:rPr>
        <w:t>distances toward</w:t>
      </w:r>
      <w:r>
        <w:rPr>
          <w:rFonts w:ascii="Times New Roman" w:hAnsi="Times New Roman" w:cs="Times New Roman"/>
          <w:sz w:val="24"/>
          <w:szCs w:val="24"/>
        </w:rPr>
        <w:t xml:space="preserve"> each cardinal direction using a Daubenmire sampling approach (1m</w:t>
      </w:r>
      <w:r w:rsidRPr="00194C74">
        <w:rPr>
          <w:rFonts w:ascii="Times New Roman" w:hAnsi="Times New Roman" w:cs="Times New Roman"/>
          <w:sz w:val="24"/>
          <w:szCs w:val="24"/>
          <w:vertAlign w:val="superscript"/>
        </w:rPr>
        <w:t>2</w:t>
      </w:r>
      <w:r>
        <w:rPr>
          <w:rFonts w:ascii="Times New Roman" w:hAnsi="Times New Roman" w:cs="Times New Roman"/>
          <w:sz w:val="24"/>
          <w:szCs w:val="24"/>
        </w:rPr>
        <w:t xml:space="preserve"> plot). We recorded the estimated proportion of live grasses, live forbs/woody vegetation, standing dead plant material, bare ground, and vegetative litter.</w:t>
      </w:r>
      <w:r w:rsidR="00234927">
        <w:rPr>
          <w:rFonts w:ascii="Times New Roman" w:hAnsi="Times New Roman" w:cs="Times New Roman"/>
          <w:sz w:val="24"/>
          <w:szCs w:val="24"/>
        </w:rPr>
        <w:t xml:space="preserve"> At each location we also took georeferenced photographs of the plot using a GPS-enabled digital camera (make/model?). </w:t>
      </w:r>
    </w:p>
    <w:p w:rsidR="00234927" w:rsidRDefault="00234927" w:rsidP="00DA2C5A">
      <w:pPr>
        <w:rPr>
          <w:rFonts w:ascii="Times New Roman" w:hAnsi="Times New Roman" w:cs="Times New Roman"/>
          <w:sz w:val="24"/>
          <w:szCs w:val="24"/>
        </w:rPr>
      </w:pPr>
      <w:r>
        <w:rPr>
          <w:rFonts w:ascii="Times New Roman" w:hAnsi="Times New Roman" w:cs="Times New Roman"/>
          <w:sz w:val="24"/>
          <w:szCs w:val="24"/>
        </w:rPr>
        <w:tab/>
        <w:t>Furthermore, around each point we assessed the abundance of dominant types of structural vegetation (e.g., woody shrubs, yucca plants, etc.) according to height over or under 1m. To accomplish this</w:t>
      </w:r>
      <w:r w:rsidR="00A44569">
        <w:rPr>
          <w:rFonts w:ascii="Times New Roman" w:hAnsi="Times New Roman" w:cs="Times New Roman"/>
          <w:sz w:val="24"/>
          <w:szCs w:val="24"/>
        </w:rPr>
        <w:t>,</w:t>
      </w:r>
      <w:r>
        <w:rPr>
          <w:rFonts w:ascii="Times New Roman" w:hAnsi="Times New Roman" w:cs="Times New Roman"/>
          <w:sz w:val="24"/>
          <w:szCs w:val="24"/>
        </w:rPr>
        <w:t xml:space="preserve"> a pole was sunk into the ground at the survey location and to this a 10m string was tied at 1m above the ground. A technician then attached the other end of the string to a 1m tall pole and walked the circumference of the 10m radius circle while keeping the line taught at 1m above the ground. A second technician then walked up and down the string to record how many individual plants of each type the string either passed over (i.e., &lt;1m height) or intersected (&gt;1m height). The following classifications were noted (particularly because they had been suggested to be important territorial habitat components for Cassin’s Sparrow): yucca, sagebrush, sandplum, cholla, tree, or other type of shrub. For the latter, notes were taken about the species and it was identified where possible.</w:t>
      </w:r>
    </w:p>
    <w:p w:rsidR="00194C74" w:rsidRDefault="00194C74" w:rsidP="00DA2C5A">
      <w:pPr>
        <w:rPr>
          <w:rFonts w:ascii="Times New Roman" w:hAnsi="Times New Roman" w:cs="Times New Roman"/>
          <w:sz w:val="24"/>
          <w:szCs w:val="24"/>
        </w:rPr>
      </w:pPr>
    </w:p>
    <w:p w:rsidR="00DA2C5A" w:rsidRDefault="00DA2C5A" w:rsidP="00DA2C5A">
      <w:pPr>
        <w:rPr>
          <w:rFonts w:ascii="Times New Roman" w:hAnsi="Times New Roman" w:cs="Times New Roman"/>
          <w:sz w:val="24"/>
          <w:szCs w:val="24"/>
        </w:rPr>
      </w:pPr>
      <w:r>
        <w:rPr>
          <w:rFonts w:ascii="Times New Roman" w:hAnsi="Times New Roman" w:cs="Times New Roman"/>
          <w:sz w:val="24"/>
          <w:szCs w:val="24"/>
        </w:rPr>
        <w:t>Adjustments for Future Surveys:</w:t>
      </w:r>
      <w:r w:rsidR="00F326FB">
        <w:rPr>
          <w:rFonts w:ascii="Times New Roman" w:hAnsi="Times New Roman" w:cs="Times New Roman"/>
          <w:sz w:val="24"/>
          <w:szCs w:val="24"/>
        </w:rPr>
        <w:t xml:space="preserve"> </w:t>
      </w:r>
    </w:p>
    <w:p w:rsidR="00FA5D58" w:rsidRDefault="00427FFB" w:rsidP="00427FFB">
      <w:pPr>
        <w:ind w:left="1080"/>
        <w:rPr>
          <w:rFonts w:ascii="Times New Roman" w:hAnsi="Times New Roman" w:cs="Times New Roman"/>
          <w:sz w:val="24"/>
          <w:szCs w:val="24"/>
        </w:rPr>
      </w:pPr>
      <w:r>
        <w:rPr>
          <w:rFonts w:ascii="Times New Roman" w:hAnsi="Times New Roman" w:cs="Times New Roman"/>
          <w:sz w:val="24"/>
          <w:szCs w:val="24"/>
        </w:rPr>
        <w:t xml:space="preserve">After running the initial three trial runs, several adjustments will likely be made in future surveys. </w:t>
      </w:r>
    </w:p>
    <w:p w:rsidR="00427FFB" w:rsidRDefault="00427FFB" w:rsidP="00FA5D58">
      <w:pPr>
        <w:pStyle w:val="ListParagraph"/>
        <w:numPr>
          <w:ilvl w:val="0"/>
          <w:numId w:val="3"/>
        </w:numPr>
        <w:rPr>
          <w:rFonts w:ascii="Times New Roman" w:hAnsi="Times New Roman" w:cs="Times New Roman"/>
          <w:sz w:val="24"/>
          <w:szCs w:val="24"/>
        </w:rPr>
      </w:pPr>
      <w:r w:rsidRPr="00FA5D58">
        <w:rPr>
          <w:rFonts w:ascii="Times New Roman" w:hAnsi="Times New Roman" w:cs="Times New Roman"/>
          <w:sz w:val="24"/>
          <w:szCs w:val="24"/>
        </w:rPr>
        <w:t xml:space="preserve">The grid will be expanded to a 10x10 point plot. </w:t>
      </w:r>
    </w:p>
    <w:p w:rsidR="00FA5D58" w:rsidRDefault="00FA5D58" w:rsidP="00FA5D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general point counts will take place only at Points 1, 5, 13, 21, 25. </w:t>
      </w:r>
    </w:p>
    <w:p w:rsidR="00FA5D58" w:rsidRPr="00FA5D58" w:rsidRDefault="00FA5D58" w:rsidP="00FA5D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Angle of Cassin’s Sparrow counts will have 0° facing </w:t>
      </w:r>
      <w:r w:rsidR="00443905">
        <w:rPr>
          <w:rFonts w:ascii="Times New Roman" w:hAnsi="Times New Roman" w:cs="Times New Roman"/>
          <w:sz w:val="24"/>
          <w:szCs w:val="24"/>
        </w:rPr>
        <w:t>north</w:t>
      </w:r>
      <w:r>
        <w:rPr>
          <w:rFonts w:ascii="Times New Roman" w:hAnsi="Times New Roman" w:cs="Times New Roman"/>
          <w:sz w:val="24"/>
          <w:szCs w:val="24"/>
        </w:rPr>
        <w:t xml:space="preserve">.  </w:t>
      </w:r>
    </w:p>
    <w:p w:rsidR="00F326FB" w:rsidRDefault="00F326FB" w:rsidP="00F326FB">
      <w:pPr>
        <w:ind w:left="1080" w:hanging="1080"/>
        <w:rPr>
          <w:rFonts w:ascii="Times New Roman" w:hAnsi="Times New Roman" w:cs="Times New Roman"/>
          <w:sz w:val="24"/>
          <w:szCs w:val="24"/>
        </w:rPr>
      </w:pPr>
      <w:r>
        <w:rPr>
          <w:rFonts w:ascii="Times New Roman" w:hAnsi="Times New Roman" w:cs="Times New Roman"/>
          <w:sz w:val="24"/>
          <w:szCs w:val="24"/>
        </w:rPr>
        <w:tab/>
      </w:r>
    </w:p>
    <w:p w:rsidR="008F313B" w:rsidRDefault="008F313B" w:rsidP="008F313B">
      <w:pPr>
        <w:rPr>
          <w:rFonts w:ascii="Times New Roman" w:hAnsi="Times New Roman" w:cs="Times New Roman"/>
          <w:sz w:val="24"/>
          <w:szCs w:val="24"/>
        </w:rPr>
      </w:pPr>
      <w:r>
        <w:rPr>
          <w:rFonts w:ascii="Times New Roman" w:hAnsi="Times New Roman" w:cs="Times New Roman"/>
          <w:sz w:val="24"/>
          <w:szCs w:val="24"/>
        </w:rPr>
        <w:t>Initial Goals:</w:t>
      </w:r>
    </w:p>
    <w:p w:rsidR="00162A12" w:rsidRPr="006427E5" w:rsidRDefault="000A7FC9" w:rsidP="00162A12">
      <w:pPr>
        <w:ind w:left="1080"/>
        <w:rPr>
          <w:rFonts w:ascii="Times New Roman" w:hAnsi="Times New Roman" w:cs="Times New Roman"/>
          <w:sz w:val="24"/>
          <w:szCs w:val="24"/>
        </w:rPr>
      </w:pPr>
      <w:r>
        <w:rPr>
          <w:rFonts w:ascii="Times New Roman" w:hAnsi="Times New Roman" w:cs="Times New Roman"/>
          <w:sz w:val="24"/>
          <w:szCs w:val="24"/>
        </w:rPr>
        <w:t xml:space="preserve">The early stages of this study will focus on forming a general idea of Cassin’s Sparrow abundance and territories in each of the three areas. Research into past Cassin’s Sparrow studies as well as vegetation surveys of the three regions will provide a foundation on which to build the current study. Color banding of males may provide greater accuracy in determination of sparrow territories. </w:t>
      </w:r>
    </w:p>
    <w:sectPr w:rsidR="00162A12" w:rsidRPr="006427E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1C1" w:rsidRDefault="009201C1" w:rsidP="00443905">
      <w:pPr>
        <w:spacing w:after="0" w:line="240" w:lineRule="auto"/>
      </w:pPr>
      <w:r>
        <w:separator/>
      </w:r>
    </w:p>
  </w:endnote>
  <w:endnote w:type="continuationSeparator" w:id="0">
    <w:p w:rsidR="009201C1" w:rsidRDefault="009201C1" w:rsidP="0044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8631615"/>
      <w:docPartObj>
        <w:docPartGallery w:val="Page Numbers (Bottom of Page)"/>
        <w:docPartUnique/>
      </w:docPartObj>
    </w:sdtPr>
    <w:sdtEndPr>
      <w:rPr>
        <w:noProof/>
      </w:rPr>
    </w:sdtEndPr>
    <w:sdtContent>
      <w:p w:rsidR="00443905" w:rsidRDefault="00443905">
        <w:pPr>
          <w:pStyle w:val="Footer"/>
          <w:jc w:val="center"/>
        </w:pPr>
        <w:r>
          <w:fldChar w:fldCharType="begin"/>
        </w:r>
        <w:r>
          <w:instrText xml:space="preserve"> PAGE   \* MERGEFORMAT </w:instrText>
        </w:r>
        <w:r>
          <w:fldChar w:fldCharType="separate"/>
        </w:r>
        <w:r w:rsidR="009201C1">
          <w:rPr>
            <w:noProof/>
          </w:rPr>
          <w:t>1</w:t>
        </w:r>
        <w:r>
          <w:rPr>
            <w:noProof/>
          </w:rPr>
          <w:fldChar w:fldCharType="end"/>
        </w:r>
      </w:p>
    </w:sdtContent>
  </w:sdt>
  <w:p w:rsidR="00443905" w:rsidRDefault="00443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1C1" w:rsidRDefault="009201C1" w:rsidP="00443905">
      <w:pPr>
        <w:spacing w:after="0" w:line="240" w:lineRule="auto"/>
      </w:pPr>
      <w:r>
        <w:separator/>
      </w:r>
    </w:p>
  </w:footnote>
  <w:footnote w:type="continuationSeparator" w:id="0">
    <w:p w:rsidR="009201C1" w:rsidRDefault="009201C1" w:rsidP="004439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1010A"/>
    <w:multiLevelType w:val="hybridMultilevel"/>
    <w:tmpl w:val="7708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8334785"/>
    <w:multiLevelType w:val="hybridMultilevel"/>
    <w:tmpl w:val="0BDEB2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6514A92"/>
    <w:multiLevelType w:val="hybridMultilevel"/>
    <w:tmpl w:val="1AB4C958"/>
    <w:lvl w:ilvl="0" w:tplc="EC5C0A4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FE5075"/>
    <w:multiLevelType w:val="hybridMultilevel"/>
    <w:tmpl w:val="A0B27B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A3"/>
    <w:rsid w:val="00007607"/>
    <w:rsid w:val="000179A3"/>
    <w:rsid w:val="00057BD9"/>
    <w:rsid w:val="000A7FC9"/>
    <w:rsid w:val="0010499F"/>
    <w:rsid w:val="00134B70"/>
    <w:rsid w:val="00162A12"/>
    <w:rsid w:val="00194C74"/>
    <w:rsid w:val="001A0578"/>
    <w:rsid w:val="001A21F4"/>
    <w:rsid w:val="001A69EE"/>
    <w:rsid w:val="001C261E"/>
    <w:rsid w:val="00234927"/>
    <w:rsid w:val="00280879"/>
    <w:rsid w:val="002A3C37"/>
    <w:rsid w:val="002C5BBE"/>
    <w:rsid w:val="002D065D"/>
    <w:rsid w:val="002F4024"/>
    <w:rsid w:val="003A4073"/>
    <w:rsid w:val="003D0EE0"/>
    <w:rsid w:val="004021C2"/>
    <w:rsid w:val="00427FFB"/>
    <w:rsid w:val="004364AA"/>
    <w:rsid w:val="00437CEF"/>
    <w:rsid w:val="00437D57"/>
    <w:rsid w:val="00443905"/>
    <w:rsid w:val="004628D8"/>
    <w:rsid w:val="004843DE"/>
    <w:rsid w:val="004C4C66"/>
    <w:rsid w:val="004C71A2"/>
    <w:rsid w:val="00520CDF"/>
    <w:rsid w:val="00567C0F"/>
    <w:rsid w:val="005779CE"/>
    <w:rsid w:val="005A5AF2"/>
    <w:rsid w:val="005A6BE8"/>
    <w:rsid w:val="005F4553"/>
    <w:rsid w:val="006427E5"/>
    <w:rsid w:val="00695202"/>
    <w:rsid w:val="006D43A7"/>
    <w:rsid w:val="006D5E16"/>
    <w:rsid w:val="007B4CEA"/>
    <w:rsid w:val="00873C7C"/>
    <w:rsid w:val="00893B0F"/>
    <w:rsid w:val="008B0C11"/>
    <w:rsid w:val="008D0C7F"/>
    <w:rsid w:val="008D7E62"/>
    <w:rsid w:val="008F313B"/>
    <w:rsid w:val="00917D5E"/>
    <w:rsid w:val="009201C1"/>
    <w:rsid w:val="00930971"/>
    <w:rsid w:val="00940F1B"/>
    <w:rsid w:val="009E458A"/>
    <w:rsid w:val="00A219FE"/>
    <w:rsid w:val="00A44569"/>
    <w:rsid w:val="00A931B3"/>
    <w:rsid w:val="00AF49D5"/>
    <w:rsid w:val="00C22861"/>
    <w:rsid w:val="00C4072A"/>
    <w:rsid w:val="00CA424B"/>
    <w:rsid w:val="00CD148B"/>
    <w:rsid w:val="00D52831"/>
    <w:rsid w:val="00D72D80"/>
    <w:rsid w:val="00DA2C5A"/>
    <w:rsid w:val="00DA59CD"/>
    <w:rsid w:val="00DE07A8"/>
    <w:rsid w:val="00E857AC"/>
    <w:rsid w:val="00EE12B9"/>
    <w:rsid w:val="00EF09E7"/>
    <w:rsid w:val="00F326FB"/>
    <w:rsid w:val="00F517E0"/>
    <w:rsid w:val="00F7088C"/>
    <w:rsid w:val="00FA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99F"/>
    <w:pPr>
      <w:ind w:left="720"/>
      <w:contextualSpacing/>
    </w:pPr>
  </w:style>
  <w:style w:type="paragraph" w:styleId="Header">
    <w:name w:val="header"/>
    <w:basedOn w:val="Normal"/>
    <w:link w:val="HeaderChar"/>
    <w:uiPriority w:val="99"/>
    <w:unhideWhenUsed/>
    <w:rsid w:val="00443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905"/>
  </w:style>
  <w:style w:type="paragraph" w:styleId="Footer">
    <w:name w:val="footer"/>
    <w:basedOn w:val="Normal"/>
    <w:link w:val="FooterChar"/>
    <w:uiPriority w:val="99"/>
    <w:unhideWhenUsed/>
    <w:rsid w:val="00443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9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99F"/>
    <w:pPr>
      <w:ind w:left="720"/>
      <w:contextualSpacing/>
    </w:pPr>
  </w:style>
  <w:style w:type="paragraph" w:styleId="Header">
    <w:name w:val="header"/>
    <w:basedOn w:val="Normal"/>
    <w:link w:val="HeaderChar"/>
    <w:uiPriority w:val="99"/>
    <w:unhideWhenUsed/>
    <w:rsid w:val="00443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905"/>
  </w:style>
  <w:style w:type="paragraph" w:styleId="Footer">
    <w:name w:val="footer"/>
    <w:basedOn w:val="Normal"/>
    <w:link w:val="FooterChar"/>
    <w:uiPriority w:val="99"/>
    <w:unhideWhenUsed/>
    <w:rsid w:val="00443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Tory Smith</dc:creator>
  <cp:lastModifiedBy>Jeremy Ross</cp:lastModifiedBy>
  <cp:revision>64</cp:revision>
  <dcterms:created xsi:type="dcterms:W3CDTF">2014-06-01T22:25:00Z</dcterms:created>
  <dcterms:modified xsi:type="dcterms:W3CDTF">2016-09-14T14:39:00Z</dcterms:modified>
</cp:coreProperties>
</file>