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Claire" w:date="2017-03-21T21:17:00Z" w:initials="C">
    <w:p w:rsidR="00275037" w:rsidRDefault="00275037">
      <w:pPr>
        <w:pStyle w:val="CommentText"/>
      </w:pPr>
      <w:r>
        <w:rPr>
          <w:rStyle w:val="CommentReference"/>
        </w:rPr>
        <w:annotationRef/>
      </w:r>
      <w:r>
        <w:t>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w:t>
      </w:r>
      <w:r w:rsidR="00F450C8">
        <w:t xml:space="preserve">egions have different </w:t>
      </w:r>
      <w:proofErr w:type="gramStart"/>
      <w:r w:rsidR="00F450C8">
        <w:t>dynamics.,</w:t>
      </w:r>
      <w:proofErr w:type="gramEnd"/>
      <w:r w:rsidR="00F450C8">
        <w:t xml:space="preserve"> but not sure yet if it  is necessary.</w:t>
      </w:r>
    </w:p>
  </w:comment>
  <w:comment w:id="19"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20" w:author="Claire" w:date="2017-03-21T21:19:00Z" w:initials="C">
    <w:p w:rsidR="00F22009" w:rsidRDefault="00F22009" w:rsidP="00F22009">
      <w:pPr>
        <w:pStyle w:val="CommentText"/>
      </w:pPr>
      <w:r>
        <w:rPr>
          <w:rStyle w:val="CommentReference"/>
        </w:rPr>
        <w:annotationRef/>
      </w:r>
      <w:r>
        <w:t xml:space="preserve">Andrea: </w:t>
      </w:r>
      <w:r>
        <w:t>This section might need some rephrasing, in my opinion. I think we should clarify in more detail:</w:t>
      </w:r>
    </w:p>
    <w:p w:rsidR="00F22009" w:rsidRDefault="00F22009" w:rsidP="00F22009">
      <w:pPr>
        <w:pStyle w:val="CommentText"/>
      </w:pPr>
    </w:p>
    <w:p w:rsidR="00F22009" w:rsidRDefault="00F22009" w:rsidP="00F22009">
      <w:pPr>
        <w:pStyle w:val="CommentText"/>
        <w:numPr>
          <w:ilvl w:val="0"/>
          <w:numId w:val="4"/>
        </w:numPr>
      </w:pPr>
      <w:r>
        <w:t>It seems that the single statewide model is used to identify the important predictors, while the other 3 models are used for…? Just to make the raster? Will not they provide info on the predictors too? (</w:t>
      </w:r>
      <w:proofErr w:type="gramStart"/>
      <w:r>
        <w:t>e.g</w:t>
      </w:r>
      <w:proofErr w:type="gramEnd"/>
      <w:r>
        <w:t>. raster contains values of..?)</w:t>
      </w:r>
    </w:p>
    <w:p w:rsidR="00F22009" w:rsidRDefault="00F22009" w:rsidP="00F22009">
      <w:pPr>
        <w:pStyle w:val="CommentText"/>
      </w:pPr>
    </w:p>
    <w:p w:rsidR="00F22009" w:rsidRDefault="00F22009" w:rsidP="00F22009">
      <w:pPr>
        <w:pStyle w:val="CommentText"/>
        <w:numPr>
          <w:ilvl w:val="0"/>
          <w:numId w:val="4"/>
        </w:numPr>
      </w:pPr>
      <w:r>
        <w:t>What is the “original STEM model? Is it only defined by the continental-scale? Is that the only difference with ours?</w:t>
      </w:r>
    </w:p>
    <w:p w:rsidR="00F22009" w:rsidRDefault="00F22009">
      <w:pPr>
        <w:pStyle w:val="CommentText"/>
      </w:pPr>
    </w:p>
  </w:comment>
  <w:comment w:id="21" w:author="Claire" w:date="2017-03-21T18:48:00Z" w:initials="C">
    <w:p w:rsidR="00F22009" w:rsidRDefault="00F22009">
      <w:pPr>
        <w:pStyle w:val="CommentText"/>
      </w:pPr>
      <w:r>
        <w:rPr>
          <w:rStyle w:val="CommentReference"/>
        </w:rPr>
        <w:annotationRef/>
      </w:r>
      <w:r>
        <w:t>Explain more (via Andrea)</w:t>
      </w:r>
    </w:p>
  </w:comment>
  <w:comment w:id="23" w:author="Claire" w:date="2017-03-21T18:49:00Z" w:initials="C">
    <w:p w:rsidR="007F413C" w:rsidRDefault="007F413C">
      <w:pPr>
        <w:pStyle w:val="CommentText"/>
      </w:pPr>
      <w:r>
        <w:rPr>
          <w:rStyle w:val="CommentReference"/>
        </w:rPr>
        <w:annotationRef/>
      </w:r>
      <w:r w:rsidR="00F22009">
        <w:t xml:space="preserve">Rephrase and integrate here or intro: </w:t>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35"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39"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153"/>
    <w:rsid w:val="00097C79"/>
    <w:rsid w:val="000E4112"/>
    <w:rsid w:val="000F451A"/>
    <w:rsid w:val="0010325D"/>
    <w:rsid w:val="0011230C"/>
    <w:rsid w:val="00112452"/>
    <w:rsid w:val="00133B98"/>
    <w:rsid w:val="00137337"/>
    <w:rsid w:val="00160C02"/>
    <w:rsid w:val="001670C0"/>
    <w:rsid w:val="001B1DBA"/>
    <w:rsid w:val="001C2C25"/>
    <w:rsid w:val="001D54EF"/>
    <w:rsid w:val="00204405"/>
    <w:rsid w:val="0021141D"/>
    <w:rsid w:val="002162A9"/>
    <w:rsid w:val="00223653"/>
    <w:rsid w:val="00223C51"/>
    <w:rsid w:val="0023029A"/>
    <w:rsid w:val="00241955"/>
    <w:rsid w:val="00267E97"/>
    <w:rsid w:val="00275037"/>
    <w:rsid w:val="002964AF"/>
    <w:rsid w:val="002B743E"/>
    <w:rsid w:val="002C3CDC"/>
    <w:rsid w:val="002D1D83"/>
    <w:rsid w:val="002F5C17"/>
    <w:rsid w:val="00303567"/>
    <w:rsid w:val="003170CD"/>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D3A80"/>
    <w:rsid w:val="004D588D"/>
    <w:rsid w:val="004F4E68"/>
    <w:rsid w:val="005029C9"/>
    <w:rsid w:val="00511763"/>
    <w:rsid w:val="00520E0F"/>
    <w:rsid w:val="005226D4"/>
    <w:rsid w:val="00540EDD"/>
    <w:rsid w:val="00554509"/>
    <w:rsid w:val="00572B03"/>
    <w:rsid w:val="005D2F50"/>
    <w:rsid w:val="005D3929"/>
    <w:rsid w:val="005E3220"/>
    <w:rsid w:val="005E596C"/>
    <w:rsid w:val="005E6C1C"/>
    <w:rsid w:val="005F1E72"/>
    <w:rsid w:val="00603BFB"/>
    <w:rsid w:val="006526F1"/>
    <w:rsid w:val="006546E1"/>
    <w:rsid w:val="00682C21"/>
    <w:rsid w:val="006C4A46"/>
    <w:rsid w:val="00702196"/>
    <w:rsid w:val="0071517B"/>
    <w:rsid w:val="0071690A"/>
    <w:rsid w:val="007458C1"/>
    <w:rsid w:val="007511CB"/>
    <w:rsid w:val="0077472D"/>
    <w:rsid w:val="00775357"/>
    <w:rsid w:val="00785BA7"/>
    <w:rsid w:val="00787CF6"/>
    <w:rsid w:val="00792635"/>
    <w:rsid w:val="007B28F1"/>
    <w:rsid w:val="007C6512"/>
    <w:rsid w:val="007F413C"/>
    <w:rsid w:val="007F5357"/>
    <w:rsid w:val="007F6076"/>
    <w:rsid w:val="00807883"/>
    <w:rsid w:val="00810742"/>
    <w:rsid w:val="008131FC"/>
    <w:rsid w:val="00814207"/>
    <w:rsid w:val="00825E0A"/>
    <w:rsid w:val="008308B3"/>
    <w:rsid w:val="00887B7B"/>
    <w:rsid w:val="008903B7"/>
    <w:rsid w:val="008A0FF9"/>
    <w:rsid w:val="008B2433"/>
    <w:rsid w:val="008D2E49"/>
    <w:rsid w:val="008F6BD2"/>
    <w:rsid w:val="00931A22"/>
    <w:rsid w:val="00932014"/>
    <w:rsid w:val="00932D6B"/>
    <w:rsid w:val="00964DC3"/>
    <w:rsid w:val="009668E7"/>
    <w:rsid w:val="00967CC7"/>
    <w:rsid w:val="00977C42"/>
    <w:rsid w:val="00982117"/>
    <w:rsid w:val="00984C7C"/>
    <w:rsid w:val="009913E6"/>
    <w:rsid w:val="009B3821"/>
    <w:rsid w:val="009D16C3"/>
    <w:rsid w:val="009E653A"/>
    <w:rsid w:val="00A11B1B"/>
    <w:rsid w:val="00A40292"/>
    <w:rsid w:val="00A5469A"/>
    <w:rsid w:val="00A5675C"/>
    <w:rsid w:val="00A63280"/>
    <w:rsid w:val="00A7135B"/>
    <w:rsid w:val="00A81E89"/>
    <w:rsid w:val="00AA2C81"/>
    <w:rsid w:val="00AB6F28"/>
    <w:rsid w:val="00AC70CB"/>
    <w:rsid w:val="00AC7B7F"/>
    <w:rsid w:val="00AD322E"/>
    <w:rsid w:val="00AD6ABF"/>
    <w:rsid w:val="00B03E94"/>
    <w:rsid w:val="00B23CEE"/>
    <w:rsid w:val="00B27922"/>
    <w:rsid w:val="00B31B82"/>
    <w:rsid w:val="00B5457F"/>
    <w:rsid w:val="00B63B50"/>
    <w:rsid w:val="00B77A34"/>
    <w:rsid w:val="00B97F20"/>
    <w:rsid w:val="00BA2158"/>
    <w:rsid w:val="00BC1AFB"/>
    <w:rsid w:val="00BD1E19"/>
    <w:rsid w:val="00C03174"/>
    <w:rsid w:val="00C12FF9"/>
    <w:rsid w:val="00C40FA4"/>
    <w:rsid w:val="00C65403"/>
    <w:rsid w:val="00C72245"/>
    <w:rsid w:val="00C9191B"/>
    <w:rsid w:val="00C94488"/>
    <w:rsid w:val="00CB3C18"/>
    <w:rsid w:val="00CD481B"/>
    <w:rsid w:val="00CD4889"/>
    <w:rsid w:val="00D00E9B"/>
    <w:rsid w:val="00D03F8B"/>
    <w:rsid w:val="00D33254"/>
    <w:rsid w:val="00D52BA5"/>
    <w:rsid w:val="00D67537"/>
    <w:rsid w:val="00D90090"/>
    <w:rsid w:val="00D94E0C"/>
    <w:rsid w:val="00DD351C"/>
    <w:rsid w:val="00E1687E"/>
    <w:rsid w:val="00E208F0"/>
    <w:rsid w:val="00E222AC"/>
    <w:rsid w:val="00E25689"/>
    <w:rsid w:val="00E52F38"/>
    <w:rsid w:val="00E5422E"/>
    <w:rsid w:val="00E57B20"/>
    <w:rsid w:val="00EB3DBC"/>
    <w:rsid w:val="00EC3BD9"/>
    <w:rsid w:val="00EF3B3D"/>
    <w:rsid w:val="00EF6860"/>
    <w:rsid w:val="00F22009"/>
    <w:rsid w:val="00F33D6B"/>
    <w:rsid w:val="00F450C8"/>
    <w:rsid w:val="00F7282D"/>
    <w:rsid w:val="00F84B3F"/>
    <w:rsid w:val="00FA4388"/>
    <w:rsid w:val="00FE2FB1"/>
    <w:rsid w:val="00FE7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74B82-4791-456A-BC7D-DB23EBFB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6588</TotalTime>
  <Pages>16</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48</cp:revision>
  <dcterms:created xsi:type="dcterms:W3CDTF">2017-02-15T19:57:00Z</dcterms:created>
  <dcterms:modified xsi:type="dcterms:W3CDTF">2017-03-22T02:39:00Z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id="XxtSpv1I"/&gt;&lt;style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{"citationID":"23b82hu3oo","properties":{"formattedCitation":"(Elith et al. 2006)","plainCitation":"(Elith et al. 2006)"},"citationItems":[{"id":8554,"uris":["http://zotero.org/users/1047243/items/FDCGVDVN"],"uri":["http://zotero.</vt:lpwstr>
  </property>
  <property fmtid="{D5CDD505-2E9C-101B-9397-08002B2CF9AE}" pid="211" name="ZOTERO_BREF_Aet1qOom02en_2">
    <vt:lpwstr>org/users/1047243/items/FDCGVDVN"],"itemData":{"id":8554,"type":"article-journal","title":"Novel methods improve prediction of species’ distributions from occurrence data","container-title":"Ecography","page":"129-151","volume":"29","issue":"2","source":"</vt:lpwstr>
  </property>
  <property fmtid="{D5CDD505-2E9C-101B-9397-08002B2CF9AE}" pid="212" name="ZOTERO_BREF_Aet1qOom02en_3">
    <vt:lpwstr>Wiley Online Library","abstract":"Prediction of species’ distributions is central to diverse applications in ecology, evolution and conservation science. There is increasing electronic access to vast sets of occurrence records in museums and herbaria, yet</vt:lpwstr>
  </property>
  <property fmtid="{D5CDD505-2E9C-101B-9397-08002B2CF9AE}" pid="213" name="ZOTERO_BREF_Aet1qOom02en_4">
    <vt:lpwstr> little effective guidance on how best to use this information in the context of numerous approaches for modelling distributions. To meet this need, we compared 16 modelling methods over 226 species from 6 regions of the world, creating the most comprehen</vt:lpwstr>
  </property>
  <property fmtid="{D5CDD505-2E9C-101B-9397-08002B2CF9AE}" pid="214" name="ZOTERO_BREF_Aet1qOom02en_5">
    <vt:lpwstr>sive set of model comparisons to date. We used presence-only data to fit models, and independent presence-absence data to evaluate the predictions. Along with well-established modelling methods such as generalised additive models and GARP and BIOCLIM, we </vt:lpwstr>
  </property>
  <property fmtid="{D5CDD505-2E9C-101B-9397-08002B2CF9AE}" pid="215" name="ZOTERO_BREF_Aet1qOom02en_6">
    <vt:lpwstr>explored methods that either have been developed recently or have rarely been applied to modelling species’ distributions. These include machine-learning methods and community models, both of which have features that may make them particularly well suited</vt:lpwstr>
  </property>
  <property fmtid="{D5CDD505-2E9C-101B-9397-08002B2CF9AE}" pid="216" name="ZOTERO_BREF_Aet1qOom02en_7">
    <vt:lpwstr> to noisy or sparse information, as is typical of species’ occurrence data. Presence-only data were effective for modelling species’ distributions for many species and regions. The novel methods consistently outperformed more established methods. The resu</vt:lpwstr>
  </property>
  <property fmtid="{D5CDD505-2E9C-101B-9397-08002B2CF9AE}" pid="217" name="ZOTERO_BREF_Aet1qOom02en_8">
    <vt:lpwstr>lts of our analysis are promising for the use of data from museums and herbaria, especially as methods suited to the noise inherent in such data improve.","DOI":"10.1111/j.2006.0906-7590.04596.x","ISSN":"1600-0587","journalAbbreviation":"Ecography","langu</vt:lpwstr>
  </property>
  <property fmtid="{D5CDD505-2E9C-101B-9397-08002B2CF9AE}" pid="218" name="ZOTERO_BREF_Aet1qOom02en_9">
    <vt:lpwstr>age":"en","author":[{"family":"Elith","given":"Jane"},{"family":"Graham","given":"Catherine H."},{"family":"Anderson","given":"Robert P."},{"family":"Dudík","given":"Miroslav"},{"family":"Ferrier","given":"Simon"},{"family":"Guisan","given":"Antoine"},{"f</vt:lpwstr>
  </property>
  <property fmtid="{D5CDD505-2E9C-101B-9397-08002B2CF9AE}" pid="219" name="ZOTERO_BREF_Aet1qOom02en_10">
    <vt:lpwstr>amily":"Hijmans","given":"Robert J."},{"family":"Huettmann","given":"Falk"},{"family":"R. Leathwick","given":"John R."},{"family":"Lehmann","given":"Anthony"},{"family":"Li","given":"Jin"},{"family":"Lohmann","given":"Lucia G."},{"family":"Loiselle","give</vt:lpwstr>
  </property>
  <property fmtid="{D5CDD505-2E9C-101B-9397-08002B2CF9AE}" pid="220" name="ZOTERO_BREF_Aet1qOom02en_11">
    <vt:lpwstr>n":"Bette A."},{"family":"Manion","given":"Glenn"},{"family":"Moritz","given":"Craig"},{"family":"Nakamura","given":"Miguel"},{"family":"Nakazawa","given":"Yoshinori"},{"family":"Overton","given":"Jacob McC."},{"family":"Peterson","given":"A. Townsend"},{</vt:lpwstr>
  </property>
  <property fmtid="{D5CDD505-2E9C-101B-9397-08002B2CF9AE}" pid="221" name="ZOTERO_BREF_Aet1qOom02en_12">
    <vt:lpwstr>"family":"Phillips","given":"Steven J."},{"family":"Richardson","given":"Karen"},{"family":"Scachetti-Pereira","given":"Ricardo"},{"family":"Schapire","given":"Robert E."},{"family":"Soberón","given":"Jorge"},{"family":"Williams","given":"Stephen"},{"fami</vt:lpwstr>
  </property>
  <property fmtid="{D5CDD505-2E9C-101B-9397-08002B2CF9AE}" pid="222" name="ZOTERO_BREF_Aet1qOom02en_13">
    <vt:lpwstr>ly":"Wisz","given":"Mary S."},{"family":"Zimmermann","given":"Niklaus E."}],"issued":{"date-parts":[["2006",4,1]]}}}],"schema":"https://github.com/citation-style-language/schema/raw/master/csl-citation.json"}</vt:lpwstr>
  </property>
  <property fmtid="{D5CDD505-2E9C-101B-9397-08002B2CF9AE}" pid="223" name="ZOTERO_BREF_D1X1O19aVImw_1">
    <vt:lpwstr>ZOTERO_ITEM CSL_CITATION {"citationID":"10jcjgdum9","properties":{"formattedCitation":"(Brennan et al. 2005)","plainCitation":"(Brennan et al. 2005)"},"citationItems":[{"id":8594,"uris":["http://zotero.org/users/1047243/items/JVWID4MM"],"uri":["http://zot</vt:lpwstr>
  </property>
  <property fmtid="{D5CDD505-2E9C-101B-9397-08002B2CF9AE}" pid="224" name="ZOTERO_BREF_D1X1O19aVImw_2">
    <vt:lpwstr>ero.org/users/1047243/items/JVWID4MM"],"itemData":{"id":8594,"type":"article-journal","title":"Invited paper: North American grassland birds: an unfolding conservation crisis?","container-title":"Journal of Wildlife Management","page":"1-13","volume":"69"</vt:lpwstr>
  </property>
  <property fmtid="{D5CDD505-2E9C-101B-9397-08002B2CF9AE}" pid="225" name="ZOTERO_BREF_D1X1O19aVImw_3">
    <vt:lpwstr>,"issue":"1","source":"bioone.org.ezproxy.lib.ou.edu (Atypon)","abstract":"The widespread and ongoing declines of North American bird populations that have affinities for grassland and grass–shrub habitats (hereafter referred to as grassland birds) are on</vt:lpwstr>
  </property>
  <property fmtid="{D5CDD505-2E9C-101B-9397-08002B2CF9AE}" pid="226" name="ZOTERO_BREF_D1X1O19aVImw_4">
    <vt:lpwstr> track to become a prominent wildlife conservation crisis of the 21st century. There is no single cause responsible for the declines of grassland birds. Rather, a cumulative set of factors such as afforestation in the eastern United States, fragmentation </vt:lpwstr>
  </property>
  <property fmtid="{D5CDD505-2E9C-101B-9397-08002B2CF9AE}" pid="227" name="ZOTERO_BREF_D1X1O19aVImw_5">
    <vt:lpwstr>and replacement of prairie vegetation with a modern agricultural landscape, and large-scale deterioration of western U.S. rangelands are the major causes for these declines. The North American Bird Conservation Initiative (NABCI) is a set of comprehensive</vt:lpwstr>
  </property>
  <property fmtid="{D5CDD505-2E9C-101B-9397-08002B2CF9AE}" pid="228" name="ZOTERO_BREF_D1X1O19aVImw_6">
    <vt:lpwstr> and coordinated strategic actions modeled on the Joint Venture initiatives that were used to successfully implement the North American Waterfowl Management Plan. The NABCI is emerging as a potential broad-scale solution for conserving populations of gras</vt:lpwstr>
  </property>
  <property fmtid="{D5CDD505-2E9C-101B-9397-08002B2CF9AE}" pid="229" name="ZOTERO_BREF_D1X1O19aVImw_7">
    <vt:lpwstr>sland birds. Coordinating grassland bird conservation efforts with initiatives to stabilize and increase upland game birds that have strong affinities for grassland habitats—such as quail and prairie grouse—presents additional opportunities to leverage fu</vt:lpwstr>
  </property>
  <property fmtid="{D5CDD505-2E9C-101B-9397-08002B2CF9AE}" pid="230" name="ZOTERO_BREF_D1X1O19aVImw_8">
    <vt:lpwstr>nding and resources that will positively impact virtually all species of North American grassland birds.","DOI":"10.2193/0022-541X(2005)069&lt;0001:NAGBAU&gt;2.0.CO;2","ISSN":"0022-541X","shortTitle":"Invited paper","journalAbbreviation":"Journal of Wildlife Ma</vt:lpwstr>
  </property>
  <property fmtid="{D5CDD505-2E9C-101B-9397-08002B2CF9AE}" pid="231" name="ZOTERO_BREF_D1X1O19aVImw_9">
    <vt:lpwstr>nagement","author":[{"family":"Brennan","given":"Leonard A."},{"family":"Kuvlesky","given":"William P."},{"literal":"Morrison"}],"issued":{"date-parts":[["2005",1,1]]}}}],"schema":"https://github.com/citation-style-language/schema/raw/master/csl-citation.</vt:lpwstr>
  </property>
  <property fmtid="{D5CDD505-2E9C-101B-9397-08002B2CF9AE}" pid="232" name="ZOTERO_BREF_D1X1O19aVImw_10">
    <vt:lpwstr>json"}</vt:lpwstr>
  </property>
  <property fmtid="{D5CDD505-2E9C-101B-9397-08002B2CF9AE}" pid="233" name="ZOTERO_BREF_Yvl2oYwW0gwQ_1">
    <vt:lpwstr>ZOTERO_ITEM CSL_CITATION {"citationID":"2a1o110gc","properties":{"formattedCitation":"(Beaumont et al. 2007, Lipsey et al. 2015)","plainCitation":"(Beaumont et al. 2007, Lipsey et al. 2015)"},"citationItems":[{"id":8556,"uris":["http://zotero.org/users/10</vt:lpwstr>
  </property>
  <property fmtid="{D5CDD505-2E9C-101B-9397-08002B2CF9AE}" pid="234" name="ZOTERO_BREF_Yvl2oYwW0gwQ_2">
    <vt:lpwstr>47243/items/3EA4PQZ9"],"uri":["http://zotero.org/users/1047243/items/3EA4PQZ9"],"itemData":{"id":8556,"type":"article-journal","title":"Where will species go? Incorporating new advances in climate modelling into projections of species distributions","cont</vt:lpwstr>
  </property>
  <property fmtid="{D5CDD505-2E9C-101B-9397-08002B2CF9AE}" pid="235" name="ZOTERO_BREF_Yvl2oYwW0gwQ_3">
    <vt:lpwstr>ainer-title":"Global Change Biology","page":"1368-1385","volume":"13","issue":"7","source":"Wiley Online Library","abstract":"Bioclimatic models are the primary tools for simulating the impact of climate change on species distributions. Part of the uncert</vt:lpwstr>
  </property>
  <property fmtid="{D5CDD505-2E9C-101B-9397-08002B2CF9AE}" pid="236" name="ZOTERO_BREF_Yvl2oYwW0gwQ_4">
    <vt:lpwstr>ainty in the output of these models results from uncertainty in projections of future climates. To account for this, studies often simulate species responses to climates predicted by more than one climate model and/or emission scenario. One area of uncert</vt:lpwstr>
  </property>
  <property fmtid="{D5CDD505-2E9C-101B-9397-08002B2CF9AE}" pid="237" name="ZOTERO_BREF_Yvl2oYwW0gwQ_5">
    <vt:lpwstr>ainty, however, has remained unexplored: internal climate model variability. By running a single climate model multiple times, but each time perturbing the initial state of the model slightly, different but equally valid realizations of climate will be pr</vt:lpwstr>
  </property>
  <property fmtid="{D5CDD505-2E9C-101B-9397-08002B2CF9AE}" pid="238" name="ZOTERO_BREF_Yvl2oYwW0gwQ_6">
    <vt:lpwstr>oduced. In this paper, we identify how ongoing improvements in climate models can be used to provide guidance for impacts studies. In doing so we provide the first assessment of the extent to which this internal climate model variability generates uncerta</vt:lpwstr>
  </property>
  <property fmtid="{D5CDD505-2E9C-101B-9397-08002B2CF9AE}" pid="239" name="ZOTERO_BREF_Yvl2oYwW0gwQ_7">
    <vt:lpwstr>inty in projections of future species distributions, compared with variability between climate models. We obtained data on 13 realizations from three climate models (three from CSIRO Mark2 v3.0, four from GISS AOM, and six from MIROC v3.2) for two time pe</vt:lpwstr>
  </property>
  <property fmtid="{D5CDD505-2E9C-101B-9397-08002B2CF9AE}" pid="240" name="ZOTERO_BREF_Yvl2oYwW0gwQ_8">
    <vt:lpwstr>riods: current (1985–1995) and future (2025–2035). Initially, we compared the simulated values for each climate variable (P, Tmax, Tmin, and Tmean) for the current period to observed climate data. This showed that climates simulated by realizations from t</vt:lpwstr>
  </property>
  <property fmtid="{D5CDD505-2E9C-101B-9397-08002B2CF9AE}" pid="241" name="ZOTERO_BREF_Yvl2oYwW0gwQ_9">
    <vt:lpwstr>he same climate model were more similar to each other than to realizations from other models. However, when projected into the future, these realizations followed different trajectories and the values of climate variables differed considerably within and </vt:lpwstr>
  </property>
  <property fmtid="{D5CDD505-2E9C-101B-9397-08002B2CF9AE}" pid="242" name="ZOTERO_BREF_Yvl2oYwW0gwQ_10">
    <vt:lpwstr>among climate models. These had pronounced effects on the projected distributions of nine Australian butterfly species when modelled using the BIOCLIM component of DIVA-GIS. Our results show that internal climate model variability can lead to substantial </vt:lpwstr>
  </property>
  <property fmtid="{D5CDD505-2E9C-101B-9397-08002B2CF9AE}" pid="243" name="ZOTERO_BREF_Yvl2oYwW0gwQ_11">
    <vt:lpwstr>differences in the extent to which the future distributions of species are projected to change. These can be greater than differences resulting from between-climate model variability. Further, different conclusions regarding the vulnerability of species t</vt:lpwstr>
  </property>
  <property fmtid="{D5CDD505-2E9C-101B-9397-08002B2CF9AE}" pid="244" name="ZOTERO_BREF_Yvl2oYwW0gwQ_12">
    <vt:lpwstr>o climate change can be reached due to internal model variability. Clearly, several climate models, each represented by multiple realizations, are required if we are to adequately capture the range of uncertainty associated with projecting species distrib</vt:lpwstr>
  </property>
  <property fmtid="{D5CDD505-2E9C-101B-9397-08002B2CF9AE}" pid="245" name="ZOTERO_BREF_Yvl2oYwW0gwQ_13">
    <vt:lpwstr>utions in the future.","DOI":"10.1111/j.1365-2486.2007.01357.x","ISSN":"1365-2486","shortTitle":"Where will species go?","language":"en","author":[{"family":"Beaumont","given":"Linda J."},{"family":"Pitman","given":"A. J."},{"family":"Poulsen","given":"Mi</vt:lpwstr>
  </property>
  <property fmtid="{D5CDD505-2E9C-101B-9397-08002B2CF9AE}" pid="246" name="ZOTERO_BREF_Yvl2oYwW0gwQ_14">
    <vt:lpwstr>chael"},{"family":"Hughes","given":"Lesley"}],"issued":{"date-parts":[["2007",7,1]]}}},{"id":8361,"uris":["http://zotero.org/users/1047243/items/A4J6W4I4"],"uri":["http://zotero.org/users/1047243/items/A4J6W4I4"],"itemData":{"id":8361,"type":"article-jour</vt:lpwstr>
  </property>
  <property fmtid="{D5CDD505-2E9C-101B-9397-08002B2CF9AE}" pid="247" name="ZOTERO_BREF_Yvl2oYwW0gwQ_15">
    <vt:lpwstr>nal","title":"One step ahead of the plow: Using cropland conversion risk to guide Sprague's Pipit conservation in the northern Great Plains","container-title":"Biological Conservation","page":"739-749","volume":"191","source":"ScienceDirect","abstract":"R</vt:lpwstr>
  </property>
  <property fmtid="{D5CDD505-2E9C-101B-9397-08002B2CF9AE}" pid="248" name="ZOTERO_BREF_Yvl2oYwW0gwQ_16">
    <vt:lpwstr>apid expansion of cropland threatens grassland ecosystems across western North America and broad-scale planning can be a catalyst motivating individuals and agencies to accelerate conservation. Sprague's Pipit (Anthus spragueii) is an imperiled grassland </vt:lpwstr>
  </property>
  <property fmtid="{D5CDD505-2E9C-101B-9397-08002B2CF9AE}" pid="249" name="ZOTERO_BREF_Yvl2oYwW0gwQ_17">
    <vt:lpwstr>songbird whose population has been declining rapidly in recent decades. Here, we present a strategic framework for conservation of pipits and their habitat in the northern Great Plains. We modeled pipit distribution across its million-km2 breeding range i</vt:lpwstr>
  </property>
  <property fmtid="{D5CDD505-2E9C-101B-9397-08002B2CF9AE}" pid="250" name="ZOTERO_BREF_Yvl2oYwW0gwQ_18">
    <vt:lpwstr>n Canada and the U.S. We describe factors shaping distribution, delineate population cores and assess vulnerability to future grassland losses. Pipits selected landscapes with a high proportion of continuous grassland within a relatively cool, moist clima</vt:lpwstr>
  </property>
  <property fmtid="{D5CDD505-2E9C-101B-9397-08002B2CF9AE}" pid="251" name="ZOTERO_BREF_Yvl2oYwW0gwQ_19">
    <vt:lpwstr>te. Sixty percent of the global breeding population occurred in Canada and 63% of the U.S. population occurred in Montana. Populations were highly clumped, with 75% of birds within 30% of their range. Approximately 20% of the population occurred on protec</vt:lpwstr>
  </property>
  <property fmtid="{D5CDD505-2E9C-101B-9397-08002B2CF9AE}" pid="252" name="ZOTERO_BREF_Yvl2oYwW0gwQ_20">
    <vt:lpwstr>ted lands and over half used lands that were unlikely to be cultivated given current technologies. A quarter of pipits relied on remaining arable grasslands and potential population losses varied from 2–27% across scenarios. Most of the population (70%) w</vt:lpwstr>
  </property>
  <property fmtid="{D5CDD505-2E9C-101B-9397-08002B2CF9AE}" pid="253" name="ZOTERO_BREF_Yvl2oYwW0gwQ_21">
    <vt:lpwstr>as dependent on private lands, emphasizing the importance of voluntary approaches that incentivize good stewardship. Our maps depicting core populations and tillage risk enable partners to target conservation in landscapes where pipits will benefit most."</vt:lpwstr>
  </property>
  <property fmtid="{D5CDD505-2E9C-101B-9397-08002B2CF9AE}" pid="254" name="ZOTERO_BREF_Yvl2oYwW0gwQ_22">
    <vt:lpwstr>,"DOI":"10.1016/j.biocon.2015.08.030","ISSN":"0006-3207","shortTitle":"One step ahead of the plow","journalAbbreviation":"Biological Conservation","author":[{"family":"Lipsey","given":"Marisa K."},{"family":"Doherty","given":"Kevin E."},{"family":"Naugle"</vt:lpwstr>
  </property>
  <property fmtid="{D5CDD505-2E9C-101B-9397-08002B2CF9AE}" pid="255" name="ZOTERO_BREF_Yvl2oYwW0gwQ_23">
    <vt:lpwstr>,"given":"David E."},{"family":"Fields","given":"Sean"},{"family":"Evans","given":"Jeffrey S."},{"family":"Davis","given":"Stephen K."},{"family":"Koper","given":"Nicola"}],"issued":{"date-parts":[["2015",11]]}}}],"schema":"https://github.com/citation-sty</vt:lpwstr>
  </property>
  <property fmtid="{D5CDD505-2E9C-101B-9397-08002B2CF9AE}" pid="256" name="ZOTERO_BREF_Yvl2oYwW0gwQ_24">
    <vt:lpwstr>le-language/schema/raw/master/csl-citation.json"}</vt:lpwstr>
  </property>
  <property fmtid="{D5CDD505-2E9C-101B-9397-08002B2CF9AE}" pid="257" name="ZOTERO_BREF_pt9Qh9q0Iuha_1">
    <vt:lpwstr>ZOTERO_ITEM CSL_CITATION {"citationID":"1a88c8r780","properties":{"formattedCitation":"(Fink et al. 2013)","plainCitation":"(Fink et al. 2013)"},"citationItems":[{"id":8151,"uris":["http://zotero.org/users/1047243/items/F8TE52FU"],"uri":["http://zotero.or</vt:lpwstr>
  </property>
  <property fmtid="{D5CDD505-2E9C-101B-9397-08002B2CF9AE}" pid="258" name="ZOTERO_BREF_pt9Qh9q0Iuha_2">
    <vt:lpwstr>g/users/1047243/items/F8TE52FU"],"itemData":{"id":8151,"type":"paper-conference","title":"Adaptive Spatio-Temporal Exploratory Models: Hemisphere-wide species distributions from massively crowdsourced eBird data.","container-title":"AAAI","source":"Google</vt:lpwstr>
  </property>
  <property fmtid="{D5CDD505-2E9C-101B-9397-08002B2CF9AE}" pid="259" name="ZOTERO_BREF_pt9Qh9q0Iuha_3">
    <vt:lpwstr> Scholar","URL":"https://pdfs.semanticscholar.org/f885/6ff340a3e029041377bfe5db0db73659d8d6.pdf","shortTitle":"Adaptive Spatio-Temporal Exploratory Models","author":[{"family":"Fink","given":"Daniel"},{"family":"Damoulas","given":"Theodoros"},{"family":"D</vt:lpwstr>
  </property>
  <property fmtid="{D5CDD505-2E9C-101B-9397-08002B2CF9AE}" pid="260" name="ZOTERO_BREF_pt9Qh9q0Iuha_4">
    <vt:lpwstr>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{"citationID":"1a7gd4veq","properties":{"formattedCitation":"(Boiffin et al. 2017)","plainCitation":"(Boiffin et al. 2017)"},"citationItems":[{"id":8586,"uris":["http://zotero.org/users/1047243/items/6EMUTSD8"],"uri":["http://zote</vt:lpwstr>
  </property>
  <property fmtid="{D5CDD505-2E9C-101B-9397-08002B2CF9AE}" pid="262" name="ZOTERO_BREF_hE62ZYvuYkYq_2">
    <vt:lpwstr>ro.org/users/1047243/items/6EMUTSD8"],"itemData":{"id":8586,"type":"article-journal","title":"Species distribution models may misdirect assisted migration: insights from the introduction of Douglas-fir to Europe","container-title":"Ecological Applications</vt:lpwstr>
  </property>
  <property fmtid="{D5CDD505-2E9C-101B-9397-08002B2CF9AE}" pid="263" name="ZOTERO_BREF_hE62ZYvuYkYq_3">
    <vt:lpwstr>","page":"446-457","volume":"27","issue":"2","source":"Wiley Online Library","abstract":"Species distribution models (SDMs), which statistically relate species occurrence to climatic variables, are widely used to identify areas suitable for species growth</vt:lpwstr>
  </property>
  <property fmtid="{D5CDD505-2E9C-101B-9397-08002B2CF9AE}" pid="264" name="ZOTERO_BREF_hE62ZYvuYkYq_4">
    <vt:lpwstr> under future climates and to plan for assisted migration. When SDMs are projected across times or spaces, it is assumed that species climatic requirements remain constant. However, empirical evidence supporting this assumption is rare, and SDM prediction</vt:lpwstr>
  </property>
  <property fmtid="{D5CDD505-2E9C-101B-9397-08002B2CF9AE}" pid="265" name="ZOTERO_BREF_hE62ZYvuYkYq_5">
    <vt:lpwstr>s could be biased. Historical human-aided movements of tree species can shed light on the reliability of SDM predictions in planning for assisted migration. We used Douglas-fir (Pseudotsuga menziesii (Mirb.) Franco), a North American conifer introduced in</vt:lpwstr>
  </property>
  <property fmtid="{D5CDD505-2E9C-101B-9397-08002B2CF9AE}" pid="266" name="ZOTERO_BREF_hE62ZYvuYkYq_6">
    <vt:lpwstr>to Europe during the mid-19th century, as a case-study to test niche conservatism. We combined transcontinental data sets of Douglas-fir occurrence and climatic predictors to compare the realized niches between native and introduced ranges. We calibrated </vt:lpwstr>
  </property>
  <property fmtid="{D5CDD505-2E9C-101B-9397-08002B2CF9AE}" pid="267" name="ZOTERO_BREF_hE62ZYvuYkYq_7">
    <vt:lpwstr>a SDM in the native range and compared areas predicted to be climatically suitable with observed presences. The realized niches in the native and introduced ranges showed very limited overlap. The SDM calibrated in North America had very high predictive p</vt:lpwstr>
  </property>
  <property fmtid="{D5CDD505-2E9C-101B-9397-08002B2CF9AE}" pid="268" name="ZOTERO_BREF_hE62ZYvuYkYq_8">
    <vt:lpwstr>ower in the native range, but failed to predict climatic suitability in Europe where Douglas-fir grows in climates that have no analogue in the native range. We review the ecological mechanisms and silvicultural practices that can trigger such shifts in r</vt:lpwstr>
  </property>
  <property fmtid="{D5CDD505-2E9C-101B-9397-08002B2CF9AE}" pid="269" name="ZOTERO_BREF_hE62ZYvuYkYq_9">
    <vt:lpwstr>ealized niches. Retrospective analysis of tree species introduction revealed that the assumption of niche conservatism is erroneous. As a result, distributions predicted by SDM are importantly biased. There is a high risk that assisted migration programs </vt:lpwstr>
  </property>
  <property fmtid="{D5CDD505-2E9C-101B-9397-08002B2CF9AE}" pid="270" name="ZOTERO_BREF_hE62ZYvuYkYq_10">
    <vt:lpwstr>may be misdirected and target inadequate species or introduction zones.","DOI":"10.1002/eap.1448","ISSN":"1939-5582","shortTitle":"Species distribution models may misdirect assisted migration","journalAbbreviation":"Ecol Appl","language":"en","author":[{"</vt:lpwstr>
  </property>
  <property fmtid="{D5CDD505-2E9C-101B-9397-08002B2CF9AE}" pid="271" name="ZOTERO_BREF_hE62ZYvuYkYq_11">
    <vt:lpwstr>family":"Boiffin","given":"Juliette"},{"family":"Badeau","given":"Vincent"},{"family":"Bréda","given":"Nathalie"}],"issued":{"date-parts":[["2017",3,1]]}}}],"schema":"https://github.com/citation-style-language/schema/raw/master/csl-citation.json"}</vt:lpwstr>
  </property>
  <property fmtid="{D5CDD505-2E9C-101B-9397-08002B2CF9AE}" pid="272" name="ZOTERO_BREF_v6CWUOiDU6BE_1">
    <vt:lpwstr>ZOTERO_ITEM CSL_CITATION {"citationID":"1evr7t75pf","properties":{"formattedCitation":"(Oklahoma Climatological Survey n.d.)","plainCitation":"(Oklahoma Climatological Survey n.d.)"},"citationItems":[{"id":8602,"uris":["http://zotero.org/users/1047243/ite</vt:lpwstr>
  </property>
  <property fmtid="{D5CDD505-2E9C-101B-9397-08002B2CF9AE}" pid="273" name="ZOTERO_BREF_v6CWUOiDU6BE_2">
    <vt:lpwstr>ms/WAKHDJB5"],"uri":["http://zotero.org/users/1047243/items/WAKHDJB5"],"itemData":{"id":8602,"type":"webpage","title":"Climate of Oklahoma","URL":"http://climate.ok.gov/index.php/site/page/climate_of_oklahoma","author":[{"family":"Oklahoma Climatological </vt:lpwstr>
  </property>
  <property fmtid="{D5CDD505-2E9C-101B-9397-08002B2CF9AE}" pid="274" name="ZOTERO_BREF_v6CWUOiDU6BE_3">
    <vt:lpwstr>Survey","given":""}],"accessed":{"date-parts":[["2017",3,21]]}}}],"schema":"https://github.com/citation-style-language/schema/raw/master/csl-citation.json"}</vt:lpwstr>
  </property>
</Properties>
</file>