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jmd-visual-design-bible"/>
    <w:p>
      <w:pPr>
        <w:pStyle w:val="Heading1"/>
      </w:pPr>
      <w:r>
        <w:t xml:space="preserve">JMD Visual Design Bible</w:t>
      </w:r>
    </w:p>
    <w:p>
      <w:pPr>
        <w:pStyle w:val="FirstParagraph"/>
      </w:pPr>
      <w:r>
        <w:rPr>
          <w:bCs/>
          <w:b/>
        </w:rPr>
        <w:t xml:space="preserve">Purpose:</w:t>
      </w:r>
      <w:r>
        <w:t xml:space="preserve"> </w:t>
      </w:r>
      <w:r>
        <w:t xml:space="preserve">one architectural and rendering language for every image of Jeddah Motor District, so the deck shows one district rather than many unrelated pictures.</w:t>
      </w:r>
      <w:r>
        <w:t xml:space="preserve"> </w:t>
      </w:r>
      <w:r>
        <w:rPr>
          <w:bCs/>
          <w:b/>
        </w:rPr>
        <w:t xml:space="preserve">Geometry authority:</w:t>
      </w:r>
      <w:r>
        <w:t xml:space="preserve"> </w:t>
      </w:r>
      <w:r>
        <w:rPr>
          <w:rStyle w:val="VerbatimChar"/>
        </w:rPr>
        <w:t xml:space="preserve">FINAL_8-10-2026.dwg</w:t>
      </w:r>
      <w:r>
        <w:t xml:space="preserve">. Every footprint in every render is taken directly from the DWG hatches (see</w:t>
      </w:r>
      <w:r>
        <w:t xml:space="preserve"> </w:t>
      </w:r>
      <w:r>
        <w:rPr>
          <w:rStyle w:val="VerbatimChar"/>
        </w:rPr>
        <w:t xml:space="preserve">tools/prep_model.py</w:t>
      </w:r>
      <w:r>
        <w:t xml:space="preserve">). Heights, façades, landscape and context are design-development assumptions.</w:t>
      </w:r>
    </w:p>
    <w:p>
      <w:r>
        <w:pict>
          <v:rect style="width:0;height:1.5pt" o:hralign="center" o:hrstd="t" o:hr="t"/>
        </w:pict>
      </w:r>
    </w:p>
    <w:bookmarkStart w:id="20" w:name="X41e2c9769f51b2cec8f01c318cf6ed3552be4ff"/>
    <w:p>
      <w:pPr>
        <w:pStyle w:val="Heading2"/>
      </w:pPr>
      <w:r>
        <w:t xml:space="preserve">1. Architectural language:</w:t>
      </w:r>
      <w:r>
        <w:t xml:space="preserve"> </w:t>
      </w:r>
      <w:r>
        <w:t xml:space="preserve">“</w:t>
      </w:r>
      <w:r>
        <w:t xml:space="preserve">Calm frontage, crafted shade</w:t>
      </w:r>
      <w:r>
        <w:t xml:space="preserve">”</w:t>
      </w:r>
    </w:p>
    <w:p>
      <w:pPr>
        <w:numPr>
          <w:ilvl w:val="0"/>
          <w:numId w:val="1001"/>
        </w:numPr>
        <w:pStyle w:val="Compact"/>
      </w:pPr>
      <w:r>
        <w:t xml:space="preserve">Long, low, horizontal buildings that follow the DWG’s curved frontage. Each building has a sharp roof line and a deep shading overhang.</w:t>
      </w:r>
    </w:p>
    <w:p>
      <w:pPr>
        <w:numPr>
          <w:ilvl w:val="0"/>
          <w:numId w:val="1001"/>
        </w:numPr>
        <w:pStyle w:val="Compact"/>
      </w:pPr>
      <w:r>
        <w:t xml:space="preserve">Glass is used only where vehicles are displayed: showroom fronts, the arena concourse and the club gallery. Solid limestone-toned walls are used elsewhere for heat control.</w:t>
      </w:r>
    </w:p>
    <w:p>
      <w:pPr>
        <w:numPr>
          <w:ilvl w:val="0"/>
          <w:numId w:val="1001"/>
        </w:numPr>
        <w:pStyle w:val="Compact"/>
      </w:pPr>
      <w:r>
        <w:t xml:space="preserve">Champagne-bronze vertical fins and blades are the district’s shared detail. They appear on showroom party walls, louvre façades, the arena upper façade and the club upper floors.</w:t>
      </w:r>
    </w:p>
    <w:p>
      <w:pPr>
        <w:numPr>
          <w:ilvl w:val="0"/>
          <w:numId w:val="1001"/>
        </w:numPr>
        <w:pStyle w:val="Compact"/>
      </w:pPr>
      <w:r>
        <w:t xml:space="preserve">A graphite</w:t>
      </w:r>
      <w:r>
        <w:t xml:space="preserve"> </w:t>
      </w:r>
      <w:r>
        <w:rPr>
          <w:bCs/>
          <w:b/>
        </w:rPr>
        <w:t xml:space="preserve">brand band</w:t>
      </w:r>
      <w:r>
        <w:t xml:space="preserve"> </w:t>
      </w:r>
      <w:r>
        <w:t xml:space="preserve">tops every showroom front. It is deliberately left blank in all renders. Brand identity is a tenant decision and is not implied to the municipality.</w:t>
      </w:r>
    </w:p>
    <w:p>
      <w:pPr>
        <w:numPr>
          <w:ilvl w:val="0"/>
          <w:numId w:val="1001"/>
        </w:numPr>
        <w:pStyle w:val="Compact"/>
      </w:pPr>
      <w:r>
        <w:t xml:space="preserve">No neon, no free-form</w:t>
      </w:r>
      <w:r>
        <w:t xml:space="preserve"> </w:t>
      </w:r>
      <w:r>
        <w:t xml:space="preserve">“</w:t>
      </w:r>
      <w:r>
        <w:t xml:space="preserve">futuristic</w:t>
      </w:r>
      <w:r>
        <w:t xml:space="preserve">”</w:t>
      </w:r>
      <w:r>
        <w:t xml:space="preserve"> </w:t>
      </w:r>
      <w:r>
        <w:t xml:space="preserve">shells, and no decorative elements without a function (shade, structure, display or wayfinding).</w:t>
      </w:r>
    </w:p>
    <w:bookmarkEnd w:id="20"/>
    <w:bookmarkStart w:id="21" w:name="massing-principles"/>
    <w:p>
      <w:pPr>
        <w:pStyle w:val="Heading2"/>
      </w:pPr>
      <w:r>
        <w:t xml:space="preserve">2. Massing principles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w:t>
            </w:r>
          </w:p>
        </w:tc>
        <w:tc>
          <w:tcPr/>
          <w:p>
            <w:pPr>
              <w:pStyle w:val="Compact"/>
              <w:jc w:val="left"/>
            </w:pPr>
            <w:r>
              <w:t xml:space="preserve">DWG footprint</w:t>
            </w:r>
          </w:p>
        </w:tc>
        <w:tc>
          <w:tcPr/>
          <w:p>
            <w:pPr>
              <w:pStyle w:val="Compact"/>
              <w:jc w:val="left"/>
            </w:pPr>
            <w:r>
              <w:t xml:space="preserve">Height (assumed)</w:t>
            </w:r>
          </w:p>
        </w:tc>
        <w:tc>
          <w:tcPr/>
          <w:p>
            <w:pPr>
              <w:pStyle w:val="Compact"/>
              <w:jc w:val="left"/>
            </w:pPr>
            <w:r>
              <w:t xml:space="preserve">Massing rule</w:t>
            </w:r>
          </w:p>
        </w:tc>
      </w:tr>
      <w:tr>
        <w:tc>
          <w:tcPr/>
          <w:p>
            <w:pPr>
              <w:pStyle w:val="Compact"/>
              <w:jc w:val="left"/>
            </w:pPr>
            <w:r>
              <w:t xml:space="preserve">Standard showroom</w:t>
            </w:r>
          </w:p>
        </w:tc>
        <w:tc>
          <w:tcPr/>
          <w:p>
            <w:pPr>
              <w:pStyle w:val="Compact"/>
              <w:jc w:val="left"/>
            </w:pPr>
            <w:r>
              <w:t xml:space="preserve">≈12 × 20 m</w:t>
            </w:r>
          </w:p>
        </w:tc>
        <w:tc>
          <w:tcPr/>
          <w:p>
            <w:pPr>
              <w:pStyle w:val="Compact"/>
              <w:jc w:val="left"/>
            </w:pPr>
            <w:r>
              <w:t xml:space="preserve">9.0–9.6 m</w:t>
            </w:r>
          </w:p>
        </w:tc>
        <w:tc>
          <w:tcPr/>
          <w:p>
            <w:pPr>
              <w:pStyle w:val="Compact"/>
              <w:jc w:val="left"/>
            </w:pPr>
            <w:r>
              <w:t xml:space="preserve">Single double-height volume</w:t>
            </w:r>
          </w:p>
        </w:tc>
      </w:tr>
      <w:tr>
        <w:tc>
          <w:tcPr/>
          <w:p>
            <w:pPr>
              <w:pStyle w:val="Compact"/>
              <w:jc w:val="left"/>
            </w:pPr>
            <w:r>
              <w:t xml:space="preserve">Premium showroom</w:t>
            </w:r>
          </w:p>
        </w:tc>
        <w:tc>
          <w:tcPr/>
          <w:p>
            <w:pPr>
              <w:pStyle w:val="Compact"/>
              <w:jc w:val="left"/>
            </w:pPr>
            <w:r>
              <w:t xml:space="preserve">≈17 × 21–29 m</w:t>
            </w:r>
          </w:p>
        </w:tc>
        <w:tc>
          <w:tcPr/>
          <w:p>
            <w:pPr>
              <w:pStyle w:val="Compact"/>
              <w:jc w:val="left"/>
            </w:pPr>
            <w:r>
              <w:t xml:space="preserve">10.5–11.1 m</w:t>
            </w:r>
          </w:p>
        </w:tc>
        <w:tc>
          <w:tcPr/>
          <w:p>
            <w:pPr>
              <w:pStyle w:val="Compact"/>
              <w:jc w:val="left"/>
            </w:pPr>
            <w:r>
              <w:t xml:space="preserve">Taller module creates rhythm along the row</w:t>
            </w:r>
          </w:p>
        </w:tc>
      </w:tr>
      <w:tr>
        <w:tc>
          <w:tcPr/>
          <w:p>
            <w:pPr>
              <w:pStyle w:val="Compact"/>
              <w:jc w:val="left"/>
            </w:pPr>
            <w:r>
              <w:t xml:space="preserve">Flagship / flagship-plus</w:t>
            </w:r>
          </w:p>
        </w:tc>
        <w:tc>
          <w:tcPr/>
          <w:p>
            <w:pPr>
              <w:pStyle w:val="Compact"/>
              <w:jc w:val="left"/>
            </w:pPr>
            <w:r>
              <w:t xml:space="preserve">≈20 × 22–27 m</w:t>
            </w:r>
          </w:p>
        </w:tc>
        <w:tc>
          <w:tcPr/>
          <w:p>
            <w:pPr>
              <w:pStyle w:val="Compact"/>
              <w:jc w:val="left"/>
            </w:pPr>
            <w:r>
              <w:t xml:space="preserve">13–14 m</w:t>
            </w:r>
          </w:p>
        </w:tc>
        <w:tc>
          <w:tcPr/>
          <w:p>
            <w:pPr>
              <w:pStyle w:val="Compact"/>
              <w:jc w:val="left"/>
            </w:pPr>
            <w:r>
              <w:t xml:space="preserve">Framed portal or angled canopy; marks the row ends and gateways</w:t>
            </w:r>
          </w:p>
        </w:tc>
      </w:tr>
      <w:tr>
        <w:tc>
          <w:tcPr/>
          <w:p>
            <w:pPr>
              <w:pStyle w:val="Compact"/>
              <w:jc w:val="left"/>
            </w:pPr>
            <w:r>
              <w:t xml:space="preserve">Lifestyle shop</w:t>
            </w:r>
          </w:p>
        </w:tc>
        <w:tc>
          <w:tcPr/>
          <w:p>
            <w:pPr>
              <w:pStyle w:val="Compact"/>
              <w:jc w:val="left"/>
            </w:pPr>
            <w:r>
              <w:t xml:space="preserve">≈20 × 20 m</w:t>
            </w:r>
          </w:p>
        </w:tc>
        <w:tc>
          <w:tcPr/>
          <w:p>
            <w:pPr>
              <w:pStyle w:val="Compact"/>
              <w:jc w:val="left"/>
            </w:pPr>
            <w:r>
              <w:t xml:space="preserve">8.0 m</w:t>
            </w:r>
          </w:p>
        </w:tc>
        <w:tc>
          <w:tcPr/>
          <w:p>
            <w:pPr>
              <w:pStyle w:val="Compact"/>
              <w:jc w:val="left"/>
            </w:pPr>
            <w:r>
              <w:t xml:space="preserve">4.6 m shopfront plus 5.5 m deep arcade on bronze columns</w:t>
            </w:r>
          </w:p>
        </w:tc>
      </w:tr>
      <w:tr>
        <w:tc>
          <w:tcPr/>
          <w:p>
            <w:pPr>
              <w:pStyle w:val="Compact"/>
              <w:jc w:val="left"/>
            </w:pPr>
            <w:r>
              <w:t xml:space="preserve">Light-service unit</w:t>
            </w:r>
          </w:p>
        </w:tc>
        <w:tc>
          <w:tcPr/>
          <w:p>
            <w:pPr>
              <w:pStyle w:val="Compact"/>
              <w:jc w:val="left"/>
            </w:pPr>
            <w:r>
              <w:t xml:space="preserve">21 × 33 m</w:t>
            </w:r>
          </w:p>
        </w:tc>
        <w:tc>
          <w:tcPr/>
          <w:p>
            <w:pPr>
              <w:pStyle w:val="Compact"/>
              <w:jc w:val="left"/>
            </w:pPr>
            <w:r>
              <w:t xml:space="preserve">9.0 m</w:t>
            </w:r>
          </w:p>
        </w:tc>
        <w:tc>
          <w:tcPr/>
          <w:p>
            <w:pPr>
              <w:pStyle w:val="Compact"/>
              <w:jc w:val="left"/>
            </w:pPr>
            <w:r>
              <w:t xml:space="preserve">Insulated metal shed, roller door, glazed reception</w:t>
            </w:r>
          </w:p>
        </w:tc>
      </w:tr>
      <w:tr>
        <w:tc>
          <w:tcPr/>
          <w:p>
            <w:pPr>
              <w:pStyle w:val="Compact"/>
              <w:jc w:val="left"/>
            </w:pPr>
            <w:r>
              <w:t xml:space="preserve">Arena</w:t>
            </w:r>
          </w:p>
        </w:tc>
        <w:tc>
          <w:tcPr/>
          <w:p>
            <w:pPr>
              <w:pStyle w:val="Compact"/>
              <w:jc w:val="left"/>
            </w:pPr>
            <w:r>
              <w:t xml:space="preserve">7 bays ≈12,910 m² within the triangle</w:t>
            </w:r>
          </w:p>
        </w:tc>
        <w:tc>
          <w:tcPr/>
          <w:p>
            <w:pPr>
              <w:pStyle w:val="Compact"/>
              <w:jc w:val="left"/>
            </w:pPr>
            <w:r>
              <w:t xml:space="preserve">21 m to roof, plus 3.2 m roof zone</w:t>
            </w:r>
          </w:p>
        </w:tc>
        <w:tc>
          <w:tcPr/>
          <w:p>
            <w:pPr>
              <w:pStyle w:val="Compact"/>
              <w:jc w:val="left"/>
            </w:pPr>
            <w:r>
              <w:t xml:space="preserve">Floating roof over the whole triangle, glazed 7.5 m concourse base, fins above</w:t>
            </w:r>
          </w:p>
        </w:tc>
      </w:tr>
      <w:tr>
        <w:tc>
          <w:tcPr/>
          <w:p>
            <w:pPr>
              <w:pStyle w:val="Compact"/>
              <w:jc w:val="left"/>
            </w:pPr>
            <w:r>
              <w:t xml:space="preserve">Collectors’ Club</w:t>
            </w:r>
          </w:p>
        </w:tc>
        <w:tc>
          <w:tcPr/>
          <w:p>
            <w:pPr>
              <w:pStyle w:val="Compact"/>
              <w:jc w:val="left"/>
            </w:pPr>
            <w:r>
              <w:t xml:space="preserve">30 × 117 m</w:t>
            </w:r>
          </w:p>
        </w:tc>
        <w:tc>
          <w:tcPr/>
          <w:p>
            <w:pPr>
              <w:pStyle w:val="Compact"/>
              <w:jc w:val="left"/>
            </w:pPr>
            <w:r>
              <w:t xml:space="preserve">15.5 m (3 levels)</w:t>
            </w:r>
          </w:p>
        </w:tc>
        <w:tc>
          <w:tcPr/>
          <w:p>
            <w:pPr>
              <w:pStyle w:val="Compact"/>
              <w:jc w:val="left"/>
            </w:pPr>
            <w:r>
              <w:t xml:space="preserve">Stacked slabs with deep white-metal edges; glazed ground gallery</w:t>
            </w:r>
          </w:p>
        </w:tc>
      </w:tr>
      <w:tr>
        <w:tc>
          <w:tcPr/>
          <w:p>
            <w:pPr>
              <w:pStyle w:val="Compact"/>
              <w:jc w:val="left"/>
            </w:pPr>
            <w:r>
              <w:t xml:space="preserve">Mosques</w:t>
            </w:r>
          </w:p>
        </w:tc>
        <w:tc>
          <w:tcPr/>
          <w:p>
            <w:pPr>
              <w:pStyle w:val="Compact"/>
              <w:jc w:val="left"/>
            </w:pPr>
            <w:r>
              <w:t xml:space="preserve">20 × 55 m / 60 × 71 m</w:t>
            </w:r>
          </w:p>
        </w:tc>
        <w:tc>
          <w:tcPr/>
          <w:p>
            <w:pPr>
              <w:pStyle w:val="Compact"/>
              <w:jc w:val="left"/>
            </w:pPr>
            <w:r>
              <w:t xml:space="preserve">9 m / 12 m, minaret 28 m / 34 m</w:t>
            </w:r>
          </w:p>
        </w:tc>
        <w:tc>
          <w:tcPr/>
          <w:p>
            <w:pPr>
              <w:pStyle w:val="Compact"/>
              <w:jc w:val="left"/>
            </w:pPr>
            <w:r>
              <w:t xml:space="preserve">Restrained limestone volume, bronze lantern</w:t>
            </w:r>
          </w:p>
        </w:tc>
      </w:tr>
      <w:tr>
        <w:tc>
          <w:tcPr/>
          <w:p>
            <w:pPr>
              <w:pStyle w:val="Compact"/>
              <w:jc w:val="left"/>
            </w:pPr>
            <w:r>
              <w:t xml:space="preserve">Test-drive pavilion</w:t>
            </w:r>
          </w:p>
        </w:tc>
        <w:tc>
          <w:tcPr/>
          <w:p>
            <w:pPr>
              <w:pStyle w:val="Compact"/>
              <w:jc w:val="left"/>
            </w:pPr>
            <w:r>
              <w:t xml:space="preserve">45 × 79 m</w:t>
            </w:r>
          </w:p>
        </w:tc>
        <w:tc>
          <w:tcPr/>
          <w:p>
            <w:pPr>
              <w:pStyle w:val="Compact"/>
              <w:jc w:val="left"/>
            </w:pPr>
            <w:r>
              <w:t xml:space="preserve">5.8 m</w:t>
            </w:r>
          </w:p>
        </w:tc>
        <w:tc>
          <w:tcPr/>
          <w:p>
            <w:pPr>
              <w:pStyle w:val="Compact"/>
              <w:jc w:val="left"/>
            </w:pPr>
            <w:r>
              <w:t xml:space="preserve">Glass pavilion under a single flat roof with drop-off canopy</w:t>
            </w:r>
          </w:p>
        </w:tc>
      </w:tr>
    </w:tbl>
    <w:bookmarkEnd w:id="21"/>
    <w:bookmarkStart w:id="22" w:name="X909d30319cbee94cd29891ffc8b2b00788a058e"/>
    <w:p>
      <w:pPr>
        <w:pStyle w:val="Heading2"/>
      </w:pPr>
      <w:r>
        <w:t xml:space="preserve">3. Material palette (render values, linear RGB)</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Material</w:t>
            </w:r>
          </w:p>
        </w:tc>
        <w:tc>
          <w:tcPr/>
          <w:p>
            <w:pPr>
              <w:pStyle w:val="Compact"/>
              <w:jc w:val="left"/>
            </w:pPr>
            <w:r>
              <w:t xml:space="preserve">Use</w:t>
            </w:r>
          </w:p>
        </w:tc>
        <w:tc>
          <w:tcPr/>
          <w:p>
            <w:pPr>
              <w:pStyle w:val="Compact"/>
              <w:jc w:val="left"/>
            </w:pPr>
            <w:r>
              <w:t xml:space="preserve">Base colour</w:t>
            </w:r>
          </w:p>
        </w:tc>
        <w:tc>
          <w:tcPr/>
          <w:p>
            <w:pPr>
              <w:pStyle w:val="Compact"/>
              <w:jc w:val="left"/>
            </w:pPr>
            <w:r>
              <w:t xml:space="preserve">Finish</w:t>
            </w:r>
          </w:p>
        </w:tc>
      </w:tr>
      <w:tr>
        <w:tc>
          <w:tcPr/>
          <w:p>
            <w:pPr>
              <w:pStyle w:val="Compact"/>
              <w:jc w:val="left"/>
            </w:pPr>
            <w:r>
              <w:t xml:space="preserve">Limestone-tone GRC</w:t>
            </w:r>
          </w:p>
        </w:tc>
        <w:tc>
          <w:tcPr/>
          <w:p>
            <w:pPr>
              <w:pStyle w:val="Compact"/>
              <w:jc w:val="left"/>
            </w:pPr>
            <w:r>
              <w:t xml:space="preserve">Primary walls</w:t>
            </w:r>
          </w:p>
        </w:tc>
        <w:tc>
          <w:tcPr/>
          <w:p>
            <w:pPr>
              <w:pStyle w:val="Compact"/>
              <w:jc w:val="left"/>
            </w:pPr>
            <w:r>
              <w:t xml:space="preserve">0.70 / 0.64 / 0.54</w:t>
            </w:r>
          </w:p>
        </w:tc>
        <w:tc>
          <w:tcPr/>
          <w:p>
            <w:pPr>
              <w:pStyle w:val="Compact"/>
              <w:jc w:val="left"/>
            </w:pPr>
            <w:r>
              <w:t xml:space="preserve">Matt (roughness 0.62), subtle variation</w:t>
            </w:r>
          </w:p>
        </w:tc>
      </w:tr>
      <w:tr>
        <w:tc>
          <w:tcPr/>
          <w:p>
            <w:pPr>
              <w:pStyle w:val="Compact"/>
              <w:jc w:val="left"/>
            </w:pPr>
            <w:r>
              <w:t xml:space="preserve">Warm white aluminium</w:t>
            </w:r>
          </w:p>
        </w:tc>
        <w:tc>
          <w:tcPr/>
          <w:p>
            <w:pPr>
              <w:pStyle w:val="Compact"/>
              <w:jc w:val="left"/>
            </w:pPr>
            <w:r>
              <w:t xml:space="preserve">Roof edges, canopies, columns</w:t>
            </w:r>
          </w:p>
        </w:tc>
        <w:tc>
          <w:tcPr/>
          <w:p>
            <w:pPr>
              <w:pStyle w:val="Compact"/>
              <w:jc w:val="left"/>
            </w:pPr>
            <w:r>
              <w:t xml:space="preserve">0.70 / 0.69 / 0.66</w:t>
            </w:r>
          </w:p>
        </w:tc>
        <w:tc>
          <w:tcPr/>
          <w:p>
            <w:pPr>
              <w:pStyle w:val="Compact"/>
              <w:jc w:val="left"/>
            </w:pPr>
            <w:r>
              <w:t xml:space="preserve">Satin</w:t>
            </w:r>
          </w:p>
        </w:tc>
      </w:tr>
      <w:tr>
        <w:tc>
          <w:tcPr/>
          <w:p>
            <w:pPr>
              <w:pStyle w:val="Compact"/>
              <w:jc w:val="left"/>
            </w:pPr>
            <w:r>
              <w:t xml:space="preserve">Champagne bronze (anodised)</w:t>
            </w:r>
          </w:p>
        </w:tc>
        <w:tc>
          <w:tcPr/>
          <w:p>
            <w:pPr>
              <w:pStyle w:val="Compact"/>
              <w:jc w:val="left"/>
            </w:pPr>
            <w:r>
              <w:t xml:space="preserve">Fins, louvres, portals, columns</w:t>
            </w:r>
          </w:p>
        </w:tc>
        <w:tc>
          <w:tcPr/>
          <w:p>
            <w:pPr>
              <w:pStyle w:val="Compact"/>
              <w:jc w:val="left"/>
            </w:pPr>
            <w:r>
              <w:t xml:space="preserve">0.40 / 0.30 / 0.19</w:t>
            </w:r>
          </w:p>
        </w:tc>
        <w:tc>
          <w:tcPr/>
          <w:p>
            <w:pPr>
              <w:pStyle w:val="Compact"/>
              <w:jc w:val="left"/>
            </w:pPr>
            <w:r>
              <w:t xml:space="preserve">Metallic satin</w:t>
            </w:r>
          </w:p>
        </w:tc>
      </w:tr>
      <w:tr>
        <w:tc>
          <w:tcPr/>
          <w:p>
            <w:pPr>
              <w:pStyle w:val="Compact"/>
              <w:jc w:val="left"/>
            </w:pPr>
            <w:r>
              <w:t xml:space="preserve">Graphite panel</w:t>
            </w:r>
          </w:p>
        </w:tc>
        <w:tc>
          <w:tcPr/>
          <w:p>
            <w:pPr>
              <w:pStyle w:val="Compact"/>
              <w:jc w:val="left"/>
            </w:pPr>
            <w:r>
              <w:t xml:space="preserve">Brand band, plinths, booths</w:t>
            </w:r>
          </w:p>
        </w:tc>
        <w:tc>
          <w:tcPr/>
          <w:p>
            <w:pPr>
              <w:pStyle w:val="Compact"/>
              <w:jc w:val="left"/>
            </w:pPr>
            <w:r>
              <w:t xml:space="preserve">0.055 / 0.055 / 0.06</w:t>
            </w:r>
          </w:p>
        </w:tc>
        <w:tc>
          <w:tcPr/>
          <w:p>
            <w:pPr>
              <w:pStyle w:val="Compact"/>
              <w:jc w:val="left"/>
            </w:pPr>
            <w:r>
              <w:t xml:space="preserve">Semi-matt</w:t>
            </w:r>
          </w:p>
        </w:tc>
      </w:tr>
      <w:tr>
        <w:tc>
          <w:tcPr/>
          <w:p>
            <w:pPr>
              <w:pStyle w:val="Compact"/>
              <w:jc w:val="left"/>
            </w:pPr>
            <w:r>
              <w:t xml:space="preserve">Architectural glass</w:t>
            </w:r>
          </w:p>
        </w:tc>
        <w:tc>
          <w:tcPr/>
          <w:p>
            <w:pPr>
              <w:pStyle w:val="Compact"/>
              <w:jc w:val="left"/>
            </w:pPr>
            <w:r>
              <w:t xml:space="preserve">Showroom fronts, concourse</w:t>
            </w:r>
          </w:p>
        </w:tc>
        <w:tc>
          <w:tcPr/>
          <w:p>
            <w:pPr>
              <w:pStyle w:val="Compact"/>
              <w:jc w:val="left"/>
            </w:pPr>
            <w:r>
              <w:t xml:space="preserve">Clear, low-iron</w:t>
            </w:r>
          </w:p>
        </w:tc>
        <w:tc>
          <w:tcPr/>
          <w:p>
            <w:pPr>
              <w:pStyle w:val="Compact"/>
              <w:jc w:val="left"/>
            </w:pPr>
            <w:r>
              <w:t xml:space="preserve">Thin-wall, low reflectance</w:t>
            </w:r>
          </w:p>
        </w:tc>
      </w:tr>
      <w:tr>
        <w:tc>
          <w:tcPr/>
          <w:p>
            <w:pPr>
              <w:pStyle w:val="Compact"/>
              <w:jc w:val="left"/>
            </w:pPr>
            <w:r>
              <w:t xml:space="preserve">Solar glass</w:t>
            </w:r>
          </w:p>
        </w:tc>
        <w:tc>
          <w:tcPr/>
          <w:p>
            <w:pPr>
              <w:pStyle w:val="Compact"/>
              <w:jc w:val="left"/>
            </w:pPr>
            <w:r>
              <w:t xml:space="preserve">Back-of-house, upper floors</w:t>
            </w:r>
          </w:p>
        </w:tc>
        <w:tc>
          <w:tcPr/>
          <w:p>
            <w:pPr>
              <w:pStyle w:val="Compact"/>
              <w:jc w:val="left"/>
            </w:pPr>
            <w:r>
              <w:t xml:space="preserve">Neutral grey tint</w:t>
            </w:r>
          </w:p>
        </w:tc>
        <w:tc>
          <w:tcPr/>
          <w:p>
            <w:pPr>
              <w:pStyle w:val="Compact"/>
              <w:jc w:val="left"/>
            </w:pPr>
            <w:r>
              <w:t xml:space="preserve">Thin-wall</w:t>
            </w:r>
          </w:p>
        </w:tc>
      </w:tr>
      <w:tr>
        <w:tc>
          <w:tcPr/>
          <w:p>
            <w:pPr>
              <w:pStyle w:val="Compact"/>
              <w:jc w:val="left"/>
            </w:pPr>
            <w:r>
              <w:t xml:space="preserve">Standing-seam roof</w:t>
            </w:r>
          </w:p>
        </w:tc>
        <w:tc>
          <w:tcPr/>
          <w:p>
            <w:pPr>
              <w:pStyle w:val="Compact"/>
              <w:jc w:val="left"/>
            </w:pPr>
            <w:r>
              <w:t xml:space="preserve">Arena</w:t>
            </w:r>
          </w:p>
        </w:tc>
        <w:tc>
          <w:tcPr/>
          <w:p>
            <w:pPr>
              <w:pStyle w:val="Compact"/>
              <w:jc w:val="left"/>
            </w:pPr>
            <w:r>
              <w:t xml:space="preserve">0.42 / 0.41 / 0.38</w:t>
            </w:r>
          </w:p>
        </w:tc>
        <w:tc>
          <w:tcPr/>
          <w:p>
            <w:pPr>
              <w:pStyle w:val="Compact"/>
              <w:jc w:val="left"/>
            </w:pPr>
            <w:r>
              <w:t xml:space="preserve">Ribbed</w:t>
            </w:r>
          </w:p>
        </w:tc>
      </w:tr>
      <w:tr>
        <w:tc>
          <w:tcPr/>
          <w:p>
            <w:pPr>
              <w:pStyle w:val="Compact"/>
              <w:jc w:val="left"/>
            </w:pPr>
            <w:r>
              <w:t xml:space="preserve">Polished stone / dark stone</w:t>
            </w:r>
          </w:p>
        </w:tc>
        <w:tc>
          <w:tcPr/>
          <w:p>
            <w:pPr>
              <w:pStyle w:val="Compact"/>
              <w:jc w:val="left"/>
            </w:pPr>
            <w:r>
              <w:t xml:space="preserve">Interiors</w:t>
            </w:r>
          </w:p>
        </w:tc>
        <w:tc>
          <w:tcPr/>
          <w:p>
            <w:pPr>
              <w:pStyle w:val="Compact"/>
              <w:jc w:val="left"/>
            </w:pPr>
            <w:r>
              <w:t xml:space="preserve">Light / near-black</w:t>
            </w:r>
          </w:p>
        </w:tc>
        <w:tc>
          <w:tcPr/>
          <w:p>
            <w:pPr>
              <w:pStyle w:val="Compact"/>
              <w:jc w:val="left"/>
            </w:pPr>
            <w:r>
              <w:t xml:space="preserve">Gloss for display floors</w:t>
            </w:r>
          </w:p>
        </w:tc>
      </w:tr>
      <w:tr>
        <w:tc>
          <w:tcPr/>
          <w:p>
            <w:pPr>
              <w:pStyle w:val="Compact"/>
              <w:jc w:val="left"/>
            </w:pPr>
            <w:r>
              <w:t xml:space="preserve">Walnut</w:t>
            </w:r>
          </w:p>
        </w:tc>
        <w:tc>
          <w:tcPr/>
          <w:p>
            <w:pPr>
              <w:pStyle w:val="Compact"/>
              <w:jc w:val="left"/>
            </w:pPr>
            <w:r>
              <w:t xml:space="preserve">Club, museum, arena fins</w:t>
            </w:r>
          </w:p>
        </w:tc>
        <w:tc>
          <w:tcPr/>
          <w:p>
            <w:pPr>
              <w:pStyle w:val="Compact"/>
              <w:jc w:val="left"/>
            </w:pPr>
            <w:r>
              <w:t xml:space="preserve">Dark warm</w:t>
            </w:r>
          </w:p>
        </w:tc>
        <w:tc>
          <w:tcPr/>
          <w:p>
            <w:pPr>
              <w:pStyle w:val="Compact"/>
              <w:jc w:val="left"/>
            </w:pPr>
            <w:r>
              <w:t xml:space="preserve">Satin</w:t>
            </w:r>
          </w:p>
        </w:tc>
      </w:tr>
    </w:tbl>
    <w:bookmarkEnd w:id="22"/>
    <w:bookmarkStart w:id="23" w:name="façade-system-showroom-kit-of-parts"/>
    <w:p>
      <w:pPr>
        <w:pStyle w:val="Heading2"/>
      </w:pPr>
      <w:r>
        <w:t xml:space="preserve">4. Façade system: showroom kit of parts</w:t>
      </w:r>
    </w:p>
    <w:p>
      <w:pPr>
        <w:pStyle w:val="FirstParagraph"/>
      </w:pPr>
      <w:r>
        <w:t xml:space="preserve">These are derived from the five options in S1 p.5. One of them is applied to each unit, and every unit shares the same plinth, roof edge, brand band and bronze corner blades:</w:t>
      </w:r>
    </w:p>
    <w:p>
      <w:pPr>
        <w:numPr>
          <w:ilvl w:val="0"/>
          <w:numId w:val="1002"/>
        </w:numPr>
        <w:pStyle w:val="Compact"/>
      </w:pPr>
      <w:r>
        <w:rPr>
          <w:bCs/>
          <w:b/>
        </w:rPr>
        <w:t xml:space="preserve">Modern minimal:</w:t>
      </w:r>
      <w:r>
        <w:t xml:space="preserve"> </w:t>
      </w:r>
      <w:r>
        <w:t xml:space="preserve">full-height glass with slim graphite mullions at 2.5 m.</w:t>
      </w:r>
    </w:p>
    <w:p>
      <w:pPr>
        <w:numPr>
          <w:ilvl w:val="0"/>
          <w:numId w:val="1002"/>
        </w:numPr>
        <w:pStyle w:val="Compact"/>
      </w:pPr>
      <w:r>
        <w:rPr>
          <w:bCs/>
          <w:b/>
        </w:rPr>
        <w:t xml:space="preserve">Vertical louvre:</w:t>
      </w:r>
      <w:r>
        <w:t xml:space="preserve"> </w:t>
      </w:r>
      <w:r>
        <w:t xml:space="preserve">bronze fins at 0.9 m pitch across the glass.</w:t>
      </w:r>
    </w:p>
    <w:p>
      <w:pPr>
        <w:numPr>
          <w:ilvl w:val="0"/>
          <w:numId w:val="1002"/>
        </w:numPr>
        <w:pStyle w:val="Compact"/>
      </w:pPr>
      <w:r>
        <w:rPr>
          <w:bCs/>
          <w:b/>
        </w:rPr>
        <w:t xml:space="preserve">Stone &amp; glass:</w:t>
      </w:r>
      <w:r>
        <w:t xml:space="preserve"> </w:t>
      </w:r>
      <w:r>
        <w:t xml:space="preserve">a 30% limestone pier with glass.</w:t>
      </w:r>
    </w:p>
    <w:p>
      <w:pPr>
        <w:numPr>
          <w:ilvl w:val="0"/>
          <w:numId w:val="1002"/>
        </w:numPr>
        <w:pStyle w:val="Compact"/>
      </w:pPr>
      <w:r>
        <w:rPr>
          <w:bCs/>
          <w:b/>
        </w:rPr>
        <w:t xml:space="preserve">Contemporary frame:</w:t>
      </w:r>
      <w:r>
        <w:t xml:space="preserve"> </w:t>
      </w:r>
      <w:r>
        <w:t xml:space="preserve">a protruding stone portal frame. Used for flagships.</w:t>
      </w:r>
    </w:p>
    <w:p>
      <w:pPr>
        <w:numPr>
          <w:ilvl w:val="0"/>
          <w:numId w:val="1002"/>
        </w:numPr>
        <w:pStyle w:val="Compact"/>
      </w:pPr>
      <w:r>
        <w:rPr>
          <w:bCs/>
          <w:b/>
        </w:rPr>
        <w:t xml:space="preserve">Angled canopy:</w:t>
      </w:r>
      <w:r>
        <w:t xml:space="preserve"> </w:t>
      </w:r>
      <w:r>
        <w:t xml:space="preserve">a roof canopy that rises toward the street. Used for flagships.</w:t>
      </w:r>
    </w:p>
    <w:bookmarkEnd w:id="23"/>
    <w:bookmarkStart w:id="24" w:name="landscape-and-public-realm"/>
    <w:p>
      <w:pPr>
        <w:pStyle w:val="Heading2"/>
      </w:pPr>
      <w:r>
        <w:t xml:space="preserve">5. Landscape and public realm</w:t>
      </w:r>
    </w:p>
    <w:p>
      <w:pPr>
        <w:numPr>
          <w:ilvl w:val="0"/>
          <w:numId w:val="1003"/>
        </w:numPr>
        <w:pStyle w:val="Compact"/>
      </w:pPr>
      <w:r>
        <w:rPr>
          <w:bCs/>
          <w:b/>
        </w:rPr>
        <w:t xml:space="preserve">Date palms</w:t>
      </w:r>
      <w:r>
        <w:t xml:space="preserve"> </w:t>
      </w:r>
      <w:r>
        <w:t xml:space="preserve">(</w:t>
      </w:r>
      <w:r>
        <w:rPr>
          <w:iCs/>
          <w:i/>
        </w:rPr>
        <w:t xml:space="preserve">Phoenix dactylifera</w:t>
      </w:r>
      <w:r>
        <w:t xml:space="preserve">) line the frontage road verges and median, the parking-bay edges (about every 26 m), the shop promenade (one per unit) and the plaza perimeters.</w:t>
      </w:r>
    </w:p>
    <w:p>
      <w:pPr>
        <w:numPr>
          <w:ilvl w:val="0"/>
          <w:numId w:val="1003"/>
        </w:numPr>
        <w:pStyle w:val="Compact"/>
      </w:pPr>
      <w:r>
        <w:t xml:space="preserve">Low native-style shrub beds sit under palms. Planting is olive and grey-green, never lawn-green, except the road median verge.</w:t>
      </w:r>
    </w:p>
    <w:p>
      <w:pPr>
        <w:numPr>
          <w:ilvl w:val="0"/>
          <w:numId w:val="1003"/>
        </w:numPr>
        <w:pStyle w:val="Compact"/>
      </w:pPr>
      <w:r>
        <w:rPr>
          <w:bCs/>
          <w:b/>
        </w:rPr>
        <w:t xml:space="preserve">Paving:</w:t>
      </w:r>
      <w:r>
        <w:t xml:space="preserve"> </w:t>
      </w:r>
      <w:r>
        <w:t xml:space="preserve">warm sand-tone pavers on 3.5 m footways around every building and on plazas.</w:t>
      </w:r>
    </w:p>
    <w:p>
      <w:pPr>
        <w:numPr>
          <w:ilvl w:val="0"/>
          <w:numId w:val="1003"/>
        </w:numPr>
        <w:pStyle w:val="Compact"/>
      </w:pPr>
      <w:r>
        <w:rPr>
          <w:bCs/>
          <w:b/>
        </w:rPr>
        <w:t xml:space="preserve">Shade:</w:t>
      </w:r>
      <w:r>
        <w:t xml:space="preserve"> </w:t>
      </w:r>
      <w:r>
        <w:t xml:space="preserve">shop arcades, hypar shade sails at the launch plaza, the arena roof overhang and the valet canopies.</w:t>
      </w:r>
    </w:p>
    <w:p>
      <w:pPr>
        <w:numPr>
          <w:ilvl w:val="0"/>
          <w:numId w:val="1003"/>
        </w:numPr>
        <w:pStyle w:val="Compact"/>
      </w:pPr>
      <w:r>
        <w:t xml:space="preserve">Off-road field uses natural dirt tones, with mounds of about 10 m, a dune field, a water crossing, a rock crawl and timber ramps. A red-and-white kerbed loop surrounds it.</w:t>
      </w:r>
    </w:p>
    <w:bookmarkEnd w:id="24"/>
    <w:bookmarkStart w:id="25" w:name="roads-and-parking"/>
    <w:p>
      <w:pPr>
        <w:pStyle w:val="Heading2"/>
      </w:pPr>
      <w:r>
        <w:t xml:space="preserve">6. Roads and parking</w:t>
      </w:r>
    </w:p>
    <w:p>
      <w:pPr>
        <w:numPr>
          <w:ilvl w:val="0"/>
          <w:numId w:val="1004"/>
        </w:numPr>
        <w:pStyle w:val="Compact"/>
      </w:pPr>
      <w:r>
        <w:rPr>
          <w:bCs/>
          <w:b/>
        </w:rPr>
        <w:t xml:space="preserve">Frontage road</w:t>
      </w:r>
      <w:r>
        <w:t xml:space="preserve"> </w:t>
      </w:r>
      <w:r>
        <w:t xml:space="preserve">(illustrative cross-section, about 76 m): verge 6, service road 8, separator 4, 4 lanes, median 10 with palms, 4 lanes, separator 4, service road 8, verge 6. Lane markings and street lights every 34 m.</w:t>
      </w:r>
    </w:p>
    <w:p>
      <w:pPr>
        <w:numPr>
          <w:ilvl w:val="0"/>
          <w:numId w:val="1004"/>
        </w:numPr>
        <w:pStyle w:val="Compact"/>
      </w:pPr>
      <w:r>
        <w:rPr>
          <w:bCs/>
          <w:b/>
        </w:rPr>
        <w:t xml:space="preserve">South-east road:</w:t>
      </w:r>
      <w:r>
        <w:t xml:space="preserve"> </w:t>
      </w:r>
      <w:r>
        <w:t xml:space="preserve">2 × 3 lanes with a 14 m landscaped median (illustrative).</w:t>
      </w:r>
    </w:p>
    <w:p>
      <w:pPr>
        <w:numPr>
          <w:ilvl w:val="0"/>
          <w:numId w:val="1004"/>
        </w:numPr>
        <w:pStyle w:val="Compact"/>
      </w:pPr>
      <w:r>
        <w:rPr>
          <w:bCs/>
          <w:b/>
        </w:rPr>
        <w:t xml:space="preserve">Internal:</w:t>
      </w:r>
      <w:r>
        <w:t xml:space="preserve"> </w:t>
      </w:r>
      <w:r>
        <w:t xml:space="preserve">asphalt drives. Parking is single-row 2.6 × 5.2 m stalls in the DWG’s 6 m bays, back-to-back, with 6 m aisles as in the S1 p.4 section.</w:t>
      </w:r>
    </w:p>
    <w:bookmarkEnd w:id="25"/>
    <w:bookmarkStart w:id="26" w:name="signage-strategy"/>
    <w:p>
      <w:pPr>
        <w:pStyle w:val="Heading2"/>
      </w:pPr>
      <w:r>
        <w:t xml:space="preserve">7. Signage strategy</w:t>
      </w:r>
    </w:p>
    <w:p>
      <w:pPr>
        <w:numPr>
          <w:ilvl w:val="0"/>
          <w:numId w:val="1005"/>
        </w:numPr>
        <w:pStyle w:val="Compact"/>
      </w:pPr>
      <w:r>
        <w:t xml:space="preserve">No brand logos or invented names in any render.</w:t>
      </w:r>
    </w:p>
    <w:p>
      <w:pPr>
        <w:numPr>
          <w:ilvl w:val="0"/>
          <w:numId w:val="1005"/>
        </w:numPr>
        <w:pStyle w:val="Compact"/>
      </w:pPr>
      <w:r>
        <w:t xml:space="preserve">Brand bands are left blank (graphite).</w:t>
      </w:r>
    </w:p>
    <w:p>
      <w:pPr>
        <w:numPr>
          <w:ilvl w:val="0"/>
          <w:numId w:val="1005"/>
        </w:numPr>
        <w:pStyle w:val="Compact"/>
      </w:pPr>
      <w:r>
        <w:t xml:space="preserve">All text (labels, numbers, arrows) is added in PowerPoint as editable objects, never baked into images.</w:t>
      </w:r>
    </w:p>
    <w:bookmarkEnd w:id="26"/>
    <w:bookmarkStart w:id="27" w:name="lighting-approach"/>
    <w:p>
      <w:pPr>
        <w:pStyle w:val="Heading2"/>
      </w:pPr>
      <w:r>
        <w:t xml:space="preserve">8. Lighting approach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Mood</w:t>
            </w:r>
          </w:p>
        </w:tc>
        <w:tc>
          <w:tcPr/>
          <w:p>
            <w:pPr>
              <w:pStyle w:val="Compact"/>
              <w:jc w:val="left"/>
            </w:pPr>
            <w:r>
              <w:t xml:space="preserve">Use</w:t>
            </w:r>
          </w:p>
        </w:tc>
        <w:tc>
          <w:tcPr/>
          <w:p>
            <w:pPr>
              <w:pStyle w:val="Compact"/>
              <w:jc w:val="left"/>
            </w:pPr>
            <w:r>
              <w:t xml:space="preserve">Sun</w:t>
            </w:r>
          </w:p>
        </w:tc>
        <w:tc>
          <w:tcPr/>
          <w:p>
            <w:pPr>
              <w:pStyle w:val="Compact"/>
              <w:jc w:val="left"/>
            </w:pPr>
            <w:r>
              <w:t xml:space="preserve">Notes</w:t>
            </w:r>
          </w:p>
        </w:tc>
      </w:tr>
      <w:tr>
        <w:tc>
          <w:tcPr/>
          <w:p>
            <w:pPr>
              <w:pStyle w:val="Compact"/>
              <w:jc w:val="left"/>
            </w:pPr>
            <w:r>
              <w:rPr>
                <w:bCs/>
                <w:b/>
              </w:rPr>
              <w:t xml:space="preserve">Golden hour</w:t>
            </w:r>
            <w:r>
              <w:t xml:space="preserve"> </w:t>
            </w:r>
            <w:r>
              <w:t xml:space="preserve">(default)</w:t>
            </w:r>
          </w:p>
        </w:tc>
        <w:tc>
          <w:tcPr/>
          <w:p>
            <w:pPr>
              <w:pStyle w:val="Compact"/>
              <w:jc w:val="left"/>
            </w:pPr>
            <w:r>
              <w:t xml:space="preserve">Hero, frontage, arena, plaza</w:t>
            </w:r>
          </w:p>
        </w:tc>
        <w:tc>
          <w:tcPr/>
          <w:p>
            <w:pPr>
              <w:pStyle w:val="Compact"/>
              <w:jc w:val="left"/>
            </w:pPr>
            <w:r>
              <w:t xml:space="preserve">Azimuth about 288°, elevation 11–20°, warm</w:t>
            </w:r>
          </w:p>
        </w:tc>
        <w:tc>
          <w:tcPr/>
          <w:p>
            <w:pPr>
              <w:pStyle w:val="Compact"/>
              <w:jc w:val="left"/>
            </w:pPr>
            <w:r>
              <w:t xml:space="preserve">Reads form and shade</w:t>
            </w:r>
          </w:p>
        </w:tc>
      </w:tr>
      <w:tr>
        <w:tc>
          <w:tcPr/>
          <w:p>
            <w:pPr>
              <w:pStyle w:val="Compact"/>
              <w:jc w:val="left"/>
            </w:pPr>
            <w:r>
              <w:rPr>
                <w:bCs/>
                <w:b/>
              </w:rPr>
              <w:t xml:space="preserve">Day</w:t>
            </w:r>
          </w:p>
        </w:tc>
        <w:tc>
          <w:tcPr/>
          <w:p>
            <w:pPr>
              <w:pStyle w:val="Compact"/>
              <w:jc w:val="left"/>
            </w:pPr>
            <w:r>
              <w:t xml:space="preserve">Masterplan, off-road</w:t>
            </w:r>
          </w:p>
        </w:tc>
        <w:tc>
          <w:tcPr/>
          <w:p>
            <w:pPr>
              <w:pStyle w:val="Compact"/>
              <w:jc w:val="left"/>
            </w:pPr>
            <w:r>
              <w:t xml:space="preserve">Azimuth 215–250°, elevation 26–55°</w:t>
            </w:r>
          </w:p>
        </w:tc>
        <w:tc>
          <w:tcPr/>
          <w:p>
            <w:pPr>
              <w:pStyle w:val="Compact"/>
              <w:jc w:val="left"/>
            </w:pPr>
            <w:r>
              <w:t xml:space="preserve">Maximum legibility</w:t>
            </w:r>
          </w:p>
        </w:tc>
      </w:tr>
      <w:tr>
        <w:tc>
          <w:tcPr/>
          <w:p>
            <w:pPr>
              <w:pStyle w:val="Compact"/>
              <w:jc w:val="left"/>
            </w:pPr>
            <w:r>
              <w:rPr>
                <w:bCs/>
                <w:b/>
              </w:rPr>
              <w:t xml:space="preserve">Dusk / blue hour</w:t>
            </w:r>
          </w:p>
        </w:tc>
        <w:tc>
          <w:tcPr/>
          <w:p>
            <w:pPr>
              <w:pStyle w:val="Compact"/>
              <w:jc w:val="left"/>
            </w:pPr>
            <w:r>
              <w:t xml:space="preserve">2 images only (district atmosphere, Collectors’ Club)</w:t>
            </w:r>
          </w:p>
        </w:tc>
        <w:tc>
          <w:tcPr/>
          <w:p>
            <w:pPr>
              <w:pStyle w:val="Compact"/>
              <w:jc w:val="left"/>
            </w:pPr>
            <w:r>
              <w:t xml:space="preserve">Elevation about 1.5°</w:t>
            </w:r>
          </w:p>
        </w:tc>
        <w:tc>
          <w:tcPr/>
          <w:p>
            <w:pPr>
              <w:pStyle w:val="Compact"/>
              <w:jc w:val="left"/>
            </w:pPr>
            <w:r>
              <w:t xml:space="preserve">Interiors glow at a realistic level; no neon</w:t>
            </w:r>
          </w:p>
        </w:tc>
      </w:tr>
      <w:tr>
        <w:tc>
          <w:tcPr/>
          <w:p>
            <w:pPr>
              <w:pStyle w:val="Compact"/>
              <w:jc w:val="left"/>
            </w:pPr>
            <w:r>
              <w:rPr>
                <w:bCs/>
                <w:b/>
              </w:rPr>
              <w:t xml:space="preserve">Interiors</w:t>
            </w:r>
          </w:p>
        </w:tc>
        <w:tc>
          <w:tcPr/>
          <w:p>
            <w:pPr>
              <w:pStyle w:val="Compact"/>
              <w:jc w:val="left"/>
            </w:pPr>
            <w:r>
              <w:t xml:space="preserve">Arena, museum, simulator, club</w:t>
            </w:r>
          </w:p>
        </w:tc>
        <w:tc>
          <w:tcPr/>
          <w:p>
            <w:pPr>
              <w:pStyle w:val="Compact"/>
              <w:jc w:val="left"/>
            </w:pPr>
            <w:r>
              <w:t xml:space="preserve">Area and spot lights; daylight through glazing</w:t>
            </w:r>
          </w:p>
        </w:tc>
        <w:tc>
          <w:tcPr/>
          <w:p>
            <w:pPr>
              <w:pStyle w:val="Compact"/>
              <w:jc w:val="left"/>
            </w:pPr>
            <w:r>
              <w:t xml:space="preserve">Warm 3000–3500 K feel</w:t>
            </w:r>
          </w:p>
        </w:tc>
      </w:tr>
    </w:tbl>
    <w:bookmarkEnd w:id="27"/>
    <w:bookmarkStart w:id="28" w:name="camera-and-rendering-standards"/>
    <w:p>
      <w:pPr>
        <w:pStyle w:val="Heading2"/>
      </w:pPr>
      <w:r>
        <w:t xml:space="preserve">9. Camera and rendering standards</w:t>
      </w:r>
    </w:p>
    <w:p>
      <w:pPr>
        <w:numPr>
          <w:ilvl w:val="0"/>
          <w:numId w:val="1006"/>
        </w:numPr>
        <w:pStyle w:val="Compact"/>
      </w:pPr>
      <w:r>
        <w:t xml:space="preserve">Path-traced (Blender Cycles 5.2), physically based materials, AgX view transform, denoised.</w:t>
      </w:r>
    </w:p>
    <w:p>
      <w:pPr>
        <w:numPr>
          <w:ilvl w:val="0"/>
          <w:numId w:val="1006"/>
        </w:numPr>
        <w:pStyle w:val="Compact"/>
      </w:pPr>
      <w:r>
        <w:t xml:space="preserve">Vertical lines kept vertical in eye-level views. Lenses are 20–24 mm for interiors and 26–32 mm for aerials and exteriors.</w:t>
      </w:r>
    </w:p>
    <w:p>
      <w:pPr>
        <w:numPr>
          <w:ilvl w:val="0"/>
          <w:numId w:val="1006"/>
        </w:numPr>
        <w:pStyle w:val="Compact"/>
      </w:pPr>
      <w:r>
        <w:t xml:space="preserve">Vantage points: drone (12–60 m) for destinations, pedestrian (1.6–2.2 m) only where foreground assets hold up, aerial (170–320 m) for the district.</w:t>
      </w:r>
    </w:p>
    <w:p>
      <w:pPr>
        <w:numPr>
          <w:ilvl w:val="0"/>
          <w:numId w:val="1006"/>
        </w:numPr>
        <w:pStyle w:val="Compact"/>
      </w:pPr>
      <w:r>
        <w:t xml:space="preserve">One shared post-production grade (</w:t>
      </w:r>
      <w:r>
        <w:rPr>
          <w:rStyle w:val="VerbatimChar"/>
        </w:rPr>
        <w:t xml:space="preserve">tools/post.py</w:t>
      </w:r>
      <w:r>
        <w:t xml:space="preserve">): mild S-curve, warm highlights / cool shadows, +8% saturation, soft vignette, light sharpening.</w:t>
      </w:r>
    </w:p>
    <w:p>
      <w:pPr>
        <w:numPr>
          <w:ilvl w:val="0"/>
          <w:numId w:val="1006"/>
        </w:numPr>
        <w:pStyle w:val="Compact"/>
      </w:pPr>
      <w:r>
        <w:t xml:space="preserve">Scale figures and vehicles are kept at least about 7–10 m from the lens, because they are simplified models.</w:t>
      </w:r>
    </w:p>
    <w:p>
      <w:pPr>
        <w:numPr>
          <w:ilvl w:val="0"/>
          <w:numId w:val="1006"/>
        </w:numPr>
        <w:pStyle w:val="Compact"/>
      </w:pPr>
      <w:r>
        <w:t xml:space="preserve">Surrounding context is generic, low-detail massing that fades with distance. It represents</w:t>
      </w:r>
      <w:r>
        <w:t xml:space="preserve"> </w:t>
      </w:r>
      <w:r>
        <w:t xml:space="preserve">“</w:t>
      </w:r>
      <w:r>
        <w:t xml:space="preserve">existing urban fabric</w:t>
      </w:r>
      <w:r>
        <w:t xml:space="preserve">”</w:t>
      </w:r>
      <w:r>
        <w:t xml:space="preserve"> </w:t>
      </w:r>
      <w:r>
        <w:t xml:space="preserve">and does not depict actual neighbours.</w:t>
      </w:r>
    </w:p>
    <w:bookmarkEnd w:id="28"/>
    <w:bookmarkStart w:id="29" w:name="consistency-rules-checked-in-qa"/>
    <w:p>
      <w:pPr>
        <w:pStyle w:val="Heading2"/>
      </w:pPr>
      <w:r>
        <w:t xml:space="preserve">10. Consistency rules (checked in QA)</w:t>
      </w:r>
    </w:p>
    <w:p>
      <w:pPr>
        <w:numPr>
          <w:ilvl w:val="0"/>
          <w:numId w:val="1007"/>
        </w:numPr>
        <w:pStyle w:val="Compact"/>
      </w:pPr>
      <w:r>
        <w:t xml:space="preserve">Every view is rendered from the same</w:t>
      </w:r>
      <w:r>
        <w:t xml:space="preserve"> </w:t>
      </w:r>
      <w:r>
        <w:rPr>
          <w:rStyle w:val="VerbatimChar"/>
        </w:rPr>
        <w:t xml:space="preserve">jmd.blend</w:t>
      </w:r>
      <w:r>
        <w:t xml:space="preserve">, so the arena, club and showroom row are identical across images.</w:t>
      </w:r>
    </w:p>
    <w:p>
      <w:pPr>
        <w:numPr>
          <w:ilvl w:val="0"/>
          <w:numId w:val="1007"/>
        </w:numPr>
        <w:pStyle w:val="Compact"/>
      </w:pPr>
      <w:r>
        <w:t xml:space="preserve">Showroom fronts face the frontage road, and shop fronts face the showroom row.</w:t>
      </w:r>
    </w:p>
    <w:p>
      <w:pPr>
        <w:numPr>
          <w:ilvl w:val="0"/>
          <w:numId w:val="1007"/>
        </w:numPr>
        <w:pStyle w:val="Compact"/>
      </w:pPr>
      <w:r>
        <w:t xml:space="preserve">The off-road field always sits between the club and the service zone, and the launch plaza always sits at the arena’s south tip.</w:t>
      </w:r>
    </w:p>
    <w:p>
      <w:pPr>
        <w:numPr>
          <w:ilvl w:val="0"/>
          <w:numId w:val="1007"/>
        </w:numPr>
        <w:pStyle w:val="Compact"/>
      </w:pPr>
      <w:r>
        <w:t xml:space="preserve">No element is shown that the DWG does not contain, except interiors and the off-site context. The museum and simulator hall appear only as interiors, with</w:t>
      </w:r>
      <w:r>
        <w:t xml:space="preserve"> </w:t>
      </w:r>
      <w:r>
        <w:t xml:space="preserve">“</w:t>
      </w:r>
      <w:r>
        <w:t xml:space="preserve">location to be confirmed</w:t>
      </w:r>
      <w:r>
        <w:t xml:space="preserve">”</w:t>
      </w:r>
      <w:r>
        <w:t xml:space="preserv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2026-10-09T00:50:11Z</dcterms:created>
  <dcterms:modified xsi:type="dcterms:W3CDTF">2026-10-09T00:50:11Z</dcterms:modified>
</cp:coreProperties>
</file>

<file path=docProps/custom.xml><?xml version="1.0" encoding="utf-8"?>
<Properties xmlns="http://schemas.openxmlformats.org/officeDocument/2006/custom-properties" xmlns:vt="http://schemas.openxmlformats.org/officeDocument/2006/docPropsVTypes"/>
</file>