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9122cf7de717f979af8907de469195b8c8a81e"/>
    <w:p>
      <w:pPr>
        <w:pStyle w:val="Heading1"/>
      </w:pPr>
      <w:r>
        <w:t xml:space="preserve">JMD — Assumptions and Verification Register</w:t>
      </w:r>
    </w:p>
    <w:p>
      <w:pPr>
        <w:pStyle w:val="FirstParagraph"/>
      </w:pPr>
      <w:r>
        <w:t xml:space="preserve">Status key: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confirmed by the supplied material ·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= illustrative design assumption (new) ·</w:t>
      </w:r>
      <w:r>
        <w:t xml:space="preserve"> </w:t>
      </w:r>
      <w:r>
        <w:rPr>
          <w:bCs/>
          <w:b/>
        </w:rPr>
        <w:t xml:space="preserve">U</w:t>
      </w:r>
      <w:r>
        <w:t xml:space="preserve"> </w:t>
      </w:r>
      <w:r>
        <w:t xml:space="preserve">= unconfirmed / conflicting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requires further development or verification.</w:t>
      </w:r>
    </w:p>
    <w:p>
      <w:pPr>
        <w:pStyle w:val="BodyText"/>
      </w:pPr>
      <w:r>
        <w:t xml:space="preserve">Quantities marked</w:t>
      </w:r>
      <w:r>
        <w:t xml:space="preserve"> </w:t>
      </w:r>
      <w:r>
        <w:t xml:space="preserve">“</w:t>
      </w:r>
      <w:r>
        <w:t xml:space="preserve">DWG</w:t>
      </w:r>
      <w:r>
        <w:t xml:space="preserve">”</w:t>
      </w:r>
      <w:r>
        <w:t xml:space="preserve"> </w:t>
      </w:r>
      <w:r>
        <w:t xml:space="preserve">were measured from the hatched zones in</w:t>
      </w:r>
      <w:r>
        <w:t xml:space="preserve"> </w:t>
      </w:r>
      <w:r>
        <w:rPr>
          <w:rStyle w:val="VerbatimChar"/>
        </w:rPr>
        <w:t xml:space="preserve">FINAL_8-10-2026.dwg</w:t>
      </w:r>
      <w:r>
        <w:t xml:space="preserve">. Drawing units are read as metres: the dimensioned 6.0 m roads and 1.5 m walkways match the S1 p.4 section. All quantities are</w:t>
      </w:r>
      <w:r>
        <w:t xml:space="preserve"> </w:t>
      </w:r>
      <w:r>
        <w:rPr>
          <w:bCs/>
          <w:b/>
        </w:rPr>
        <w:t xml:space="preserve">indicative</w:t>
      </w:r>
      <w:r>
        <w:t xml:space="preserve">; they are measured footprints, not survey or GFA.</w:t>
      </w:r>
    </w:p>
    <w:bookmarkStart w:id="20" w:name="Xb346a622a52d8b15565513b02896c3e734d020f"/>
    <w:p>
      <w:pPr>
        <w:pStyle w:val="Heading2"/>
      </w:pPr>
      <w:r>
        <w:t xml:space="preserve">1. Directly supported by the original material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Showrooms, arena, Collectors’ Club, Wall of Fame museum, simulator hall, off-road experience, lifestyle retail, launch 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S1, S2, 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Curved showroom frontage; retail row behind it; arena and outdoor function area at the south tip; club at the hinge; off-road with test-drive loop; service village and dealer storage to the north-east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Showroom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units: 23 standard (≈240–245 m²), 21 premium (≈350–372 m²), 7 flagship (≈386–461 m²), 1 flagship-plus (540 m²). Footprint ≈16,640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shops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units, ≈388–429 m² each, ≈11,530 m² in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hall bays ≈12,911 m² plus a concourse band ≈5,911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divisibility and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or combined halls; 360° / 270° / 180° / runway / exhibition / e-karting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p.17–23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(intent)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Collectors’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× 117 m footprint (≈3,508 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incl. loop ≈54,273 m²; inner terrain ≈41,422 m²; 7 obstacle areas ≈17,692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Test-drive 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building ≈2,487 m², drop-off ≈733 m², test-car parking ≈4,232 m², guest parking ≈2,258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light-service and spare-parts units (≈635 m² typical), ≈38,146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Dealer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≈55,710 m² plus a 3,926 m² strip (shown as a PDI shed, see 2.10)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hub ≈3,793 m²; management ≈1,524 m²; 2 mosques (≈1,092 m² and ≈3,809 m²); commercial block ≈3,809 m²; outdoor function area ≈2,848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parking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single-row bays about 6 m wide, ≈58,444 m² in total, arranged back-to-back with 6 m aisles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DWG, S1 p.4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(layout)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Frontage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Showrooms face the main road with front customer parking (narration:</w:t>
            </w:r>
            <w:r>
              <w:t xml:space="preserve"> </w:t>
            </w:r>
            <w:r>
              <w:t xml:space="preserve">“</w:t>
            </w:r>
            <w:r>
              <w:t xml:space="preserve">showroom from the street level … on Madinah Road, and behind it … the arena and the collectors club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S2, S1 p.3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(intent)</w:t>
            </w:r>
          </w:p>
        </w:tc>
      </w:tr>
    </w:tbl>
    <w:bookmarkEnd w:id="20"/>
    <w:bookmarkStart w:id="21" w:name="Xf5ba484c8ada025bb7b4d1d1cd8957a2442b95f"/>
    <w:p>
      <w:pPr>
        <w:pStyle w:val="Heading2"/>
      </w:pPr>
      <w:r>
        <w:t xml:space="preserve">2. Illustrative design assumptions (new in this presentation)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heights: showrooms 9–14 m; shops 8 m; service 9 m; arena 21 m plus roof zone; club 15.5 m (3 levels); mosques 9/12 m with minarets of 28/34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Credible massing for concept 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language, materials and façade kit-of-parts (Visual Design Bible)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coherent 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Showroom brand bands left blank; no brand logos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implying tenant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architecture: floating roof over the full triangle, glazed concourse, bronze fins, entrance portal on the plaza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 gives the footprint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arcade 5.5 m deep on bronze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Shade and pedestrian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Off-road obstacles: mounds ≈10 m, dune field, water crossing, rock crawl, timber ramps, side-slope. Kerbed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DWG gives the zones, not their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plaza shade sails and reveal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Frontage road cross-section (≈76 m, 2 × 4 lanes, service roads, median); south-east road 2 × 3 lanes; local roads on the north and east 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DWG shows the site boundary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Surrounding context: anonymous low-rise massing north-west of the frontage road; open land to the south-east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urban setting without depicting actual 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ZIGZAG strip inside dealer storage is shown as a vehicle-preparation (PDI) 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Unlabelled in the DWG; the earlier masterplan has a</w:t>
            </w:r>
            <w:r>
              <w:t xml:space="preserve"> </w:t>
            </w:r>
            <w:r>
              <w:t xml:space="preserve">“</w:t>
            </w:r>
            <w:r>
              <w:t xml:space="preserve">PDI area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identical 3.8 × 20.4 m hatches inside shop units are omitted from the massing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Unlabelled; purpose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/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Interiors (arena modes, museum, simulator hall, club lounge)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Atmosphere only; no interior layouts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Landscape: date palms on road verges and medians, parking edges, promenade and plaza; shrub beds; 3.5 m footways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Climate-appropriate public realm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Parked vehicles, figures and traffic placed by rule (stall geometry, occupancy 55–88%)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realism only.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parking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 journeys on slide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bookmarkEnd w:id="21"/>
    <w:bookmarkStart w:id="22" w:name="X0604621a4318347a3eb9c6a0effe8b0b51347cf"/>
    <w:p>
      <w:pPr>
        <w:pStyle w:val="Heading2"/>
      </w:pPr>
      <w:r>
        <w:t xml:space="preserve">3. Unconfirmed or conflicting site and technical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site the DWG layout relates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DWG has no coordinates or site name. S1 shows three location options (p.24–27) and an earlier 180,000 m² layout (p.29–30)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 m² (S5) / 180,000 m² (S1 p.30) vs. the DWG boundary of ≈410,000 m² (41.0 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Frontage road name and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Madinah Road, 1,668 m</w:t>
            </w:r>
            <w:r>
              <w:t xml:space="preserve">”</w:t>
            </w:r>
            <w:r>
              <w:t xml:space="preserve"> </w:t>
            </w:r>
            <w:r>
              <w:t xml:space="preserve">(S5); 560 m (S1 p.31–33); DWG frontage arc ≈1,035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Showroom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18–20 brands (S5); 41 front + 28 back (S1 p.32); 52 units (DWG)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oval dome (S1 p.2–3), faceted pavilion (p.17) and glass hall (p.18–23) vs. the DWG triangle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U, resolved in the deck to the DWG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(S5); per-mode ranges of 4,500–12,000 (S1 p.18–23); floor areas of 12,000–20,000 m² (S1) vs. 12,911 m² of hall bays (DWG)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quantities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≈3,000 spaces (S5) vs. ≈5.8 ha of visitor bays plus ≈5.6 ha of storage (DWG)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Test-drive loop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km (S5) vs. a shorter loop around the off-road zone in the 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Basement parking or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in S1 p.4 and S5 (P1); not in the DWG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and simulator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located in the DWG; two inconsistent museum exteriors in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</w:tr>
    </w:tbl>
    <w:bookmarkEnd w:id="22"/>
    <w:bookmarkStart w:id="23" w:name="Xd98d4b1c0096f3cf4c7eef222fb430e431c2544"/>
    <w:p>
      <w:pPr>
        <w:pStyle w:val="Heading2"/>
      </w:pPr>
      <w:r>
        <w:t xml:space="preserve">4. Items requiring further development or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owner /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preferred site, its boundary and area; re-fit the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/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impact study: access points, junctions, event-day traffic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consultant with the Municipality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 demand and provision (daily and 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consultant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Land-use and zoning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with the Municipality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Utilities: power (EV charging, arena), water, drainage, telecoms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MEP /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capacity, egress, fire strategy (S1 cites NFPA, unverified)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and fire consultants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Off-road safety, dust and noise near public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/ environmental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and size the museum and simulator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heights, GFA and floor areas (renders are not area statements)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and tenant strategy; signage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/ leasing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Pedestrian crossings, shade standards and public-realm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 design with the Municipality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</w:tbl>
    <w:bookmarkEnd w:id="23"/>
    <w:bookmarkStart w:id="24" w:name="what-the-visualisations-are-and-are-not"/>
    <w:p>
      <w:pPr>
        <w:pStyle w:val="Heading2"/>
      </w:pPr>
      <w:r>
        <w:t xml:space="preserve">5. What the visualisations are and are not</w:t>
      </w:r>
    </w:p>
    <w:p>
      <w:pPr>
        <w:numPr>
          <w:ilvl w:val="0"/>
          <w:numId w:val="1001"/>
        </w:numPr>
        <w:pStyle w:val="Compact"/>
      </w:pPr>
      <w:r>
        <w:t xml:space="preserve">They are path-traced (Blender Cycles) renders of a 3D model built</w:t>
      </w:r>
      <w:r>
        <w:t xml:space="preserve"> </w:t>
      </w:r>
      <w:r>
        <w:rPr>
          <w:bCs/>
          <w:b/>
        </w:rPr>
        <w:t xml:space="preserve">directly from the DWG footprints</w:t>
      </w:r>
      <w:r>
        <w:t xml:space="preserve">. Every view shows the same model, so geometry is consistent across images.</w:t>
      </w:r>
    </w:p>
    <w:p>
      <w:pPr>
        <w:numPr>
          <w:ilvl w:val="0"/>
          <w:numId w:val="1001"/>
        </w:numPr>
        <w:pStyle w:val="Compact"/>
      </w:pPr>
      <w:r>
        <w:t xml:space="preserve">They are</w:t>
      </w:r>
      <w:r>
        <w:t xml:space="preserve"> </w:t>
      </w:r>
      <w:r>
        <w:rPr>
          <w:bCs/>
          <w:b/>
        </w:rPr>
        <w:t xml:space="preserve">concept visualisations</w:t>
      </w:r>
      <w:r>
        <w:t xml:space="preserve">. Vehicles, people and palms are simplified procedural models, and context massing is generic. They are not photographic marketing renders and not technical drawings.</w:t>
      </w:r>
    </w:p>
    <w:p>
      <w:pPr>
        <w:numPr>
          <w:ilvl w:val="0"/>
          <w:numId w:val="1001"/>
        </w:numPr>
        <w:pStyle w:val="Compact"/>
      </w:pPr>
      <w:r>
        <w:t xml:space="preserve">No AI image generation was used. No real brand marks appear in the new renders. Brand marks appear only in reproduced source pages, which are labelled as source material.</w:t>
      </w:r>
    </w:p>
    <w:p>
      <w:pPr>
        <w:numPr>
          <w:ilvl w:val="0"/>
          <w:numId w:val="1001"/>
        </w:numPr>
        <w:pStyle w:val="Compact"/>
      </w:pPr>
      <w:r>
        <w:t xml:space="preserve">Separation: no AlBalad Development Company (BDC) material or assumptions were used.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2026-10-09T00:50:11Z</dcterms:created>
  <dcterms:modified xsi:type="dcterms:W3CDTF">2026-10-09T00:50:11Z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