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Malgun Gothic" w:hAnsi="Malgun Gothic"/>
          <w:b/>
          <w:color w:val="182B49"/>
          <w:sz w:val="44"/>
        </w:rPr>
        <w:t>K-POP 대시보드 핵심 인사이트 보고서</w:t>
      </w:r>
    </w:p>
    <w:p>
      <w:pPr>
        <w:spacing w:before="0" w:after="320"/>
      </w:pPr>
      <w:r>
        <w:rPr>
          <w:rFonts w:ascii="Malgun Gothic" w:hAnsi="Malgun Gothic"/>
          <w:color w:val="7F8C8D"/>
          <w:sz w:val="22"/>
        </w:rPr>
        <w:t>대시보드 실측 지표 기반 핵심 결과 및 구조적 분석 (INSIGHTS.md)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rFonts w:ascii="Malgun Gothic" w:hAnsi="Malgun Gothic"/>
                <w:color w:val="2C3E50"/>
                <w:sz w:val="19"/>
              </w:rPr>
              <w:t>본 문서는 data/*.json에 반영된 실제 수치를 근거로 대시보드(홈 및 4개 주제 페이지, 소스 페이지)가 보여주는 산업 현상을 정리한 분석 보고서입니다. '역대 최고 실적과 성장 둔화 신호', '신흥시장 중심의 지역 축 교체', '판매량 분산과 자본 집중의 이중 구조'를 심층적으로 다룹니다.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1. 홈 화면 KPI 4개가 요약하는 핵심 지표</w:t>
      </w:r>
    </w:p>
    <w:p>
      <w:pPr>
        <w:spacing w:after="120"/>
      </w:pPr>
      <w:r>
        <w:t>대시보드 홈 화면은 4대 핵심 지표를 통해 전체 산업의 구조적 변화를 축약하여 보여줍니다.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8" w:space="0" w:color="182B49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82B4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핵심 KPI</w:t>
            </w:r>
          </w:p>
        </w:tc>
        <w:tc>
          <w:tcPr>
            <w:tcW w:type="dxa" w:w="3168"/>
            <w:shd w:fill="182B4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지표 수치</w:t>
            </w:r>
          </w:p>
        </w:tc>
        <w:tc>
          <w:tcPr>
            <w:tcW w:type="dxa" w:w="3600"/>
            <w:shd w:fill="182B4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산업적 함의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글로벌 음반산업 매출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317억 달러 (2025)</w:t>
              <w:br/>
              <w:t>YoY +6.4%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시장 전망: 사상 최고치 경신</w:t>
            </w:r>
          </w:p>
        </w:tc>
      </w:tr>
      <w:tr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최고 성장 신흥시장 지표</w:t>
            </w:r>
          </w:p>
        </w:tc>
        <w:tc>
          <w:tcPr>
            <w:tcW w:type="dxa" w:w="316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중남미 Weverse 디지털 리테일</w:t>
              <w:br/>
              <w:t>판매 +715% (2025)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글로벌 확장: 신흥시장이 차기 성장 동력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버추얼 아이돌 시장 규모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22.7억 달러 (2025) →</w:t>
              <w:br/>
              <w:t>107.5억 달러 (2035 전망)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AI·버추얼 아이돌: 초기 단계, 고성장 잠재력</w:t>
            </w:r>
          </w:p>
        </w:tc>
      </w:tr>
      <w:tr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판매량 집중도 (Gini)</w:t>
            </w:r>
          </w:p>
        </w:tc>
        <w:tc>
          <w:tcPr>
            <w:tcW w:type="dxa" w:w="316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0.4007 (2025)</w:t>
              <w:br/>
              <w:t>전년 대비 하락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산업 구조: 특정 그룹 판매량 쏠림 완화</w:t>
            </w:r>
          </w:p>
        </w:tc>
      </w:tr>
    </w:tbl>
    <w:p>
      <w:pPr>
        <w:spacing w:before="120" w:after="200"/>
        <w:ind w:left="288"/>
      </w:pPr>
      <w:r>
        <w:rPr>
          <w:rFonts w:ascii="Malgun Gothic" w:hAnsi="Malgun Gothic"/>
          <w:b/>
          <w:color w:val="2980B9"/>
          <w:sz w:val="19"/>
        </w:rPr>
        <w:t xml:space="preserve">💡 해석: </w:t>
      </w:r>
      <w:r>
        <w:rPr>
          <w:rFonts w:ascii="Malgun Gothic" w:hAnsi="Malgun Gothic"/>
          <w:i/>
          <w:color w:val="2C3E50"/>
          <w:sz w:val="19"/>
        </w:rPr>
        <w:t>이 4개 지표를 종합하면 '역대 최고 실적 달성 + 성장 둔화 신호 감지 + 신흥시장 중심 재편 + 판매량 분산 속 자본 집중'이라는 단일 서사가 도출됩니다.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2. 시장 전망 (market-outlook): 사상 최고치 vs 수출 성장 둔화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역대 최고 실적: </w:t>
      </w:r>
      <w:r>
        <w:rPr>
          <w:rFonts w:ascii="Malgun Gothic" w:hAnsi="Malgun Gothic"/>
          <w:sz w:val="19"/>
        </w:rPr>
        <w:t>2025년 글로벌 음반산업 매출 317억 달러(IFPI 기준), 11년 연속 성장세 지속. 한국은 세계 7위 규모이며 Export Power Score 및 온디맨드 스트리밍 볼륨 모두 세계 4위(미국·영국·캐나다 다음)를 기록.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앨범 수출 증가율의 급격한 둔화: </w:t>
      </w:r>
      <w:r>
        <w:rPr>
          <w:rFonts w:ascii="Malgun Gothic" w:hAnsi="Malgun Gothic"/>
          <w:sz w:val="19"/>
        </w:rPr>
        <w:t>한국무역협회 및 관세청 통계 기준 YoY 추이:</w:t>
      </w:r>
    </w:p>
    <w:p>
      <w:pPr>
        <w:pStyle w:val="ListBullet2"/>
        <w:spacing w:before="20" w:after="40" w:line="276" w:lineRule="auto"/>
      </w:pPr>
      <w:r>
        <w:rPr>
          <w:rFonts w:ascii="Malgun Gothic" w:hAnsi="Malgun Gothic"/>
          <w:sz w:val="18"/>
        </w:rPr>
        <w:t>2020년 +82.6% → 2021년 +62.2% → 2022년 +4.8% → 2023년 +1.6%</w:t>
      </w:r>
    </w:p>
    <w:p>
      <w:pPr>
        <w:pStyle w:val="ListBullet2"/>
        <w:spacing w:before="20" w:after="40" w:line="276" w:lineRule="auto"/>
      </w:pPr>
      <w:r>
        <w:rPr>
          <w:rFonts w:ascii="Malgun Gothic" w:hAnsi="Malgun Gothic"/>
          <w:sz w:val="18"/>
        </w:rPr>
        <w:t>절대액 기준 2023년 2.35억 달러에서 2025년 2.26억 달러로 소폭 감소하여, 팬데믹 시기의 폭발적 성장기가 종료되고 성숙기에 진입했음을 시사.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콘텐츠산업 내 최고 성장 업종 유지: </w:t>
      </w:r>
      <w:r>
        <w:rPr>
          <w:rFonts w:ascii="Malgun Gothic" w:hAnsi="Malgun Gothic"/>
          <w:sz w:val="19"/>
        </w:rPr>
        <w:t>국내 음악산업 매출 성장률은 15.8%로 세부 업종 중 1위이며, 해외 매출은 23.85억 달러(YoY +32.4%)로 콘텐츠 수출의 16% 점유. '앨범 수출'은 둔화되었으나 스트리밍·공연 등 전체 음악 매출은 고성장을 지속(수익 다변화).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콘서트 시장의 견조한 성장 전망: </w:t>
      </w:r>
      <w:r>
        <w:rPr>
          <w:rFonts w:ascii="Malgun Gothic" w:hAnsi="Malgun Gothic"/>
          <w:sz w:val="19"/>
        </w:rPr>
        <w:t>주요 리서치 3사 기준 2024~2032년 연평균 복합성장률(CAGR) 7.5~8.2%, 2030년경 글로벌 220~240억 달러 규모 전망.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기획사 실적의 괴리 현상: </w:t>
      </w:r>
      <w:r>
        <w:rPr>
          <w:rFonts w:ascii="Malgun Gothic" w:hAnsi="Malgun Gothic"/>
          <w:sz w:val="19"/>
        </w:rPr>
        <w:t>하이브의 경우 2025년 역대 최고 매출(2조 6,499억원, YoY +17.5%)을 달성했으나, 영업이익은 499억원으로 YoY -72.9% 급감. 해외 공연 확장에 따른 원가 부담 등으로 '매출 최고치 속 수익성 악화'라는 변곡점 신호 노출.</w:t>
      </w:r>
    </w:p>
    <w:p>
      <w:pPr>
        <w:spacing w:before="120" w:after="200"/>
        <w:ind w:left="288"/>
      </w:pPr>
      <w:r>
        <w:rPr>
          <w:rFonts w:ascii="Malgun Gothic" w:hAnsi="Malgun Gothic"/>
          <w:b/>
          <w:color w:val="2980B9"/>
          <w:sz w:val="19"/>
        </w:rPr>
        <w:t xml:space="preserve">💡 해석: </w:t>
      </w:r>
      <w:r>
        <w:rPr>
          <w:rFonts w:ascii="Malgun Gothic" w:hAnsi="Malgun Gothic"/>
          <w:i/>
          <w:color w:val="2C3E50"/>
          <w:sz w:val="19"/>
        </w:rPr>
        <w:t>시장 규모의 절대치는 계속 확장되고 있으나 성장 속도는 눈에 띄게 둔화되는 국면으로, 전형적인 S자 성장 곡선의 변곡점에 진입하고 있음을 보여줍니다.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3. 글로벌 확장 (global-expansion): 주력 시장과 차기 성장 동력의 분리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기존 수출 축의 대전환 (방송콘텐츠 프록시 기준): </w:t>
      </w:r>
      <w:r>
        <w:rPr>
          <w:rFonts w:ascii="Malgun Gothic" w:hAnsi="Malgun Gothic"/>
          <w:sz w:val="19"/>
        </w:rPr>
        <w:t>2014년 중화권(1.10억 달러)이 북미(0.40억 달러)를 앞섰으나, 2023년에는 북미(1.72억 달러), 중화권(0.26억 달러)으로 역전. 중화권 비중이 9년간 76.1% 급감하며 주력 시장이 재편됨.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신흥시장의 한류 선행지표 강세: </w:t>
      </w:r>
      <w:r>
        <w:rPr>
          <w:rFonts w:ascii="Malgun Gothic" w:hAnsi="Malgun Gothic"/>
          <w:sz w:val="19"/>
        </w:rPr>
        <w:t>2025 해외한류실태조사(KOFICE) 결과 한류심리지수 최상위권은 동남아시아, 중동·아프리카, 중남미 3개 권역으로 나타남.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플랫폼 결제 데이터로 입증된 신흥시장 팬덤: </w:t>
      </w:r>
      <w:r>
        <w:rPr>
          <w:rFonts w:ascii="Malgun Gothic" w:hAnsi="Malgun Gothic"/>
          <w:sz w:val="19"/>
        </w:rPr>
        <w:t>2025년 HYBE 발표 기준 Weverse 중남미 이용자 성장률은 +22%로 전 지역 최고치, 디지털 리테일 판매는 +715% 폭증하여 팬덤의 실질 구매력이 신흥시장으로 이동 중임을 증명.</w:t>
      </w:r>
    </w:p>
    <w:p>
      <w:pPr>
        <w:spacing w:before="120" w:after="200"/>
        <w:ind w:left="288"/>
      </w:pPr>
      <w:r>
        <w:rPr>
          <w:rFonts w:ascii="Malgun Gothic" w:hAnsi="Malgun Gothic"/>
          <w:b/>
          <w:color w:val="2980B9"/>
          <w:sz w:val="19"/>
        </w:rPr>
        <w:t xml:space="preserve">💡 해석: </w:t>
      </w:r>
      <w:r>
        <w:rPr>
          <w:rFonts w:ascii="Malgun Gothic" w:hAnsi="Malgun Gothic"/>
          <w:i/>
          <w:color w:val="2C3E50"/>
          <w:sz w:val="19"/>
        </w:rPr>
        <w:t>현재 수출이 집중된 '북미 시장'과 향후 성장을 견인할 '신흥시장(동남아·중동·중남미)'이 뚜렷하게 분리되고 있으며, 지정학적 리스크로 위축된 중화권·일본의 공백을 신흥시장이 흡수하는 양상입니다.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4. AI·버추얼 아이돌 (ai-tech): 성숙한 팬덤 플랫폼 vs 검증 단계의 버추얼 아이돌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팬덤 플랫폼의 수익 안정화: </w:t>
      </w:r>
      <w:r>
        <w:rPr>
          <w:rFonts w:ascii="Malgun Gothic" w:hAnsi="Malgun Gothic"/>
          <w:sz w:val="19"/>
        </w:rPr>
        <w:t>Weverse 2025년 MAU 1,200만 명, 굿즈 매출 성장률 +70% 달성. DearU Bubble 또한 분기 매출 1,740만 달러 규모를 유지하며 핵심 수익원으로 자리잡음.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버추얼 아이돌의 가파른 성장 전망과 미미한 현주소: </w:t>
      </w:r>
      <w:r>
        <w:rPr>
          <w:rFonts w:ascii="Malgun Gothic" w:hAnsi="Malgun Gothic"/>
          <w:sz w:val="19"/>
        </w:rPr>
        <w:t>글로벌 버추얼 시장은 2025년 22.7억 달러에서 2035년 107.5억 달러(CAGR 16.82%)로 급성장할 것으로 전망되나, 2026년 기준 K-POP 산업 전체 매출 내 AI 그룹 비중은 1.1%에 불과하여 전형적인 초기 단계임.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주요 케이스 스터디 3선: </w:t>
      </w:r>
      <w:r>
        <w:rPr>
          <w:rFonts w:ascii="Malgun Gothic" w:hAnsi="Malgun Gothic"/>
          <w:sz w:val="19"/>
        </w:rPr>
      </w:r>
    </w:p>
    <w:p>
      <w:pPr>
        <w:pStyle w:val="ListBullet2"/>
        <w:spacing w:before="20" w:after="40" w:line="276" w:lineRule="auto"/>
      </w:pPr>
      <w:r>
        <w:rPr>
          <w:rFonts w:ascii="Malgun Gothic" w:hAnsi="Malgun Gothic"/>
          <w:sz w:val="18"/>
        </w:rPr>
        <w:t>PLAVE: 2023년 데뷔. 2025년 'Dash'로 K/DA 이후 최초 Billboard Global 200 진입, 미니 3집 'Caligo Pt.1' 초동 100만 장 돌파(2025년 첫 밀리언셀러) 등 실물 음반 시장에서 기존 아티스트와 대등한 성과 달성.</w:t>
      </w:r>
    </w:p>
    <w:p>
      <w:pPr>
        <w:pStyle w:val="ListBullet2"/>
        <w:spacing w:before="20" w:after="40" w:line="276" w:lineRule="auto"/>
      </w:pPr>
      <w:r>
        <w:rPr>
          <w:rFonts w:ascii="Malgun Gothic" w:hAnsi="Malgun Gothic"/>
          <w:sz w:val="18"/>
        </w:rPr>
        <w:t>MAVE: 넷마블·카카오엔터 대규모 자본 투자 기반 생성형 AI 프로젝트. 데뷔 MV 조회수 2,800만 회로 대외적 화제성 확보.</w:t>
      </w:r>
    </w:p>
    <w:p>
      <w:pPr>
        <w:pStyle w:val="ListBullet2"/>
        <w:spacing w:before="20" w:after="40" w:line="276" w:lineRule="auto"/>
      </w:pPr>
      <w:r>
        <w:rPr>
          <w:rFonts w:ascii="Malgun Gothic" w:hAnsi="Malgun Gothic"/>
          <w:sz w:val="18"/>
        </w:rPr>
        <w:t>naevis: SM엔터 aespa 세계관 연계 버추얼 아티스트. 데뷔곡 유튜브 100만 회에 그치며 활동 정체 등 엇갈린 시장 반응.</w:t>
      </w:r>
    </w:p>
    <w:p>
      <w:pPr>
        <w:spacing w:before="120" w:after="200"/>
        <w:ind w:left="288"/>
      </w:pPr>
      <w:r>
        <w:rPr>
          <w:rFonts w:ascii="Malgun Gothic" w:hAnsi="Malgun Gothic"/>
          <w:b/>
          <w:color w:val="2980B9"/>
          <w:sz w:val="19"/>
        </w:rPr>
        <w:t xml:space="preserve">💡 해석: </w:t>
      </w:r>
      <w:r>
        <w:rPr>
          <w:rFonts w:ascii="Malgun Gothic" w:hAnsi="Malgun Gothic"/>
          <w:i/>
          <w:color w:val="2C3E50"/>
          <w:sz w:val="19"/>
        </w:rPr>
        <w:t>대기업의 자본력(SM, 넷마블, 카카오)이 곧바로 성공을 보장하지 않으며, 독립 제작사의 PLAVE가 밀리언셀러 및 빌보드 진입을 달성하는 등 승자가 결정되지 않은 실험·검증 단계입니다.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5. 산업 구조·지속가능성 (industry-sustainability): 판매량 분산과 자본 격차의 대비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2980B9"/>
          <w:sz w:val="23"/>
        </w:rPr>
        <w:t>5-1. 판매량 집중도 완화 추세 (Circle Chart Top100)</w:t>
      </w:r>
    </w:p>
    <w:p>
      <w:pPr>
        <w:spacing w:after="80"/>
      </w:pPr>
      <w:r>
        <w:t>써클차트 Top100 전수 집계 결과(2011~2025년), 상위 쏠림 현상이 크게 완화되었습니다.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8" w:space="0" w:color="182B49"/>
          <w:insideH w:val="single" w:sz="4" w:space="0" w:color="D1D5D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2304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Top 10 점유율</w:t>
            </w:r>
          </w:p>
        </w:tc>
        <w:tc>
          <w:tcPr>
            <w:tcW w:type="dxa" w:w="2160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Gini 계수</w:t>
            </w:r>
          </w:p>
        </w:tc>
        <w:tc>
          <w:tcPr>
            <w:tcW w:type="dxa" w:w="3168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2011년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38.4%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0.453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초기 집계 기준</w:t>
            </w:r>
          </w:p>
        </w:tc>
      </w:tr>
      <w:tr>
        <w:tc>
          <w:tcPr>
            <w:tcW w:type="dxa" w:w="172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2017년</w:t>
            </w:r>
          </w:p>
        </w:tc>
        <w:tc>
          <w:tcPr>
            <w:tcW w:type="dxa" w:w="230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45.6%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0.542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상승세 지속</w:t>
            </w:r>
          </w:p>
        </w:tc>
      </w:tr>
      <w:tr>
        <w:tc>
          <w:tcPr>
            <w:tcW w:type="dxa" w:w="1728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2018년</w:t>
            </w:r>
          </w:p>
        </w:tc>
        <w:tc>
          <w:tcPr>
            <w:tcW w:type="dxa" w:w="2304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47.2%</w:t>
            </w:r>
          </w:p>
        </w:tc>
        <w:tc>
          <w:tcPr>
            <w:tcW w:type="dxa" w:w="2160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0.557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집중도 정점(Peak)</w:t>
            </w:r>
          </w:p>
        </w:tc>
      </w:tr>
      <w:tr>
        <w:tc>
          <w:tcPr>
            <w:tcW w:type="dxa" w:w="172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2019년</w:t>
            </w:r>
          </w:p>
        </w:tc>
        <w:tc>
          <w:tcPr>
            <w:tcW w:type="dxa" w:w="230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41.9%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0.511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하락 반전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2023년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36.6%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0.495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완만한 분산</w:t>
            </w:r>
          </w:p>
        </w:tc>
      </w:tr>
      <w:tr>
        <w:tc>
          <w:tcPr>
            <w:tcW w:type="dxa" w:w="172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2024년</w:t>
            </w:r>
          </w:p>
        </w:tc>
        <w:tc>
          <w:tcPr>
            <w:tcW w:type="dxa" w:w="230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31.4%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0.408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지니계수 대폭 완화</w:t>
            </w:r>
          </w:p>
        </w:tc>
      </w:tr>
      <w:tr>
        <w:tc>
          <w:tcPr>
            <w:tcW w:type="dxa" w:w="1728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2025년</w:t>
            </w:r>
          </w:p>
        </w:tc>
        <w:tc>
          <w:tcPr>
            <w:tcW w:type="dxa" w:w="2304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29.8%</w:t>
            </w:r>
          </w:p>
        </w:tc>
        <w:tc>
          <w:tcPr>
            <w:tcW w:type="dxa" w:w="2160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0.401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2011년 이후 최저 수준</w:t>
            </w:r>
          </w:p>
        </w:tc>
      </w:tr>
    </w:tbl>
    <w:p>
      <w:pPr>
        <w:spacing w:before="80" w:after="160"/>
      </w:pPr>
      <w:r>
        <w:rPr>
          <w:color w:val="7F8C8D"/>
          <w:sz w:val="17"/>
        </w:rPr>
        <w:t>※ Top100 전체 판매량은 2011년 508만 장에서 2025년 6,462만 장으로 12배 이상 급증하였으며, 전체 시장 파이가 커지면서 분배도가 개선되는 긍정적 흐름을 보임.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2980B9"/>
          <w:sz w:val="23"/>
        </w:rPr>
        <w:t>5-2. 자본 및 인프라 격차의 심화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제작비 격차 29배: </w:t>
      </w:r>
      <w:r>
        <w:rPr>
          <w:rFonts w:ascii="Malgun Gothic" w:hAnsi="Malgun Gothic"/>
          <w:sz w:val="19"/>
        </w:rPr>
        <w:t>대기업 연평균 음악 제작비 431.1억원 vs 중소기업 14.9억원 (2023년 문체부·뉴스엔 기준).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해외 투어 인프라 격차 20배 이상: </w:t>
      </w:r>
      <w:r>
        <w:rPr>
          <w:rFonts w:ascii="Malgun Gothic" w:hAnsi="Malgun Gothic"/>
          <w:sz w:val="19"/>
        </w:rPr>
        <w:t>대기업 연간 평균 해외 공연 83.4회 vs 중소기업 4.0회.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단일 앨범 프로젝트 단위 격차: </w:t>
      </w:r>
      <w:r>
        <w:rPr>
          <w:rFonts w:ascii="Malgun Gothic" w:hAnsi="Malgun Gothic"/>
          <w:sz w:val="19"/>
        </w:rPr>
        <w:t>대형사 미니앨범 최소 50억원 투입 vs 중소사 약 10억원 (2026년 기준 신인 보이그룹 데뷔+2주 활동비에만 해외 마케팅 제외 80억원 투입 사례 존재).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분기 매출 극단화 (2026년 1분기): </w:t>
      </w:r>
      <w:r>
        <w:rPr>
          <w:rFonts w:ascii="Malgun Gothic" w:hAnsi="Malgun Gothic"/>
          <w:sz w:val="19"/>
        </w:rPr>
        <w:t>하이브(698.3억원) vs TN엔터(8.4억원)로 약 83배 격차. 큐브(-63%), RBW(-10%), TN(-36%) 등 중소형사는 역성장한 반면 대형사는 성장하는 양극화 심화.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시가총액과 매출의 비동기화: </w:t>
      </w:r>
      <w:r>
        <w:rPr>
          <w:rFonts w:ascii="Malgun Gothic" w:hAnsi="Malgun Gothic"/>
          <w:sz w:val="19"/>
        </w:rPr>
        <w:t>하이브(시총 12.02조원) 독주 외, JYP는 매출 3위(6,836억원)임에도 시총(2.74조원)이 매출 2위 SM(매출 8,125억원, 시총 2.77조원)에 육박하여 성장률 프리미엄이 반영됨.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2980B9"/>
          <w:sz w:val="23"/>
        </w:rPr>
        <w:t>5-3. 아티스트 생존율 전수조사 (김정섭 교수 연구)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기간별 생존율 (1996~2025년 1,182개 그룹 대상): </w:t>
      </w:r>
      <w:r>
        <w:rPr>
          <w:rFonts w:ascii="Malgun Gothic" w:hAnsi="Malgun Gothic"/>
          <w:sz w:val="19"/>
        </w:rPr>
        <w:t>데뷔 3년 생존율 55.0% → 5년 36.6% → 10년 17.9%.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평균 활동 기간: </w:t>
      </w:r>
      <w:r>
        <w:rPr>
          <w:rFonts w:ascii="Malgun Gothic" w:hAnsi="Malgun Gothic"/>
          <w:sz w:val="19"/>
        </w:rPr>
        <w:t>4.12년 (보이그룹 5.11년 vs 걸그룹 3.13년)으로 표준계약서상 7년의 58.9% 수준에 불과.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손익분기점(BEP, 30만 장) 통과 그룹: </w:t>
      </w:r>
      <w:r>
        <w:rPr>
          <w:rFonts w:ascii="Malgun Gothic" w:hAnsi="Malgun Gothic"/>
          <w:sz w:val="19"/>
        </w:rPr>
        <w:t>전체 1,182개 그룹 중 단 3.55%(42개 팀). 100만 장 이상은 1.61%(19개), 1,000만 장 이상은 0.68%(8개)에 불과.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2980B9"/>
          <w:sz w:val="23"/>
        </w:rPr>
        <w:t>5-4. 지속가능성 리스크 요인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실물 음반 시장의 첫 역성장: </w:t>
      </w:r>
      <w:r>
        <w:rPr>
          <w:rFonts w:ascii="Malgun Gothic" w:hAnsi="Malgun Gothic"/>
          <w:sz w:val="19"/>
        </w:rPr>
        <w:t>2025년 9,890만 장(-17.7%)으로 9년 만에 '1억 장 시대' 마감. 멀티버전·랜덤 포토카드 마케팅의 피로도 누적 신호.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주력 국가 수출 편중 리스크: </w:t>
      </w:r>
      <w:r>
        <w:rPr>
          <w:rFonts w:ascii="Malgun Gothic" w:hAnsi="Malgun Gothic"/>
          <w:sz w:val="19"/>
        </w:rPr>
        <w:t>최근 3년간 일본 음반·DVD 수출 61% 급감, 중화권 수출은 2014년 대비 76.1% 축소 상태 고착. 신흥시장 전환은 자발적 개척뿐만 아니라 기존 주력 축 붕괴에 따른 압박의 결과.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수익 구조 다변화 긍정 신호: </w:t>
      </w:r>
      <w:r>
        <w:rPr>
          <w:rFonts w:ascii="Malgun Gothic" w:hAnsi="Malgun Gothic"/>
          <w:sz w:val="19"/>
        </w:rPr>
        <w:t>음반 판매 의존도에서 스트리밍, 대규모 월드투어, 글로벌 브랜드 파트너십 중심의 구조 전환 가속화.</w:t>
      </w:r>
    </w:p>
    <w:p>
      <w:pPr>
        <w:spacing w:before="120" w:after="200"/>
        <w:ind w:left="288"/>
      </w:pPr>
      <w:r>
        <w:rPr>
          <w:rFonts w:ascii="Malgun Gothic" w:hAnsi="Malgun Gothic"/>
          <w:b/>
          <w:color w:val="2980B9"/>
          <w:sz w:val="19"/>
        </w:rPr>
        <w:t xml:space="preserve">💡 해석: </w:t>
      </w:r>
      <w:r>
        <w:rPr>
          <w:rFonts w:ascii="Malgun Gothic" w:hAnsi="Malgun Gothic"/>
          <w:i/>
          <w:color w:val="2C3E50"/>
          <w:sz w:val="19"/>
        </w:rPr>
        <w:t>판매량의 쏠림(Gini 계수)은 완화되었으나, 시장 진입 및 앨범 제작에 필요한 초기 자본 장벽은 극도로 높아졌습니다. 즉 '누가 히트하는가'는 다변화되었으나 '누가 히트 경쟁에 참여할 수 있는가'의 문턱은 더욱 공고해졌습니다.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6. 대시보드를 관통하는 3가지 교차 인사이트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1. 역대 최고 실적 이면의 성장 둔화 시그널 동시 발현: </w:t>
      </w:r>
      <w:r>
        <w:rPr>
          <w:rFonts w:ascii="Malgun Gothic" w:hAnsi="Malgun Gothic"/>
          <w:sz w:val="19"/>
        </w:rPr>
        <w:t>앨범 수출 증가율 둔화, 하이브 영업이익 급감, 실물 음반 역성장(-17.7%), 일본 수출 61% 급감 등이 동시에 나타나며 팬데믹 특수 종료 후 완연한 성숙기 진입을 증명.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2. 글로벌 확장이 아닌 '지정학적 축의 강제적 교체': </w:t>
      </w:r>
      <w:r>
        <w:rPr>
          <w:rFonts w:ascii="Malgun Gothic" w:hAnsi="Malgun Gothic"/>
          <w:sz w:val="19"/>
        </w:rPr>
        <w:t>중화권 및 일본 시장의 정치·경제적 리스크로 인한 축소 속도와 동남아·중동·중남미 등 신흥시장의 부상 속도가 일치하여 단순 확장을 넘어선 생존형 시장 교체 양상 전개.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3. 양극화의 이중 구조 (판매량 분산 vs 자본 집중): </w:t>
      </w:r>
      <w:r>
        <w:rPr>
          <w:rFonts w:ascii="Malgun Gothic" w:hAnsi="Malgun Gothic"/>
          <w:sz w:val="19"/>
        </w:rPr>
        <w:t>차트 내 판매량 분포는 중견·신인 그룹으로 분산(Gini 0.401)되는 반면, 제작비·투어 인프라 등 자본력의 격차는 29배~83배에 달해 두 지표를 분리하여 해석해야 함.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7. 데이터 해석 시 유의사항 및 한계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지역별 수출 데이터 프록시: </w:t>
      </w:r>
      <w:r>
        <w:rPr>
          <w:rFonts w:ascii="Malgun Gothic" w:hAnsi="Malgun Gothic"/>
          <w:sz w:val="19"/>
        </w:rPr>
        <w:t>음악 산업 직접 통계 부재로 방송콘텐츠 수출 통계를 대용치로 사용하였으므로 절대 규모보다는 연도별 추세선 중심으로 해석 필요.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신흥시장 정량 데이터 제약: </w:t>
      </w:r>
      <w:r>
        <w:rPr>
          <w:rFonts w:ascii="Malgun Gothic" w:hAnsi="Malgun Gothic"/>
          <w:sz w:val="19"/>
        </w:rPr>
        <w:t>동남아·중남미·중동 정량 수출액은 KOFICE 원자료 갱신 대기 중이며, 현재는 한류심리지수 및 Weverse 결제 데이터를 선행지표로 채택함.</w:t>
      </w:r>
    </w:p>
    <w:p>
      <w:pPr>
        <w:pStyle w:val="ListBullet"/>
        <w:spacing w:before="40" w:after="60" w:line="276" w:lineRule="auto"/>
      </w:pPr>
      <w:r>
        <w:rPr>
          <w:rFonts w:ascii="Malgun Gothic" w:hAnsi="Malgun Gothic"/>
          <w:b/>
          <w:sz w:val="19"/>
        </w:rPr>
        <w:t xml:space="preserve">시가총액 지표의 시점 한계: </w:t>
      </w:r>
      <w:r>
        <w:rPr>
          <w:rFonts w:ascii="Malgun Gothic" w:hAnsi="Malgun Gothic"/>
          <w:sz w:val="19"/>
        </w:rPr>
        <w:t>기획사 시가총액은 2025년 10월 23일 기준 단면 스냅샷 자료로 시장 상황에 따른 변동성 감안 필요.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