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889F7" w14:textId="77777777" w:rsidR="005F7517" w:rsidRDefault="00927BF8">
      <w:pPr>
        <w:pStyle w:val="Tytu"/>
      </w:pPr>
      <w:r>
        <w:t>WYDZIAŁ MATEMATYKI I FIZYKI STOSOWANEJ</w:t>
      </w:r>
    </w:p>
    <w:p w14:paraId="67F1A1F8" w14:textId="77777777" w:rsidR="005F7517" w:rsidRDefault="00927BF8">
      <w:pPr>
        <w:pStyle w:val="Podtytu"/>
      </w:pPr>
      <w:r>
        <w:t>Projekt: Wpływ kryzysu energetycznego na dynamikę przeładunków węgla i koksu w polskich portach morskich w latach 2010–2026: Statystyczna analiza danych</w:t>
      </w:r>
    </w:p>
    <w:p w14:paraId="3BDF8DBF" w14:textId="77777777" w:rsidR="005F7517" w:rsidRDefault="00927BF8">
      <w:pPr>
        <w:pStyle w:val="Author"/>
      </w:pPr>
      <w:r>
        <w:t>Dominika Zięba</w:t>
      </w:r>
    </w:p>
    <w:p w14:paraId="0A4DAC63" w14:textId="77777777" w:rsidR="005F7517" w:rsidRDefault="00927BF8">
      <w:pPr>
        <w:pStyle w:val="Data"/>
      </w:pPr>
      <w:r>
        <w:t>Rzeszów 2026</w:t>
      </w:r>
    </w:p>
    <w:sdt>
      <w:sdtPr>
        <w:rPr>
          <w:rFonts w:asciiTheme="minorHAnsi" w:eastAsiaTheme="minorHAnsi" w:hAnsiTheme="minorHAnsi" w:cstheme="minorBidi"/>
          <w:color w:val="auto"/>
          <w:sz w:val="24"/>
          <w:szCs w:val="24"/>
        </w:rPr>
        <w:id w:val="1646161419"/>
        <w:docPartObj>
          <w:docPartGallery w:val="Table of Contents"/>
          <w:docPartUnique/>
        </w:docPartObj>
      </w:sdtPr>
      <w:sdtEndPr/>
      <w:sdtContent>
        <w:p w14:paraId="60DAF6D4" w14:textId="77777777" w:rsidR="005F7517" w:rsidRDefault="00927BF8">
          <w:pPr>
            <w:pStyle w:val="Nagwekspisutreci"/>
          </w:pPr>
          <w:r>
            <w:t>Spis treści</w:t>
          </w:r>
        </w:p>
        <w:p w14:paraId="3CC68D62" w14:textId="34AFD332" w:rsidR="00454CC7" w:rsidRDefault="00927BF8">
          <w:pPr>
            <w:pStyle w:val="Spistreci1"/>
            <w:tabs>
              <w:tab w:val="right" w:leader="dot" w:pos="9396"/>
            </w:tabs>
            <w:rPr>
              <w:rFonts w:eastAsiaTheme="minorEastAsia"/>
              <w:noProof/>
              <w:kern w:val="2"/>
              <w:lang w:val="pl-PL" w:eastAsia="pl-PL"/>
              <w14:ligatures w14:val="standardContextual"/>
            </w:rPr>
          </w:pPr>
          <w:r>
            <w:fldChar w:fldCharType="begin"/>
          </w:r>
          <w:r>
            <w:instrText>TOC \o "1-1" \h \z \u</w:instrText>
          </w:r>
          <w:r>
            <w:fldChar w:fldCharType="separate"/>
          </w:r>
          <w:hyperlink w:anchor="_Toc240407084" w:history="1">
            <w:r w:rsidR="00454CC7" w:rsidRPr="00F64292">
              <w:rPr>
                <w:rStyle w:val="Hipercze"/>
                <w:noProof/>
              </w:rPr>
              <w:t>Wprowadzenie i metryka projektu</w:t>
            </w:r>
            <w:r w:rsidR="00454CC7">
              <w:rPr>
                <w:noProof/>
                <w:webHidden/>
              </w:rPr>
              <w:tab/>
            </w:r>
            <w:r w:rsidR="00454CC7">
              <w:rPr>
                <w:noProof/>
                <w:webHidden/>
              </w:rPr>
              <w:fldChar w:fldCharType="begin"/>
            </w:r>
            <w:r w:rsidR="00454CC7">
              <w:rPr>
                <w:noProof/>
                <w:webHidden/>
              </w:rPr>
              <w:instrText xml:space="preserve"> PAGEREF _Toc240407084 \h </w:instrText>
            </w:r>
            <w:r w:rsidR="00454CC7">
              <w:rPr>
                <w:noProof/>
                <w:webHidden/>
              </w:rPr>
            </w:r>
            <w:r w:rsidR="00454CC7">
              <w:rPr>
                <w:noProof/>
                <w:webHidden/>
              </w:rPr>
              <w:fldChar w:fldCharType="separate"/>
            </w:r>
            <w:r w:rsidR="00454CC7">
              <w:rPr>
                <w:noProof/>
                <w:webHidden/>
              </w:rPr>
              <w:t>2</w:t>
            </w:r>
            <w:r w:rsidR="00454CC7">
              <w:rPr>
                <w:noProof/>
                <w:webHidden/>
              </w:rPr>
              <w:fldChar w:fldCharType="end"/>
            </w:r>
          </w:hyperlink>
        </w:p>
        <w:p w14:paraId="282AB568" w14:textId="0FD340DC" w:rsidR="00454CC7" w:rsidRDefault="00454CC7">
          <w:pPr>
            <w:pStyle w:val="Spistreci1"/>
            <w:tabs>
              <w:tab w:val="right" w:leader="dot" w:pos="9396"/>
            </w:tabs>
            <w:rPr>
              <w:rFonts w:eastAsiaTheme="minorEastAsia"/>
              <w:noProof/>
              <w:kern w:val="2"/>
              <w:lang w:val="pl-PL" w:eastAsia="pl-PL"/>
              <w14:ligatures w14:val="standardContextual"/>
            </w:rPr>
          </w:pPr>
          <w:hyperlink w:anchor="_Toc240407085" w:history="1">
            <w:r w:rsidRPr="00F64292">
              <w:rPr>
                <w:rStyle w:val="Hipercze"/>
                <w:noProof/>
              </w:rPr>
              <w:t>I. Opis użytych danych</w:t>
            </w:r>
            <w:r>
              <w:rPr>
                <w:noProof/>
                <w:webHidden/>
              </w:rPr>
              <w:tab/>
            </w:r>
            <w:r>
              <w:rPr>
                <w:noProof/>
                <w:webHidden/>
              </w:rPr>
              <w:fldChar w:fldCharType="begin"/>
            </w:r>
            <w:r>
              <w:rPr>
                <w:noProof/>
                <w:webHidden/>
              </w:rPr>
              <w:instrText xml:space="preserve"> PAGEREF _Toc240407085 \h </w:instrText>
            </w:r>
            <w:r>
              <w:rPr>
                <w:noProof/>
                <w:webHidden/>
              </w:rPr>
            </w:r>
            <w:r>
              <w:rPr>
                <w:noProof/>
                <w:webHidden/>
              </w:rPr>
              <w:fldChar w:fldCharType="separate"/>
            </w:r>
            <w:r>
              <w:rPr>
                <w:noProof/>
                <w:webHidden/>
              </w:rPr>
              <w:t>2</w:t>
            </w:r>
            <w:r>
              <w:rPr>
                <w:noProof/>
                <w:webHidden/>
              </w:rPr>
              <w:fldChar w:fldCharType="end"/>
            </w:r>
          </w:hyperlink>
        </w:p>
        <w:p w14:paraId="097E113B" w14:textId="642CE57E" w:rsidR="00454CC7" w:rsidRDefault="00454CC7">
          <w:pPr>
            <w:pStyle w:val="Spistreci1"/>
            <w:tabs>
              <w:tab w:val="right" w:leader="dot" w:pos="9396"/>
            </w:tabs>
            <w:rPr>
              <w:rFonts w:eastAsiaTheme="minorEastAsia"/>
              <w:noProof/>
              <w:kern w:val="2"/>
              <w:lang w:val="pl-PL" w:eastAsia="pl-PL"/>
              <w14:ligatures w14:val="standardContextual"/>
            </w:rPr>
          </w:pPr>
          <w:hyperlink w:anchor="_Toc240407086" w:history="1">
            <w:r w:rsidRPr="00F64292">
              <w:rPr>
                <w:rStyle w:val="Hipercze"/>
                <w:noProof/>
              </w:rPr>
              <w:t>II. Wyznaczenie podstawowych parametrów opisowych</w:t>
            </w:r>
            <w:r>
              <w:rPr>
                <w:noProof/>
                <w:webHidden/>
              </w:rPr>
              <w:tab/>
            </w:r>
            <w:r>
              <w:rPr>
                <w:noProof/>
                <w:webHidden/>
              </w:rPr>
              <w:fldChar w:fldCharType="begin"/>
            </w:r>
            <w:r>
              <w:rPr>
                <w:noProof/>
                <w:webHidden/>
              </w:rPr>
              <w:instrText xml:space="preserve"> PAGEREF _Toc240407086 \h </w:instrText>
            </w:r>
            <w:r>
              <w:rPr>
                <w:noProof/>
                <w:webHidden/>
              </w:rPr>
            </w:r>
            <w:r>
              <w:rPr>
                <w:noProof/>
                <w:webHidden/>
              </w:rPr>
              <w:fldChar w:fldCharType="separate"/>
            </w:r>
            <w:r>
              <w:rPr>
                <w:noProof/>
                <w:webHidden/>
              </w:rPr>
              <w:t>5</w:t>
            </w:r>
            <w:r>
              <w:rPr>
                <w:noProof/>
                <w:webHidden/>
              </w:rPr>
              <w:fldChar w:fldCharType="end"/>
            </w:r>
          </w:hyperlink>
        </w:p>
        <w:p w14:paraId="4467AB9F" w14:textId="57220224" w:rsidR="00454CC7" w:rsidRDefault="00454CC7">
          <w:pPr>
            <w:pStyle w:val="Spistreci1"/>
            <w:tabs>
              <w:tab w:val="right" w:leader="dot" w:pos="9396"/>
            </w:tabs>
            <w:rPr>
              <w:rFonts w:eastAsiaTheme="minorEastAsia"/>
              <w:noProof/>
              <w:kern w:val="2"/>
              <w:lang w:val="pl-PL" w:eastAsia="pl-PL"/>
              <w14:ligatures w14:val="standardContextual"/>
            </w:rPr>
          </w:pPr>
          <w:hyperlink w:anchor="_Toc240407087" w:history="1">
            <w:r w:rsidRPr="00F64292">
              <w:rPr>
                <w:rStyle w:val="Hipercze"/>
                <w:noProof/>
              </w:rPr>
              <w:t>III. Graficzna prezentacja danych</w:t>
            </w:r>
            <w:r>
              <w:rPr>
                <w:noProof/>
                <w:webHidden/>
              </w:rPr>
              <w:tab/>
            </w:r>
            <w:r>
              <w:rPr>
                <w:noProof/>
                <w:webHidden/>
              </w:rPr>
              <w:fldChar w:fldCharType="begin"/>
            </w:r>
            <w:r>
              <w:rPr>
                <w:noProof/>
                <w:webHidden/>
              </w:rPr>
              <w:instrText xml:space="preserve"> PAGEREF _Toc240407087 \h </w:instrText>
            </w:r>
            <w:r>
              <w:rPr>
                <w:noProof/>
                <w:webHidden/>
              </w:rPr>
            </w:r>
            <w:r>
              <w:rPr>
                <w:noProof/>
                <w:webHidden/>
              </w:rPr>
              <w:fldChar w:fldCharType="separate"/>
            </w:r>
            <w:r>
              <w:rPr>
                <w:noProof/>
                <w:webHidden/>
              </w:rPr>
              <w:t>9</w:t>
            </w:r>
            <w:r>
              <w:rPr>
                <w:noProof/>
                <w:webHidden/>
              </w:rPr>
              <w:fldChar w:fldCharType="end"/>
            </w:r>
          </w:hyperlink>
        </w:p>
        <w:p w14:paraId="582FCC86" w14:textId="291E01F3" w:rsidR="00454CC7" w:rsidRDefault="00454CC7">
          <w:pPr>
            <w:pStyle w:val="Spistreci1"/>
            <w:tabs>
              <w:tab w:val="right" w:leader="dot" w:pos="9396"/>
            </w:tabs>
            <w:rPr>
              <w:rFonts w:eastAsiaTheme="minorEastAsia"/>
              <w:noProof/>
              <w:kern w:val="2"/>
              <w:lang w:val="pl-PL" w:eastAsia="pl-PL"/>
              <w14:ligatures w14:val="standardContextual"/>
            </w:rPr>
          </w:pPr>
          <w:hyperlink w:anchor="_Toc240407088" w:history="1">
            <w:r w:rsidRPr="00F64292">
              <w:rPr>
                <w:rStyle w:val="Hipercze"/>
                <w:noProof/>
              </w:rPr>
              <w:t>IV. Weryfikacja hipotez statystycznych</w:t>
            </w:r>
            <w:r>
              <w:rPr>
                <w:noProof/>
                <w:webHidden/>
              </w:rPr>
              <w:tab/>
            </w:r>
            <w:r>
              <w:rPr>
                <w:noProof/>
                <w:webHidden/>
              </w:rPr>
              <w:fldChar w:fldCharType="begin"/>
            </w:r>
            <w:r>
              <w:rPr>
                <w:noProof/>
                <w:webHidden/>
              </w:rPr>
              <w:instrText xml:space="preserve"> PAGEREF _Toc240407088 \h </w:instrText>
            </w:r>
            <w:r>
              <w:rPr>
                <w:noProof/>
                <w:webHidden/>
              </w:rPr>
            </w:r>
            <w:r>
              <w:rPr>
                <w:noProof/>
                <w:webHidden/>
              </w:rPr>
              <w:fldChar w:fldCharType="separate"/>
            </w:r>
            <w:r>
              <w:rPr>
                <w:noProof/>
                <w:webHidden/>
              </w:rPr>
              <w:t>17</w:t>
            </w:r>
            <w:r>
              <w:rPr>
                <w:noProof/>
                <w:webHidden/>
              </w:rPr>
              <w:fldChar w:fldCharType="end"/>
            </w:r>
          </w:hyperlink>
        </w:p>
        <w:p w14:paraId="3CC621BF" w14:textId="78DC7EC4" w:rsidR="00454CC7" w:rsidRDefault="00454CC7">
          <w:pPr>
            <w:pStyle w:val="Spistreci1"/>
            <w:tabs>
              <w:tab w:val="right" w:leader="dot" w:pos="9396"/>
            </w:tabs>
            <w:rPr>
              <w:rFonts w:eastAsiaTheme="minorEastAsia"/>
              <w:noProof/>
              <w:kern w:val="2"/>
              <w:lang w:val="pl-PL" w:eastAsia="pl-PL"/>
              <w14:ligatures w14:val="standardContextual"/>
            </w:rPr>
          </w:pPr>
          <w:hyperlink w:anchor="_Toc240407089" w:history="1">
            <w:r w:rsidRPr="00F64292">
              <w:rPr>
                <w:rStyle w:val="Hipercze"/>
                <w:noProof/>
              </w:rPr>
              <w:t>V. Komentarz do uzyskanych wyników</w:t>
            </w:r>
            <w:r>
              <w:rPr>
                <w:noProof/>
                <w:webHidden/>
              </w:rPr>
              <w:tab/>
            </w:r>
            <w:r>
              <w:rPr>
                <w:noProof/>
                <w:webHidden/>
              </w:rPr>
              <w:fldChar w:fldCharType="begin"/>
            </w:r>
            <w:r>
              <w:rPr>
                <w:noProof/>
                <w:webHidden/>
              </w:rPr>
              <w:instrText xml:space="preserve"> PAGEREF _Toc240407089 \h </w:instrText>
            </w:r>
            <w:r>
              <w:rPr>
                <w:noProof/>
                <w:webHidden/>
              </w:rPr>
            </w:r>
            <w:r>
              <w:rPr>
                <w:noProof/>
                <w:webHidden/>
              </w:rPr>
              <w:fldChar w:fldCharType="separate"/>
            </w:r>
            <w:r>
              <w:rPr>
                <w:noProof/>
                <w:webHidden/>
              </w:rPr>
              <w:t>26</w:t>
            </w:r>
            <w:r>
              <w:rPr>
                <w:noProof/>
                <w:webHidden/>
              </w:rPr>
              <w:fldChar w:fldCharType="end"/>
            </w:r>
          </w:hyperlink>
        </w:p>
        <w:p w14:paraId="180979E6" w14:textId="75580629" w:rsidR="00454CC7" w:rsidRDefault="00454CC7">
          <w:pPr>
            <w:pStyle w:val="Spistreci1"/>
            <w:tabs>
              <w:tab w:val="right" w:leader="dot" w:pos="9396"/>
            </w:tabs>
            <w:rPr>
              <w:rFonts w:eastAsiaTheme="minorEastAsia"/>
              <w:noProof/>
              <w:kern w:val="2"/>
              <w:lang w:val="pl-PL" w:eastAsia="pl-PL"/>
              <w14:ligatures w14:val="standardContextual"/>
            </w:rPr>
          </w:pPr>
          <w:hyperlink w:anchor="_Toc240407090" w:history="1">
            <w:r w:rsidRPr="00F64292">
              <w:rPr>
                <w:rStyle w:val="Hipercze"/>
                <w:noProof/>
              </w:rPr>
              <w:t>VI. Listing komend generujących wyniki</w:t>
            </w:r>
            <w:r>
              <w:rPr>
                <w:noProof/>
                <w:webHidden/>
              </w:rPr>
              <w:tab/>
            </w:r>
            <w:r>
              <w:rPr>
                <w:noProof/>
                <w:webHidden/>
              </w:rPr>
              <w:fldChar w:fldCharType="begin"/>
            </w:r>
            <w:r>
              <w:rPr>
                <w:noProof/>
                <w:webHidden/>
              </w:rPr>
              <w:instrText xml:space="preserve"> PAGEREF _Toc240407090 \h </w:instrText>
            </w:r>
            <w:r>
              <w:rPr>
                <w:noProof/>
                <w:webHidden/>
              </w:rPr>
            </w:r>
            <w:r>
              <w:rPr>
                <w:noProof/>
                <w:webHidden/>
              </w:rPr>
              <w:fldChar w:fldCharType="separate"/>
            </w:r>
            <w:r>
              <w:rPr>
                <w:noProof/>
                <w:webHidden/>
              </w:rPr>
              <w:t>27</w:t>
            </w:r>
            <w:r>
              <w:rPr>
                <w:noProof/>
                <w:webHidden/>
              </w:rPr>
              <w:fldChar w:fldCharType="end"/>
            </w:r>
          </w:hyperlink>
        </w:p>
        <w:p w14:paraId="3E963A68" w14:textId="60921D50" w:rsidR="00454CC7" w:rsidRDefault="00454CC7">
          <w:pPr>
            <w:pStyle w:val="Spistreci1"/>
            <w:tabs>
              <w:tab w:val="right" w:leader="dot" w:pos="9396"/>
            </w:tabs>
            <w:rPr>
              <w:rFonts w:eastAsiaTheme="minorEastAsia"/>
              <w:noProof/>
              <w:kern w:val="2"/>
              <w:lang w:val="pl-PL" w:eastAsia="pl-PL"/>
              <w14:ligatures w14:val="standardContextual"/>
            </w:rPr>
          </w:pPr>
          <w:hyperlink w:anchor="_Toc240407091" w:history="1">
            <w:r w:rsidRPr="00F64292">
              <w:rPr>
                <w:rStyle w:val="Hipercze"/>
                <w:noProof/>
              </w:rPr>
              <w:t>VII. Opis użytych funkcji środowiska R</w:t>
            </w:r>
            <w:r>
              <w:rPr>
                <w:noProof/>
                <w:webHidden/>
              </w:rPr>
              <w:tab/>
            </w:r>
            <w:r>
              <w:rPr>
                <w:noProof/>
                <w:webHidden/>
              </w:rPr>
              <w:fldChar w:fldCharType="begin"/>
            </w:r>
            <w:r>
              <w:rPr>
                <w:noProof/>
                <w:webHidden/>
              </w:rPr>
              <w:instrText xml:space="preserve"> PAGEREF _Toc240407091 \h </w:instrText>
            </w:r>
            <w:r>
              <w:rPr>
                <w:noProof/>
                <w:webHidden/>
              </w:rPr>
            </w:r>
            <w:r>
              <w:rPr>
                <w:noProof/>
                <w:webHidden/>
              </w:rPr>
              <w:fldChar w:fldCharType="separate"/>
            </w:r>
            <w:r>
              <w:rPr>
                <w:noProof/>
                <w:webHidden/>
              </w:rPr>
              <w:t>30</w:t>
            </w:r>
            <w:r>
              <w:rPr>
                <w:noProof/>
                <w:webHidden/>
              </w:rPr>
              <w:fldChar w:fldCharType="end"/>
            </w:r>
          </w:hyperlink>
        </w:p>
        <w:p w14:paraId="244B770F" w14:textId="7B98EA5E" w:rsidR="00454CC7" w:rsidRDefault="00454CC7">
          <w:pPr>
            <w:pStyle w:val="Spistreci1"/>
            <w:tabs>
              <w:tab w:val="right" w:leader="dot" w:pos="9396"/>
            </w:tabs>
            <w:rPr>
              <w:rFonts w:eastAsiaTheme="minorEastAsia"/>
              <w:noProof/>
              <w:kern w:val="2"/>
              <w:lang w:val="pl-PL" w:eastAsia="pl-PL"/>
              <w14:ligatures w14:val="standardContextual"/>
            </w:rPr>
          </w:pPr>
          <w:hyperlink w:anchor="_Toc240407092" w:history="1">
            <w:r w:rsidRPr="00F64292">
              <w:rPr>
                <w:rStyle w:val="Hipercze"/>
                <w:noProof/>
              </w:rPr>
              <w:t>Podsumowanie i wnioski końcowe</w:t>
            </w:r>
            <w:r>
              <w:rPr>
                <w:noProof/>
                <w:webHidden/>
              </w:rPr>
              <w:tab/>
            </w:r>
            <w:r>
              <w:rPr>
                <w:noProof/>
                <w:webHidden/>
              </w:rPr>
              <w:fldChar w:fldCharType="begin"/>
            </w:r>
            <w:r>
              <w:rPr>
                <w:noProof/>
                <w:webHidden/>
              </w:rPr>
              <w:instrText xml:space="preserve"> PAGEREF _Toc240407092 \h </w:instrText>
            </w:r>
            <w:r>
              <w:rPr>
                <w:noProof/>
                <w:webHidden/>
              </w:rPr>
            </w:r>
            <w:r>
              <w:rPr>
                <w:noProof/>
                <w:webHidden/>
              </w:rPr>
              <w:fldChar w:fldCharType="separate"/>
            </w:r>
            <w:r>
              <w:rPr>
                <w:noProof/>
                <w:webHidden/>
              </w:rPr>
              <w:t>32</w:t>
            </w:r>
            <w:r>
              <w:rPr>
                <w:noProof/>
                <w:webHidden/>
              </w:rPr>
              <w:fldChar w:fldCharType="end"/>
            </w:r>
          </w:hyperlink>
        </w:p>
        <w:p w14:paraId="229DFCFD" w14:textId="7E2334AA" w:rsidR="005F7517" w:rsidRDefault="00927BF8">
          <w:r>
            <w:fldChar w:fldCharType="end"/>
          </w:r>
        </w:p>
      </w:sdtContent>
    </w:sdt>
    <w:p w14:paraId="21FF3ED1" w14:textId="77777777" w:rsidR="005F7517" w:rsidRDefault="00927BF8">
      <w:r>
        <w:br w:type="page"/>
      </w:r>
    </w:p>
    <w:p w14:paraId="5819A7A6" w14:textId="77777777" w:rsidR="005F7517" w:rsidRDefault="00927BF8">
      <w:pPr>
        <w:pStyle w:val="Nagwek1"/>
      </w:pPr>
      <w:bookmarkStart w:id="0" w:name="wprowadzenie-i-metryka-projektu"/>
      <w:bookmarkStart w:id="1" w:name="_Toc240407084"/>
      <w:r>
        <w:t>Wprowadzenie i metryka projektu</w:t>
      </w:r>
      <w:bookmarkEnd w:id="1"/>
    </w:p>
    <w:p w14:paraId="6B416F55" w14:textId="77777777" w:rsidR="005F7517" w:rsidRDefault="00927BF8">
      <w:pPr>
        <w:pStyle w:val="FirstParagraph"/>
      </w:pPr>
      <w:r>
        <w:t xml:space="preserve">Niniejszy projekt stanowi kompleksową analizę statystyczną empirycznych danych makroekonomicznych dotyczących gospodarki morskiej Polski, ze szczególnym uwzględnieniem strategicznego surowca energetycznego, jakim jest </w:t>
      </w:r>
      <w:r>
        <w:rPr>
          <w:b/>
          <w:bCs/>
        </w:rPr>
        <w:t>węgiel i koks</w:t>
      </w:r>
      <w:r>
        <w:t>.</w:t>
      </w:r>
    </w:p>
    <w:p w14:paraId="4858FC86" w14:textId="77777777" w:rsidR="005F7517" w:rsidRDefault="00927BF8">
      <w:pPr>
        <w:pStyle w:val="Tekstpodstawowy"/>
      </w:pPr>
      <w:r>
        <w:t xml:space="preserve">Projekt został przygotowany w środowisku </w:t>
      </w:r>
      <w:r>
        <w:rPr>
          <w:b/>
          <w:bCs/>
        </w:rPr>
        <w:t>R</w:t>
      </w:r>
      <w:r>
        <w:t xml:space="preserve"> w ramach przedmiotu </w:t>
      </w:r>
      <w:r>
        <w:rPr>
          <w:i/>
          <w:iCs/>
        </w:rPr>
        <w:t>Statystyczna analiza danych</w:t>
      </w:r>
      <w:r>
        <w:t>.</w:t>
      </w:r>
    </w:p>
    <w:p w14:paraId="18DC8935" w14:textId="77777777" w:rsidR="005F7517" w:rsidRDefault="00927BF8">
      <w:pPr>
        <w:pStyle w:val="Nagwek1"/>
      </w:pPr>
      <w:bookmarkStart w:id="2" w:name="i.-opis-użytych-danych"/>
      <w:bookmarkStart w:id="3" w:name="_Toc240407085"/>
      <w:bookmarkEnd w:id="0"/>
      <w:r>
        <w:t>I. Opis użytych danych</w:t>
      </w:r>
      <w:bookmarkEnd w:id="3"/>
    </w:p>
    <w:p w14:paraId="5F8878A4" w14:textId="77777777" w:rsidR="005F7517" w:rsidRDefault="00927BF8">
      <w:pPr>
        <w:pStyle w:val="Nagwek2"/>
      </w:pPr>
      <w:bookmarkStart w:id="4" w:name="źródło-danych"/>
      <w:r>
        <w:t>Źródło danych</w:t>
      </w:r>
    </w:p>
    <w:p w14:paraId="118902DF" w14:textId="77777777" w:rsidR="005F7517" w:rsidRDefault="00927BF8">
      <w:pPr>
        <w:pStyle w:val="FirstParagraph"/>
      </w:pPr>
      <w:r>
        <w:t xml:space="preserve">Dane wykorzystane w niniejszym projekcie pochodzą z oficjalnych zasobów </w:t>
      </w:r>
      <w:r>
        <w:rPr>
          <w:b/>
          <w:bCs/>
        </w:rPr>
        <w:t>Głównego Urzędu Statystycznego (GUS)</w:t>
      </w:r>
      <w:r>
        <w:t>, publikowanych w ramach długich szeregów czasowych Biuletynu Statystycznego:</w:t>
      </w:r>
    </w:p>
    <w:p w14:paraId="503FEFF0" w14:textId="77777777" w:rsidR="005F7517" w:rsidRDefault="00927BF8">
      <w:pPr>
        <w:pStyle w:val="Compact"/>
        <w:numPr>
          <w:ilvl w:val="0"/>
          <w:numId w:val="2"/>
        </w:numPr>
      </w:pPr>
      <w:r>
        <w:rPr>
          <w:b/>
          <w:bCs/>
        </w:rPr>
        <w:t>Baza danych:</w:t>
      </w:r>
      <w:r>
        <w:t xml:space="preserve"> GUS – Portal Informacyjny (</w:t>
      </w:r>
      <w:r>
        <w:rPr>
          <w:i/>
          <w:iCs/>
        </w:rPr>
        <w:t>Biuletyn Statystyczny – Długie szeregi</w:t>
      </w:r>
      <w:r>
        <w:t>)</w:t>
      </w:r>
    </w:p>
    <w:p w14:paraId="3FE4BC9A" w14:textId="77777777" w:rsidR="005F7517" w:rsidRDefault="00927BF8">
      <w:pPr>
        <w:pStyle w:val="Compact"/>
        <w:numPr>
          <w:ilvl w:val="0"/>
          <w:numId w:val="2"/>
        </w:numPr>
      </w:pPr>
      <w:r>
        <w:rPr>
          <w:b/>
          <w:bCs/>
        </w:rPr>
        <w:t>Adres źródłowy:</w:t>
      </w:r>
      <w:r>
        <w:t xml:space="preserve"> </w:t>
      </w:r>
      <w:hyperlink r:id="rId5">
        <w:r>
          <w:rPr>
            <w:rStyle w:val="Hipercze"/>
          </w:rPr>
          <w:t>https://bazydanych.new.stat.gov.pl/biuletyn-statystyczny-dlugie-szeregi</w:t>
        </w:r>
      </w:hyperlink>
    </w:p>
    <w:p w14:paraId="452447CC" w14:textId="77777777" w:rsidR="005F7517" w:rsidRDefault="00927BF8">
      <w:pPr>
        <w:pStyle w:val="Compact"/>
        <w:numPr>
          <w:ilvl w:val="0"/>
          <w:numId w:val="2"/>
        </w:numPr>
      </w:pPr>
      <w:r>
        <w:rPr>
          <w:b/>
          <w:bCs/>
        </w:rPr>
        <w:t>Nazwa tabeli GUS:</w:t>
      </w:r>
      <w:r>
        <w:t xml:space="preserve"> Tablica 53: Ładunki załadowane i wyładowane w portach morskich (</w:t>
      </w:r>
      <w:r>
        <w:rPr>
          <w:rStyle w:val="VerbatimChar"/>
        </w:rPr>
        <w:t>tabl53_ladunki_zaladowane_i_wyladowane_w_portach_morskich.xlsx</w:t>
      </w:r>
      <w:r>
        <w:t>)</w:t>
      </w:r>
    </w:p>
    <w:p w14:paraId="1BE32D83" w14:textId="77777777" w:rsidR="005F7517" w:rsidRDefault="00927BF8">
      <w:pPr>
        <w:pStyle w:val="Compact"/>
        <w:numPr>
          <w:ilvl w:val="0"/>
          <w:numId w:val="2"/>
        </w:numPr>
      </w:pPr>
      <w:r>
        <w:rPr>
          <w:b/>
          <w:bCs/>
        </w:rPr>
        <w:t>Arkusz źródłowy:</w:t>
      </w:r>
      <w:r>
        <w:t xml:space="preserve"> </w:t>
      </w:r>
      <w:r>
        <w:rPr>
          <w:rStyle w:val="VerbatimChar"/>
        </w:rPr>
        <w:t>Miesieczne_Monthly</w:t>
      </w:r>
    </w:p>
    <w:p w14:paraId="7555AA3E" w14:textId="77777777" w:rsidR="005F7517" w:rsidRDefault="00927BF8">
      <w:pPr>
        <w:pStyle w:val="Compact"/>
        <w:numPr>
          <w:ilvl w:val="0"/>
          <w:numId w:val="2"/>
        </w:numPr>
      </w:pPr>
      <w:r>
        <w:rPr>
          <w:b/>
          <w:bCs/>
        </w:rPr>
        <w:t>Plik załącznika:</w:t>
      </w:r>
      <w:r>
        <w:t xml:space="preserve"> Do niniejszego projektu dołączono dedykowany arkusz kalkulacyjny </w:t>
      </w:r>
      <w:r>
        <w:rPr>
          <w:rStyle w:val="VerbatimChar"/>
        </w:rPr>
        <w:t>dane_wegiel_koks_porty_2010_2026.xlsx</w:t>
      </w:r>
      <w:r>
        <w:t xml:space="preserve"> (oraz format </w:t>
      </w:r>
      <w:r>
        <w:rPr>
          <w:rStyle w:val="VerbatimChar"/>
        </w:rPr>
        <w:t>.csv</w:t>
      </w:r>
      <w:r>
        <w:t>), zawierający wyodrębnione i uporządkowane zmienne analityczne.</w:t>
      </w:r>
    </w:p>
    <w:p w14:paraId="7270FA71" w14:textId="77777777" w:rsidR="005F7517" w:rsidRDefault="00927BF8">
      <w:pPr>
        <w:pStyle w:val="Nagwek2"/>
      </w:pPr>
      <w:bookmarkStart w:id="5" w:name="czego-dotyczą-dane"/>
      <w:bookmarkEnd w:id="4"/>
      <w:r>
        <w:t>Czego dotyczą dane</w:t>
      </w:r>
    </w:p>
    <w:p w14:paraId="7344ACDF" w14:textId="77777777" w:rsidR="005F7517" w:rsidRDefault="00927BF8">
      <w:pPr>
        <w:pStyle w:val="FirstParagraph"/>
      </w:pPr>
      <w:r>
        <w:t xml:space="preserve">Dane obejmują miesięczne obroty ładunkowe (sumę ładunków załadowanych i wyładowanych) w głównych polskich portach morskich o podstawowym znaczeniu dla gospodarki narodowej (Gdańsk, Gdynia, Szczecin, Świnoujście oraz Police) w latach </w:t>
      </w:r>
      <w:r>
        <w:rPr>
          <w:b/>
          <w:bCs/>
        </w:rPr>
        <w:t>2010–2026</w:t>
      </w:r>
      <w:r>
        <w:t xml:space="preserve"> </w:t>
      </w:r>
      <w:r>
        <w:t xml:space="preserve">(od stycznia 2010 r. do lipca 2026 r. – łącznie </w:t>
      </w:r>
      <m:oMath>
        <m:r>
          <w:rPr>
            <w:rFonts w:ascii="Cambria Math" w:hAnsi="Cambria Math"/>
          </w:rPr>
          <m:t>N</m:t>
        </m:r>
        <m:r>
          <m:rPr>
            <m:sty m:val="p"/>
          </m:rPr>
          <w:rPr>
            <w:rFonts w:ascii="Cambria Math" w:hAnsi="Cambria Math"/>
          </w:rPr>
          <m:t>=</m:t>
        </m:r>
        <m:r>
          <w:rPr>
            <w:rFonts w:ascii="Cambria Math" w:hAnsi="Cambria Math"/>
          </w:rPr>
          <m:t>199</m:t>
        </m:r>
      </m:oMath>
      <w:r>
        <w:t xml:space="preserve"> miesięcy obserwacji).</w:t>
      </w:r>
    </w:p>
    <w:p w14:paraId="2CA8CF8A" w14:textId="77777777" w:rsidR="005F7517" w:rsidRDefault="00927BF8">
      <w:pPr>
        <w:pStyle w:val="Tekstpodstawowy"/>
      </w:pPr>
      <w:r>
        <w:t xml:space="preserve">Zgodnie z metodologią GUS i dyrektywami unijnymi w zakresie statystyki transportu morskiego, waga ładunków podawana jest w </w:t>
      </w:r>
      <w:r>
        <w:rPr>
          <w:b/>
          <w:bCs/>
        </w:rPr>
        <w:t>tysiącach ton</w:t>
      </w:r>
      <w:r>
        <w:t xml:space="preserve"> netto (bez wagi własnej jednostek ładunkowych, kontenerów i wagonów).</w:t>
      </w:r>
    </w:p>
    <w:p w14:paraId="632EA398" w14:textId="77777777" w:rsidR="005F7517" w:rsidRDefault="00927BF8">
      <w:pPr>
        <w:pStyle w:val="Tekstpodstawowy"/>
      </w:pPr>
      <w:r>
        <w:t>W analizie wyodrębniono następujące cechy:</w:t>
      </w:r>
    </w:p>
    <w:p w14:paraId="0F46DC7B" w14:textId="77777777" w:rsidR="005F7517" w:rsidRDefault="00927BF8">
      <w:pPr>
        <w:pStyle w:val="Compact"/>
        <w:numPr>
          <w:ilvl w:val="0"/>
          <w:numId w:val="3"/>
        </w:numPr>
      </w:pPr>
      <w:r>
        <w:rPr>
          <w:rStyle w:val="VerbatimChar"/>
        </w:rPr>
        <w:t>wegiel_koks_tys_ton</w:t>
      </w:r>
      <w:r>
        <w:t xml:space="preserve"> – miesięczny wolumen przeładunków węgla i koksu (w tys. ton) – </w:t>
      </w:r>
      <w:r>
        <w:rPr>
          <w:b/>
          <w:bCs/>
        </w:rPr>
        <w:t>główna zmienna badawcza</w:t>
      </w:r>
      <w:r>
        <w:t>,</w:t>
      </w:r>
    </w:p>
    <w:p w14:paraId="2C85217E" w14:textId="77777777" w:rsidR="005F7517" w:rsidRDefault="00927BF8">
      <w:pPr>
        <w:pStyle w:val="Compact"/>
        <w:numPr>
          <w:ilvl w:val="0"/>
          <w:numId w:val="3"/>
        </w:numPr>
      </w:pPr>
      <w:r>
        <w:rPr>
          <w:rStyle w:val="VerbatimChar"/>
        </w:rPr>
        <w:t>masowe_suche_tys_ton</w:t>
      </w:r>
      <w:r>
        <w:t xml:space="preserve"> </w:t>
      </w:r>
      <w:r>
        <w:t>– łączna masa ładunków masowych suchych (węgiel, koks, ruda, zboże, inne masowe) w tys. ton,</w:t>
      </w:r>
    </w:p>
    <w:p w14:paraId="0A62AB34" w14:textId="77777777" w:rsidR="005F7517" w:rsidRDefault="00927BF8">
      <w:pPr>
        <w:pStyle w:val="Compact"/>
        <w:numPr>
          <w:ilvl w:val="0"/>
          <w:numId w:val="3"/>
        </w:numPr>
      </w:pPr>
      <w:r>
        <w:rPr>
          <w:rStyle w:val="VerbatimChar"/>
        </w:rPr>
        <w:t>ogolem_tys_ton</w:t>
      </w:r>
      <w:r>
        <w:t xml:space="preserve"> – całkowite obroty ładunkowe w portach morskich w danym miesiącu w tys. ton,</w:t>
      </w:r>
    </w:p>
    <w:p w14:paraId="064EA7DC" w14:textId="77777777" w:rsidR="005F7517" w:rsidRDefault="00927BF8">
      <w:pPr>
        <w:pStyle w:val="Compact"/>
        <w:numPr>
          <w:ilvl w:val="0"/>
          <w:numId w:val="3"/>
        </w:numPr>
      </w:pPr>
      <w:r>
        <w:rPr>
          <w:rStyle w:val="VerbatimChar"/>
        </w:rPr>
        <w:t>okres_badania</w:t>
      </w:r>
      <w:r>
        <w:t xml:space="preserve"> – zmienna kategoryzująca szereg czasowy na dwa kluczowe podokresy:</w:t>
      </w:r>
    </w:p>
    <w:p w14:paraId="128A5EB8" w14:textId="77777777" w:rsidR="005F7517" w:rsidRDefault="00927BF8">
      <w:pPr>
        <w:pStyle w:val="Compact"/>
        <w:numPr>
          <w:ilvl w:val="1"/>
          <w:numId w:val="4"/>
        </w:numPr>
      </w:pPr>
      <w:r>
        <w:rPr>
          <w:b/>
          <w:bCs/>
        </w:rPr>
        <w:t xml:space="preserve">Okres 1 (2010–2021,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144</m:t>
        </m:r>
      </m:oMath>
      <w:r>
        <w:rPr>
          <w:b/>
          <w:bCs/>
        </w:rPr>
        <w:t>):</w:t>
      </w:r>
      <w:r>
        <w:t xml:space="preserve"> okres stabilny przed wybuchem wojny w Ukrainie,</w:t>
      </w:r>
    </w:p>
    <w:p w14:paraId="61606A5F" w14:textId="77777777" w:rsidR="005F7517" w:rsidRDefault="00927BF8">
      <w:pPr>
        <w:pStyle w:val="Compact"/>
        <w:numPr>
          <w:ilvl w:val="1"/>
          <w:numId w:val="4"/>
        </w:numPr>
      </w:pPr>
      <w:r>
        <w:rPr>
          <w:b/>
          <w:bCs/>
        </w:rPr>
        <w:t xml:space="preserve">Okres 2 (2022–2026,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55</m:t>
        </m:r>
      </m:oMath>
      <w:r>
        <w:rPr>
          <w:b/>
          <w:bCs/>
        </w:rPr>
        <w:t>):</w:t>
      </w:r>
      <w:r>
        <w:t xml:space="preserve"> okres kryzysu energetycznego, embarga na rosyjski węgiel i skokowej reorientacji dostaw surowców drogą morską.</w:t>
      </w:r>
    </w:p>
    <w:p w14:paraId="4ADD9AD3" w14:textId="77777777" w:rsidR="005F7517" w:rsidRDefault="00927BF8">
      <w:pPr>
        <w:pStyle w:val="Nagwek2"/>
      </w:pPr>
      <w:bookmarkStart w:id="6" w:name="uzasadnienie-wyboru-danych"/>
      <w:bookmarkEnd w:id="5"/>
      <w:r>
        <w:t>Uzasadnienie wyboru danych</w:t>
      </w:r>
    </w:p>
    <w:p w14:paraId="3289621A" w14:textId="77777777" w:rsidR="005F7517" w:rsidRDefault="00927BF8">
      <w:pPr>
        <w:pStyle w:val="FirstParagraph"/>
      </w:pPr>
      <w:r>
        <w:t>Wybór węgla i koksu jako przedmiotu badania podyktowany jest jego kluczową rolą w polskim miksie elektroenergetycznym i ciepłownictwie oraz bezprecedensowymi wydarzeniami geopolitycznymi z 2022 roku.</w:t>
      </w:r>
    </w:p>
    <w:p w14:paraId="5B8543EE" w14:textId="77777777" w:rsidR="005F7517" w:rsidRDefault="00927BF8">
      <w:pPr>
        <w:pStyle w:val="Tekstpodstawowy"/>
      </w:pPr>
      <w:r>
        <w:t>Po wprowadzeniu embarga na węgiel z Federacji Rosyjskiej, Polska stanęła przed koniecznością natychmiastowego zastąpienia dostaw lądowych importem morskim z odległych kierunków (m.in. Kolumbia, RPA, Australia, Indonezja). Polskie porty morskie stały się strategicznym wąskim gardłem i osią bezpieczeństwa państwa. Analizowany zbiór danych pozwala w sposób empiryczny zweryfikować hipotezy dotyczące skali wstrząsu podażowego, dynamiki przeładunków oraz późniejszej stabilizacji rynku w latach 2024–2026.</w:t>
      </w:r>
    </w:p>
    <w:p w14:paraId="228BDC0D" w14:textId="77777777" w:rsidR="005F7517" w:rsidRDefault="00927BF8">
      <w:pPr>
        <w:pStyle w:val="SourceCode"/>
      </w:pPr>
      <w:r>
        <w:rPr>
          <w:rStyle w:val="CommentTok"/>
        </w:rPr>
        <w:t># Dynamiczne wczytanie danych z arkusza kalkulacyjnego dołączonego do projektu</w:t>
      </w:r>
      <w:r>
        <w:br/>
      </w:r>
      <w:r>
        <w:rPr>
          <w:rStyle w:val="NormalTok"/>
        </w:rPr>
        <w:t xml:space="preserve">sciezka_dane </w:t>
      </w:r>
      <w:r>
        <w:rPr>
          <w:rStyle w:val="OtherTok"/>
        </w:rPr>
        <w:t>&lt;-</w:t>
      </w:r>
      <w:r>
        <w:rPr>
          <w:rStyle w:val="NormalTok"/>
        </w:rPr>
        <w:t xml:space="preserve"> </w:t>
      </w:r>
      <w:r>
        <w:rPr>
          <w:rStyle w:val="StringTok"/>
        </w:rPr>
        <w:t>"dane_wegiel_koks_porty_2010_2026.xlsx"</w:t>
      </w:r>
      <w:r>
        <w:br/>
      </w:r>
      <w:r>
        <w:br/>
      </w:r>
      <w:r>
        <w:rPr>
          <w:rStyle w:val="CommentTok"/>
        </w:rPr>
        <w:t># Zabezpieczenie ścieżki w przypadku uruchamiania z różnego katalogu roboczego</w:t>
      </w:r>
      <w:r>
        <w:br/>
      </w:r>
      <w:r>
        <w:rPr>
          <w:rStyle w:val="ControlFlowTok"/>
        </w:rPr>
        <w:t>if</w:t>
      </w:r>
      <w:r>
        <w:rPr>
          <w:rStyle w:val="NormalTok"/>
        </w:rPr>
        <w:t xml:space="preserve"> (</w:t>
      </w:r>
      <w:r>
        <w:rPr>
          <w:rStyle w:val="SpecialCharTok"/>
        </w:rPr>
        <w:t>!</w:t>
      </w:r>
      <w:r>
        <w:rPr>
          <w:rStyle w:val="FunctionTok"/>
        </w:rPr>
        <w:t>file.exists</w:t>
      </w:r>
      <w:r>
        <w:rPr>
          <w:rStyle w:val="NormalTok"/>
        </w:rPr>
        <w:t>(sciezka_dane)) {</w:t>
      </w:r>
      <w:r>
        <w:br/>
      </w:r>
      <w:r>
        <w:rPr>
          <w:rStyle w:val="NormalTok"/>
        </w:rPr>
        <w:t xml:space="preserve">  sciezka_dane </w:t>
      </w:r>
      <w:r>
        <w:rPr>
          <w:rStyle w:val="OtherTok"/>
        </w:rPr>
        <w:t>&lt;-</w:t>
      </w:r>
      <w:r>
        <w:rPr>
          <w:rStyle w:val="NormalTok"/>
        </w:rPr>
        <w:t xml:space="preserve"> </w:t>
      </w:r>
      <w:r>
        <w:rPr>
          <w:rStyle w:val="StringTok"/>
        </w:rPr>
        <w:t>"src/chess-in-the-digital-age/dominika/dane_wegiel_koks_porty_2010_2026.xlsx"</w:t>
      </w:r>
      <w:r>
        <w:br/>
      </w:r>
      <w:r>
        <w:rPr>
          <w:rStyle w:val="NormalTok"/>
        </w:rPr>
        <w:t>}</w:t>
      </w:r>
      <w:r>
        <w:br/>
      </w:r>
      <w:r>
        <w:br/>
      </w:r>
      <w:r>
        <w:rPr>
          <w:rStyle w:val="NormalTok"/>
        </w:rPr>
        <w:t xml:space="preserve">dane </w:t>
      </w:r>
      <w:r>
        <w:rPr>
          <w:rStyle w:val="OtherTok"/>
        </w:rPr>
        <w:t>&lt;-</w:t>
      </w:r>
      <w:r>
        <w:rPr>
          <w:rStyle w:val="NormalTok"/>
        </w:rPr>
        <w:t xml:space="preserve"> </w:t>
      </w:r>
      <w:r>
        <w:rPr>
          <w:rStyle w:val="FunctionTok"/>
        </w:rPr>
        <w:t>as.data.frame</w:t>
      </w:r>
      <w:r>
        <w:rPr>
          <w:rStyle w:val="NormalTok"/>
        </w:rPr>
        <w:t>(readxl</w:t>
      </w:r>
      <w:r>
        <w:rPr>
          <w:rStyle w:val="SpecialCharTok"/>
        </w:rPr>
        <w:t>::</w:t>
      </w:r>
      <w:r>
        <w:rPr>
          <w:rStyle w:val="FunctionTok"/>
        </w:rPr>
        <w:t>read_excel</w:t>
      </w:r>
      <w:r>
        <w:rPr>
          <w:rStyle w:val="NormalTok"/>
        </w:rPr>
        <w:t>(sciezka_dane))</w:t>
      </w:r>
      <w:r>
        <w:br/>
      </w:r>
      <w:r>
        <w:rPr>
          <w:rStyle w:val="NormalTok"/>
        </w:rPr>
        <w:t>dane</w:t>
      </w:r>
      <w:r>
        <w:rPr>
          <w:rStyle w:val="SpecialCharTok"/>
        </w:rPr>
        <w:t>$</w:t>
      </w:r>
      <w:r>
        <w:rPr>
          <w:rStyle w:val="NormalTok"/>
        </w:rPr>
        <w:t xml:space="preserve">data </w:t>
      </w:r>
      <w:r>
        <w:rPr>
          <w:rStyle w:val="OtherTok"/>
        </w:rPr>
        <w:t>&lt;-</w:t>
      </w:r>
      <w:r>
        <w:rPr>
          <w:rStyle w:val="NormalTok"/>
        </w:rPr>
        <w:t xml:space="preserve"> </w:t>
      </w:r>
      <w:r>
        <w:rPr>
          <w:rStyle w:val="FunctionTok"/>
        </w:rPr>
        <w:t>as.Date</w:t>
      </w:r>
      <w:r>
        <w:rPr>
          <w:rStyle w:val="NormalTok"/>
        </w:rPr>
        <w:t>(dane</w:t>
      </w:r>
      <w:r>
        <w:rPr>
          <w:rStyle w:val="SpecialCharTok"/>
        </w:rPr>
        <w:t>$</w:t>
      </w:r>
      <w:r>
        <w:rPr>
          <w:rStyle w:val="NormalTok"/>
        </w:rPr>
        <w:t>data)</w:t>
      </w:r>
      <w:r>
        <w:br/>
      </w:r>
      <w:r>
        <w:rPr>
          <w:rStyle w:val="NormalTok"/>
        </w:rPr>
        <w:t>dane</w:t>
      </w:r>
      <w:r>
        <w:rPr>
          <w:rStyle w:val="SpecialCharTok"/>
        </w:rPr>
        <w:t>$</w:t>
      </w:r>
      <w:r>
        <w:rPr>
          <w:rStyle w:val="NormalTok"/>
        </w:rPr>
        <w:t xml:space="preserve">okres_badania </w:t>
      </w:r>
      <w:r>
        <w:rPr>
          <w:rStyle w:val="OtherTok"/>
        </w:rPr>
        <w:t>&lt;-</w:t>
      </w:r>
      <w:r>
        <w:rPr>
          <w:rStyle w:val="NormalTok"/>
        </w:rPr>
        <w:t xml:space="preserve"> </w:t>
      </w:r>
      <w:r>
        <w:rPr>
          <w:rStyle w:val="FunctionTok"/>
        </w:rPr>
        <w:t>factor</w:t>
      </w:r>
      <w:r>
        <w:rPr>
          <w:rStyle w:val="NormalTok"/>
        </w:rPr>
        <w:t>(dane</w:t>
      </w:r>
      <w:r>
        <w:rPr>
          <w:rStyle w:val="SpecialCharTok"/>
        </w:rPr>
        <w:t>$</w:t>
      </w:r>
      <w:r>
        <w:rPr>
          <w:rStyle w:val="NormalTok"/>
        </w:rPr>
        <w:t xml:space="preserve">okres_badania, </w:t>
      </w:r>
      <w:r>
        <w:br/>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"2010-2021 (okres stabilny)"</w:t>
      </w:r>
      <w:r>
        <w:rPr>
          <w:rStyle w:val="NormalTok"/>
        </w:rPr>
        <w:t xml:space="preserve">, </w:t>
      </w:r>
      <w:r>
        <w:br/>
      </w:r>
      <w:r>
        <w:rPr>
          <w:rStyle w:val="NormalTok"/>
        </w:rPr>
        <w:t xml:space="preserve">                                        </w:t>
      </w:r>
      <w:r>
        <w:rPr>
          <w:rStyle w:val="StringTok"/>
        </w:rPr>
        <w:t>"2022-2026 (kryzys energetyczny)"</w:t>
      </w:r>
      <w:r>
        <w:rPr>
          <w:rStyle w:val="NormalTok"/>
        </w:rPr>
        <w:t>))</w:t>
      </w:r>
      <w:r>
        <w:br/>
      </w:r>
      <w:r>
        <w:br/>
      </w:r>
      <w:r>
        <w:rPr>
          <w:rStyle w:val="CommentTok"/>
        </w:rPr>
        <w:t># Podgląd struktury wczytanej próby</w:t>
      </w:r>
      <w:r>
        <w:br/>
      </w:r>
      <w:r>
        <w:rPr>
          <w:rStyle w:val="FunctionTok"/>
        </w:rPr>
        <w:t>cat</w:t>
      </w:r>
      <w:r>
        <w:rPr>
          <w:rStyle w:val="NormalTok"/>
        </w:rPr>
        <w:t>(</w:t>
      </w:r>
      <w:r>
        <w:rPr>
          <w:rStyle w:val="StringTok"/>
        </w:rPr>
        <w:t>"Liczba zarejestrowanych miesięcy (N):"</w:t>
      </w:r>
      <w:r>
        <w:rPr>
          <w:rStyle w:val="NormalTok"/>
        </w:rPr>
        <w:t xml:space="preserve">, </w:t>
      </w:r>
      <w:r>
        <w:rPr>
          <w:rStyle w:val="FunctionTok"/>
        </w:rPr>
        <w:t>nrow</w:t>
      </w:r>
      <w:r>
        <w:rPr>
          <w:rStyle w:val="NormalTok"/>
        </w:rPr>
        <w:t xml:space="preserve">(dane), </w:t>
      </w:r>
      <w:r>
        <w:rPr>
          <w:rStyle w:val="StringTok"/>
        </w:rPr>
        <w:t>"</w:t>
      </w:r>
      <w:r>
        <w:rPr>
          <w:rStyle w:val="SpecialCharTok"/>
        </w:rPr>
        <w:t>\n</w:t>
      </w:r>
      <w:r>
        <w:rPr>
          <w:rStyle w:val="StringTok"/>
        </w:rPr>
        <w:t>"</w:t>
      </w:r>
      <w:r>
        <w:rPr>
          <w:rStyle w:val="NormalTok"/>
        </w:rPr>
        <w:t>)</w:t>
      </w:r>
    </w:p>
    <w:p w14:paraId="6A85A959" w14:textId="77777777" w:rsidR="005F7517" w:rsidRDefault="00927BF8">
      <w:pPr>
        <w:pStyle w:val="SourceCode"/>
      </w:pPr>
      <w:r>
        <w:rPr>
          <w:rStyle w:val="VerbatimChar"/>
        </w:rPr>
        <w:t>## Liczba zarejestrowanych miesięcy (N): 199</w:t>
      </w:r>
    </w:p>
    <w:p w14:paraId="24BEB83D" w14:textId="77777777" w:rsidR="005F7517" w:rsidRDefault="00927BF8">
      <w:pPr>
        <w:pStyle w:val="SourceCode"/>
      </w:pPr>
      <w:r>
        <w:rPr>
          <w:rStyle w:val="FunctionTok"/>
        </w:rPr>
        <w:t>cat</w:t>
      </w:r>
      <w:r>
        <w:rPr>
          <w:rStyle w:val="NormalTok"/>
        </w:rPr>
        <w:t>(</w:t>
      </w:r>
      <w:r>
        <w:rPr>
          <w:rStyle w:val="StringTok"/>
        </w:rPr>
        <w:t>"Zakres chronologiczny:"</w:t>
      </w:r>
      <w:r>
        <w:rPr>
          <w:rStyle w:val="NormalTok"/>
        </w:rPr>
        <w:t xml:space="preserve">, </w:t>
      </w:r>
      <w:r>
        <w:rPr>
          <w:rStyle w:val="FunctionTok"/>
        </w:rPr>
        <w:t>as.character</w:t>
      </w:r>
      <w:r>
        <w:rPr>
          <w:rStyle w:val="NormalTok"/>
        </w:rPr>
        <w:t>(</w:t>
      </w:r>
      <w:r>
        <w:rPr>
          <w:rStyle w:val="FunctionTok"/>
        </w:rPr>
        <w:t>min</w:t>
      </w:r>
      <w:r>
        <w:rPr>
          <w:rStyle w:val="NormalTok"/>
        </w:rPr>
        <w:t>(dane</w:t>
      </w:r>
      <w:r>
        <w:rPr>
          <w:rStyle w:val="SpecialCharTok"/>
        </w:rPr>
        <w:t>$</w:t>
      </w:r>
      <w:r>
        <w:rPr>
          <w:rStyle w:val="NormalTok"/>
        </w:rPr>
        <w:t xml:space="preserve">data)), </w:t>
      </w:r>
      <w:r>
        <w:rPr>
          <w:rStyle w:val="StringTok"/>
        </w:rPr>
        <w:t>"do"</w:t>
      </w:r>
      <w:r>
        <w:rPr>
          <w:rStyle w:val="NormalTok"/>
        </w:rPr>
        <w:t xml:space="preserve">, </w:t>
      </w:r>
      <w:r>
        <w:rPr>
          <w:rStyle w:val="FunctionTok"/>
        </w:rPr>
        <w:t>as.character</w:t>
      </w:r>
      <w:r>
        <w:rPr>
          <w:rStyle w:val="NormalTok"/>
        </w:rPr>
        <w:t>(</w:t>
      </w:r>
      <w:r>
        <w:rPr>
          <w:rStyle w:val="FunctionTok"/>
        </w:rPr>
        <w:t>max</w:t>
      </w:r>
      <w:r>
        <w:rPr>
          <w:rStyle w:val="NormalTok"/>
        </w:rPr>
        <w:t>(dane</w:t>
      </w:r>
      <w:r>
        <w:rPr>
          <w:rStyle w:val="SpecialCharTok"/>
        </w:rPr>
        <w:t>$</w:t>
      </w:r>
      <w:r>
        <w:rPr>
          <w:rStyle w:val="NormalTok"/>
        </w:rPr>
        <w:t xml:space="preserve">data)), </w:t>
      </w:r>
      <w:r>
        <w:rPr>
          <w:rStyle w:val="StringTok"/>
        </w:rPr>
        <w:t>"</w:t>
      </w:r>
      <w:r>
        <w:rPr>
          <w:rStyle w:val="SpecialCharTok"/>
        </w:rPr>
        <w:t>\n</w:t>
      </w:r>
      <w:r>
        <w:rPr>
          <w:rStyle w:val="StringTok"/>
        </w:rPr>
        <w:t>"</w:t>
      </w:r>
      <w:r>
        <w:rPr>
          <w:rStyle w:val="NormalTok"/>
        </w:rPr>
        <w:t>)</w:t>
      </w:r>
    </w:p>
    <w:p w14:paraId="43AECE22" w14:textId="77777777" w:rsidR="005F7517" w:rsidRDefault="00927BF8">
      <w:pPr>
        <w:pStyle w:val="SourceCode"/>
      </w:pPr>
      <w:r>
        <w:rPr>
          <w:rStyle w:val="VerbatimChar"/>
        </w:rPr>
        <w:t>## Zakres chronologiczny: 2010-01-01 do 2026-07-01</w:t>
      </w:r>
    </w:p>
    <w:p w14:paraId="2426BD41" w14:textId="77777777" w:rsidR="005F7517" w:rsidRDefault="00927BF8">
      <w:r>
        <w:br w:type="page"/>
      </w:r>
    </w:p>
    <w:p w14:paraId="7D37245A" w14:textId="77777777" w:rsidR="005F7517" w:rsidRDefault="00927BF8">
      <w:pPr>
        <w:pStyle w:val="Nagwek1"/>
      </w:pPr>
      <w:bookmarkStart w:id="7" w:name="X21001af9f7f0c3786b14bb59402cc830a504c68"/>
      <w:bookmarkStart w:id="8" w:name="_Toc240407086"/>
      <w:bookmarkEnd w:id="2"/>
      <w:bookmarkEnd w:id="6"/>
      <w:r>
        <w:t>II. Wyznaczenie podstawowych parametrów opisowych</w:t>
      </w:r>
      <w:bookmarkEnd w:id="8"/>
    </w:p>
    <w:p w14:paraId="477A844F" w14:textId="77777777" w:rsidR="005F7517" w:rsidRDefault="00927BF8">
      <w:pPr>
        <w:pStyle w:val="FirstParagraph"/>
      </w:pPr>
      <w:r>
        <w:t>W celu empirycznego scharakteryzowania rozkładu miesięcznych przeładunków węgla i koksu (</w:t>
      </w:r>
      <w:r>
        <w:rPr>
          <w:rStyle w:val="VerbatimChar"/>
        </w:rPr>
        <w:t>wegiel_koks_tys_ton</w:t>
      </w:r>
      <w:r>
        <w:t>) wyznaczono zestaw podstawowych parametrów opisowych obejmujących miary położenia, rozproszenia, asymetrii i koncentracji.</w:t>
      </w:r>
    </w:p>
    <w:p w14:paraId="4232AF07" w14:textId="77777777" w:rsidR="005F7517" w:rsidRDefault="00927BF8">
      <w:pPr>
        <w:pStyle w:val="Nagwek2"/>
      </w:pPr>
      <w:bookmarkStart w:id="9" w:name="kod-obliczeniowy-w-środowisku-r"/>
      <w:r>
        <w:t>Kod obliczeniowy w środowisku R</w:t>
      </w:r>
    </w:p>
    <w:p w14:paraId="2D7181B3" w14:textId="77777777" w:rsidR="005F7517" w:rsidRDefault="00927BF8">
      <w:pPr>
        <w:pStyle w:val="SourceCode"/>
      </w:pPr>
      <w:r>
        <w:rPr>
          <w:rStyle w:val="CommentTok"/>
        </w:rPr>
        <w:t># Wektor analizowanej cechy</w:t>
      </w:r>
      <w:r>
        <w:br/>
      </w:r>
      <w:r>
        <w:rPr>
          <w:rStyle w:val="NormalTok"/>
        </w:rPr>
        <w:t xml:space="preserve">x </w:t>
      </w:r>
      <w:r>
        <w:rPr>
          <w:rStyle w:val="OtherTok"/>
        </w:rPr>
        <w:t>&lt;-</w:t>
      </w:r>
      <w:r>
        <w:rPr>
          <w:rStyle w:val="NormalTok"/>
        </w:rPr>
        <w:t xml:space="preserve"> dane</w:t>
      </w:r>
      <w:r>
        <w:rPr>
          <w:rStyle w:val="SpecialCharTok"/>
        </w:rPr>
        <w:t>$</w:t>
      </w:r>
      <w:r>
        <w:rPr>
          <w:rStyle w:val="NormalTok"/>
        </w:rPr>
        <w:t>wegiel_koks_tys_ton</w:t>
      </w:r>
      <w:r>
        <w:br/>
      </w:r>
      <w:r>
        <w:br/>
      </w:r>
      <w:r>
        <w:rPr>
          <w:rStyle w:val="CommentTok"/>
        </w:rPr>
        <w:t># 1. Średnia arytmetyczna</w:t>
      </w:r>
      <w:r>
        <w:br/>
      </w:r>
      <w:r>
        <w:rPr>
          <w:rStyle w:val="NormalTok"/>
        </w:rPr>
        <w:t xml:space="preserve">sr_arytm </w:t>
      </w:r>
      <w:r>
        <w:rPr>
          <w:rStyle w:val="OtherTok"/>
        </w:rPr>
        <w:t>&lt;-</w:t>
      </w:r>
      <w:r>
        <w:rPr>
          <w:rStyle w:val="NormalTok"/>
        </w:rPr>
        <w:t xml:space="preserve"> </w:t>
      </w:r>
      <w:r>
        <w:rPr>
          <w:rStyle w:val="FunctionTok"/>
        </w:rPr>
        <w:t>mean</w:t>
      </w:r>
      <w:r>
        <w:rPr>
          <w:rStyle w:val="NormalTok"/>
        </w:rPr>
        <w:t>(x)</w:t>
      </w:r>
      <w:r>
        <w:br/>
      </w:r>
      <w:r>
        <w:br/>
      </w:r>
      <w:r>
        <w:rPr>
          <w:rStyle w:val="CommentTok"/>
        </w:rPr>
        <w:t># 2. Odchylenie standardowe</w:t>
      </w:r>
      <w:r>
        <w:br/>
      </w:r>
      <w:r>
        <w:rPr>
          <w:rStyle w:val="NormalTok"/>
        </w:rPr>
        <w:t xml:space="preserve">odch_std </w:t>
      </w:r>
      <w:r>
        <w:rPr>
          <w:rStyle w:val="OtherTok"/>
        </w:rPr>
        <w:t>&lt;-</w:t>
      </w:r>
      <w:r>
        <w:rPr>
          <w:rStyle w:val="NormalTok"/>
        </w:rPr>
        <w:t xml:space="preserve"> </w:t>
      </w:r>
      <w:r>
        <w:rPr>
          <w:rStyle w:val="FunctionTok"/>
        </w:rPr>
        <w:t>sd</w:t>
      </w:r>
      <w:r>
        <w:rPr>
          <w:rStyle w:val="NormalTok"/>
        </w:rPr>
        <w:t>(x)</w:t>
      </w:r>
      <w:r>
        <w:br/>
      </w:r>
      <w:r>
        <w:br/>
      </w:r>
      <w:r>
        <w:rPr>
          <w:rStyle w:val="CommentTok"/>
        </w:rPr>
        <w:t># 3. Wariancja</w:t>
      </w:r>
      <w:r>
        <w:br/>
      </w:r>
      <w:r>
        <w:rPr>
          <w:rStyle w:val="NormalTok"/>
        </w:rPr>
        <w:t xml:space="preserve">wariancja </w:t>
      </w:r>
      <w:r>
        <w:rPr>
          <w:rStyle w:val="OtherTok"/>
        </w:rPr>
        <w:t>&lt;-</w:t>
      </w:r>
      <w:r>
        <w:rPr>
          <w:rStyle w:val="NormalTok"/>
        </w:rPr>
        <w:t xml:space="preserve"> </w:t>
      </w:r>
      <w:r>
        <w:rPr>
          <w:rStyle w:val="FunctionTok"/>
        </w:rPr>
        <w:t>var</w:t>
      </w:r>
      <w:r>
        <w:rPr>
          <w:rStyle w:val="NormalTok"/>
        </w:rPr>
        <w:t>(x)</w:t>
      </w:r>
      <w:r>
        <w:br/>
      </w:r>
      <w:r>
        <w:br/>
      </w:r>
      <w:r>
        <w:rPr>
          <w:rStyle w:val="CommentTok"/>
        </w:rPr>
        <w:t># 4. Klasyczny współczynnik zmienności (procentowy)</w:t>
      </w:r>
      <w:r>
        <w:br/>
      </w:r>
      <w:r>
        <w:rPr>
          <w:rStyle w:val="NormalTok"/>
        </w:rPr>
        <w:t xml:space="preserve">wsp_zmiennosci </w:t>
      </w:r>
      <w:r>
        <w:rPr>
          <w:rStyle w:val="OtherTok"/>
        </w:rPr>
        <w:t>&lt;-</w:t>
      </w:r>
      <w:r>
        <w:rPr>
          <w:rStyle w:val="NormalTok"/>
        </w:rPr>
        <w:t xml:space="preserve"> (odch_std </w:t>
      </w:r>
      <w:r>
        <w:rPr>
          <w:rStyle w:val="SpecialCharTok"/>
        </w:rPr>
        <w:t>/</w:t>
      </w:r>
      <w:r>
        <w:rPr>
          <w:rStyle w:val="NormalTok"/>
        </w:rPr>
        <w:t xml:space="preserve"> sr_arytm) </w:t>
      </w:r>
      <w:r>
        <w:rPr>
          <w:rStyle w:val="SpecialCharTok"/>
        </w:rPr>
        <w:t>*</w:t>
      </w:r>
      <w:r>
        <w:rPr>
          <w:rStyle w:val="NormalTok"/>
        </w:rPr>
        <w:t xml:space="preserve"> </w:t>
      </w:r>
      <w:r>
        <w:rPr>
          <w:rStyle w:val="DecValTok"/>
        </w:rPr>
        <w:t>100</w:t>
      </w:r>
      <w:r>
        <w:br/>
      </w:r>
      <w:r>
        <w:br/>
      </w:r>
      <w:r>
        <w:rPr>
          <w:rStyle w:val="CommentTok"/>
        </w:rPr>
        <w:t># 5. Odchylenie przeciętne / medianowe (MAD)</w:t>
      </w:r>
      <w:r>
        <w:br/>
      </w:r>
      <w:r>
        <w:rPr>
          <w:rStyle w:val="NormalTok"/>
        </w:rPr>
        <w:t xml:space="preserve">odch_przecietne </w:t>
      </w:r>
      <w:r>
        <w:rPr>
          <w:rStyle w:val="OtherTok"/>
        </w:rPr>
        <w:t>&lt;-</w:t>
      </w:r>
      <w:r>
        <w:rPr>
          <w:rStyle w:val="NormalTok"/>
        </w:rPr>
        <w:t xml:space="preserve"> </w:t>
      </w:r>
      <w:r>
        <w:rPr>
          <w:rStyle w:val="FunctionTok"/>
        </w:rPr>
        <w:t>mad</w:t>
      </w:r>
      <w:r>
        <w:rPr>
          <w:rStyle w:val="NormalTok"/>
        </w:rPr>
        <w:t xml:space="preserve">(x, </w:t>
      </w:r>
      <w:r>
        <w:rPr>
          <w:rStyle w:val="AttributeTok"/>
        </w:rPr>
        <w:t>center =</w:t>
      </w:r>
      <w:r>
        <w:rPr>
          <w:rStyle w:val="NormalTok"/>
        </w:rPr>
        <w:t xml:space="preserve"> </w:t>
      </w:r>
      <w:r>
        <w:rPr>
          <w:rStyle w:val="FunctionTok"/>
        </w:rPr>
        <w:t>median</w:t>
      </w:r>
      <w:r>
        <w:rPr>
          <w:rStyle w:val="NormalTok"/>
        </w:rPr>
        <w:t>(x))</w:t>
      </w:r>
      <w:r>
        <w:br/>
      </w:r>
      <w:r>
        <w:br/>
      </w:r>
      <w:r>
        <w:rPr>
          <w:rStyle w:val="CommentTok"/>
        </w:rPr>
        <w:t># 6. Współczynnik asymetrii (skośność)</w:t>
      </w:r>
      <w:r>
        <w:br/>
      </w:r>
      <w:r>
        <w:rPr>
          <w:rStyle w:val="NormalTok"/>
        </w:rPr>
        <w:t xml:space="preserve">skosnosc </w:t>
      </w:r>
      <w:r>
        <w:rPr>
          <w:rStyle w:val="OtherTok"/>
        </w:rPr>
        <w:t>&lt;-</w:t>
      </w:r>
      <w:r>
        <w:rPr>
          <w:rStyle w:val="NormalTok"/>
        </w:rPr>
        <w:t xml:space="preserve"> moments</w:t>
      </w:r>
      <w:r>
        <w:rPr>
          <w:rStyle w:val="SpecialCharTok"/>
        </w:rPr>
        <w:t>::</w:t>
      </w:r>
      <w:r>
        <w:rPr>
          <w:rStyle w:val="FunctionTok"/>
        </w:rPr>
        <w:t>skewness</w:t>
      </w:r>
      <w:r>
        <w:rPr>
          <w:rStyle w:val="NormalTok"/>
        </w:rPr>
        <w:t>(x)</w:t>
      </w:r>
      <w:r>
        <w:br/>
      </w:r>
      <w:r>
        <w:br/>
      </w:r>
      <w:r>
        <w:rPr>
          <w:rStyle w:val="CommentTok"/>
        </w:rPr>
        <w:t># 7. Współczynnik koncentracji (kurtoza)</w:t>
      </w:r>
      <w:r>
        <w:br/>
      </w:r>
      <w:r>
        <w:rPr>
          <w:rStyle w:val="NormalTok"/>
        </w:rPr>
        <w:t xml:space="preserve">kurtoza </w:t>
      </w:r>
      <w:r>
        <w:rPr>
          <w:rStyle w:val="OtherTok"/>
        </w:rPr>
        <w:t>&lt;-</w:t>
      </w:r>
      <w:r>
        <w:rPr>
          <w:rStyle w:val="NormalTok"/>
        </w:rPr>
        <w:t xml:space="preserve"> moments</w:t>
      </w:r>
      <w:r>
        <w:rPr>
          <w:rStyle w:val="SpecialCharTok"/>
        </w:rPr>
        <w:t>::</w:t>
      </w:r>
      <w:r>
        <w:rPr>
          <w:rStyle w:val="FunctionTok"/>
        </w:rPr>
        <w:t>kurtosis</w:t>
      </w:r>
      <w:r>
        <w:rPr>
          <w:rStyle w:val="NormalTok"/>
        </w:rPr>
        <w:t>(x)</w:t>
      </w:r>
      <w:r>
        <w:br/>
      </w:r>
      <w:r>
        <w:br/>
      </w:r>
      <w:r>
        <w:rPr>
          <w:rStyle w:val="CommentTok"/>
        </w:rPr>
        <w:t># 8. Estymowana moda (dominanta wyznaczona z jądrowego estymatora gęstości)</w:t>
      </w:r>
      <w:r>
        <w:br/>
      </w:r>
      <w:r>
        <w:rPr>
          <w:rStyle w:val="NormalTok"/>
        </w:rPr>
        <w:t xml:space="preserve">gestosc </w:t>
      </w:r>
      <w:r>
        <w:rPr>
          <w:rStyle w:val="OtherTok"/>
        </w:rPr>
        <w:t>&lt;-</w:t>
      </w:r>
      <w:r>
        <w:rPr>
          <w:rStyle w:val="NormalTok"/>
        </w:rPr>
        <w:t xml:space="preserve"> </w:t>
      </w:r>
      <w:r>
        <w:rPr>
          <w:rStyle w:val="FunctionTok"/>
        </w:rPr>
        <w:t>density</w:t>
      </w:r>
      <w:r>
        <w:rPr>
          <w:rStyle w:val="NormalTok"/>
        </w:rPr>
        <w:t>(x)</w:t>
      </w:r>
      <w:r>
        <w:br/>
      </w:r>
      <w:r>
        <w:rPr>
          <w:rStyle w:val="NormalTok"/>
        </w:rPr>
        <w:t xml:space="preserve">moda_est </w:t>
      </w:r>
      <w:r>
        <w:rPr>
          <w:rStyle w:val="OtherTok"/>
        </w:rPr>
        <w:t>&lt;-</w:t>
      </w:r>
      <w:r>
        <w:rPr>
          <w:rStyle w:val="NormalTok"/>
        </w:rPr>
        <w:t xml:space="preserve"> gestosc</w:t>
      </w:r>
      <w:r>
        <w:rPr>
          <w:rStyle w:val="SpecialCharTok"/>
        </w:rPr>
        <w:t>$</w:t>
      </w:r>
      <w:r>
        <w:rPr>
          <w:rStyle w:val="NormalTok"/>
        </w:rPr>
        <w:t>x[</w:t>
      </w:r>
      <w:r>
        <w:rPr>
          <w:rStyle w:val="FunctionTok"/>
        </w:rPr>
        <w:t>which.max</w:t>
      </w:r>
      <w:r>
        <w:rPr>
          <w:rStyle w:val="NormalTok"/>
        </w:rPr>
        <w:t>(gestosc</w:t>
      </w:r>
      <w:r>
        <w:rPr>
          <w:rStyle w:val="SpecialCharTok"/>
        </w:rPr>
        <w:t>$</w:t>
      </w:r>
      <w:r>
        <w:rPr>
          <w:rStyle w:val="NormalTok"/>
        </w:rPr>
        <w:t>y)]</w:t>
      </w:r>
      <w:r>
        <w:br/>
      </w:r>
      <w:r>
        <w:br/>
      </w:r>
      <w:r>
        <w:rPr>
          <w:rStyle w:val="CommentTok"/>
        </w:rPr>
        <w:t xml:space="preserve"># 9. Pozycyjne miary kwantylowe </w:t>
      </w:r>
      <w:r>
        <w:br/>
      </w:r>
      <w:r>
        <w:rPr>
          <w:rStyle w:val="NormalTok"/>
        </w:rPr>
        <w:t xml:space="preserve">q_min  </w:t>
      </w:r>
      <w:r>
        <w:rPr>
          <w:rStyle w:val="OtherTok"/>
        </w:rPr>
        <w:t>&lt;-</w:t>
      </w:r>
      <w:r>
        <w:rPr>
          <w:rStyle w:val="NormalTok"/>
        </w:rPr>
        <w:t xml:space="preserve"> </w:t>
      </w:r>
      <w:r>
        <w:rPr>
          <w:rStyle w:val="FunctionTok"/>
        </w:rPr>
        <w:t>min</w:t>
      </w:r>
      <w:r>
        <w:rPr>
          <w:rStyle w:val="NormalTok"/>
        </w:rPr>
        <w:t>(x)</w:t>
      </w:r>
      <w:r>
        <w:br/>
      </w:r>
      <w:r>
        <w:rPr>
          <w:rStyle w:val="NormalTok"/>
        </w:rPr>
        <w:t xml:space="preserve">q_q1   </w:t>
      </w:r>
      <w:r>
        <w:rPr>
          <w:rStyle w:val="OtherTok"/>
        </w:rPr>
        <w:t>&lt;-</w:t>
      </w:r>
      <w:r>
        <w:rPr>
          <w:rStyle w:val="NormalTok"/>
        </w:rPr>
        <w:t xml:space="preserve"> </w:t>
      </w:r>
      <w:r>
        <w:rPr>
          <w:rStyle w:val="FunctionTok"/>
        </w:rPr>
        <w:t>as.numeric</w:t>
      </w:r>
      <w:r>
        <w:rPr>
          <w:rStyle w:val="NormalTok"/>
        </w:rPr>
        <w:t>(</w:t>
      </w:r>
      <w:r>
        <w:rPr>
          <w:rStyle w:val="FunctionTok"/>
        </w:rPr>
        <w:t>quantile</w:t>
      </w:r>
      <w:r>
        <w:rPr>
          <w:rStyle w:val="NormalTok"/>
        </w:rPr>
        <w:t xml:space="preserve">(x, </w:t>
      </w:r>
      <w:r>
        <w:rPr>
          <w:rStyle w:val="FloatTok"/>
        </w:rPr>
        <w:t>0.25</w:t>
      </w:r>
      <w:r>
        <w:rPr>
          <w:rStyle w:val="NormalTok"/>
        </w:rPr>
        <w:t>))</w:t>
      </w:r>
      <w:r>
        <w:br/>
      </w:r>
      <w:r>
        <w:rPr>
          <w:rStyle w:val="NormalTok"/>
        </w:rPr>
        <w:t xml:space="preserve">q_med  </w:t>
      </w:r>
      <w:r>
        <w:rPr>
          <w:rStyle w:val="OtherTok"/>
        </w:rPr>
        <w:t>&lt;-</w:t>
      </w:r>
      <w:r>
        <w:rPr>
          <w:rStyle w:val="NormalTok"/>
        </w:rPr>
        <w:t xml:space="preserve"> </w:t>
      </w:r>
      <w:r>
        <w:rPr>
          <w:rStyle w:val="FunctionTok"/>
        </w:rPr>
        <w:t>median</w:t>
      </w:r>
      <w:r>
        <w:rPr>
          <w:rStyle w:val="NormalTok"/>
        </w:rPr>
        <w:t>(x)</w:t>
      </w:r>
      <w:r>
        <w:br/>
      </w:r>
      <w:r>
        <w:rPr>
          <w:rStyle w:val="NormalTok"/>
        </w:rPr>
        <w:t xml:space="preserve">q_q3   </w:t>
      </w:r>
      <w:r>
        <w:rPr>
          <w:rStyle w:val="OtherTok"/>
        </w:rPr>
        <w:t>&lt;-</w:t>
      </w:r>
      <w:r>
        <w:rPr>
          <w:rStyle w:val="NormalTok"/>
        </w:rPr>
        <w:t xml:space="preserve"> </w:t>
      </w:r>
      <w:r>
        <w:rPr>
          <w:rStyle w:val="FunctionTok"/>
        </w:rPr>
        <w:t>as.numeric</w:t>
      </w:r>
      <w:r>
        <w:rPr>
          <w:rStyle w:val="NormalTok"/>
        </w:rPr>
        <w:t>(</w:t>
      </w:r>
      <w:r>
        <w:rPr>
          <w:rStyle w:val="FunctionTok"/>
        </w:rPr>
        <w:t>quantile</w:t>
      </w:r>
      <w:r>
        <w:rPr>
          <w:rStyle w:val="NormalTok"/>
        </w:rPr>
        <w:t xml:space="preserve">(x, </w:t>
      </w:r>
      <w:r>
        <w:rPr>
          <w:rStyle w:val="FloatTok"/>
        </w:rPr>
        <w:t>0.75</w:t>
      </w:r>
      <w:r>
        <w:rPr>
          <w:rStyle w:val="NormalTok"/>
        </w:rPr>
        <w:t>))</w:t>
      </w:r>
      <w:r>
        <w:br/>
      </w:r>
      <w:r>
        <w:rPr>
          <w:rStyle w:val="NormalTok"/>
        </w:rPr>
        <w:t xml:space="preserve">q_max  </w:t>
      </w:r>
      <w:r>
        <w:rPr>
          <w:rStyle w:val="OtherTok"/>
        </w:rPr>
        <w:t>&lt;-</w:t>
      </w:r>
      <w:r>
        <w:rPr>
          <w:rStyle w:val="NormalTok"/>
        </w:rPr>
        <w:t xml:space="preserve"> </w:t>
      </w:r>
      <w:r>
        <w:rPr>
          <w:rStyle w:val="FunctionTok"/>
        </w:rPr>
        <w:t>max</w:t>
      </w:r>
      <w:r>
        <w:rPr>
          <w:rStyle w:val="NormalTok"/>
        </w:rPr>
        <w:t>(x)</w:t>
      </w:r>
      <w:r>
        <w:br/>
      </w:r>
      <w:r>
        <w:rPr>
          <w:rStyle w:val="NormalTok"/>
        </w:rPr>
        <w:t xml:space="preserve">rozstep </w:t>
      </w:r>
      <w:r>
        <w:rPr>
          <w:rStyle w:val="OtherTok"/>
        </w:rPr>
        <w:t>&lt;-</w:t>
      </w:r>
      <w:r>
        <w:rPr>
          <w:rStyle w:val="NormalTok"/>
        </w:rPr>
        <w:t xml:space="preserve"> q_max </w:t>
      </w:r>
      <w:r>
        <w:rPr>
          <w:rStyle w:val="SpecialCharTok"/>
        </w:rPr>
        <w:t>-</w:t>
      </w:r>
      <w:r>
        <w:rPr>
          <w:rStyle w:val="NormalTok"/>
        </w:rPr>
        <w:t xml:space="preserve"> q_min</w:t>
      </w:r>
      <w:r>
        <w:br/>
      </w:r>
      <w:r>
        <w:rPr>
          <w:rStyle w:val="NormalTok"/>
        </w:rPr>
        <w:t xml:space="preserve">iqr_val </w:t>
      </w:r>
      <w:r>
        <w:rPr>
          <w:rStyle w:val="OtherTok"/>
        </w:rPr>
        <w:t>&lt;-</w:t>
      </w:r>
      <w:r>
        <w:rPr>
          <w:rStyle w:val="NormalTok"/>
        </w:rPr>
        <w:t xml:space="preserve"> </w:t>
      </w:r>
      <w:r>
        <w:rPr>
          <w:rStyle w:val="FunctionTok"/>
        </w:rPr>
        <w:t>IQR</w:t>
      </w:r>
      <w:r>
        <w:rPr>
          <w:rStyle w:val="NormalTok"/>
        </w:rPr>
        <w:t>(x)</w:t>
      </w:r>
      <w:r>
        <w:br/>
      </w:r>
      <w:r>
        <w:br/>
      </w:r>
      <w:r>
        <w:rPr>
          <w:rStyle w:val="CommentTok"/>
        </w:rPr>
        <w:t># 10. Pozycyjny współczynnik zmienności (oparty na odchyleniu ćwiartkowym i medianie)</w:t>
      </w:r>
      <w:r>
        <w:br/>
      </w:r>
      <w:r>
        <w:rPr>
          <w:rStyle w:val="NormalTok"/>
        </w:rPr>
        <w:t xml:space="preserve">vq_pozycyjny </w:t>
      </w:r>
      <w:r>
        <w:rPr>
          <w:rStyle w:val="OtherTok"/>
        </w:rPr>
        <w:t>&lt;-</w:t>
      </w:r>
      <w:r>
        <w:rPr>
          <w:rStyle w:val="NormalTok"/>
        </w:rPr>
        <w:t xml:space="preserve"> ((iqr_val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q_med) </w:t>
      </w:r>
      <w:r>
        <w:rPr>
          <w:rStyle w:val="SpecialCharTok"/>
        </w:rPr>
        <w:t>*</w:t>
      </w:r>
      <w:r>
        <w:rPr>
          <w:rStyle w:val="NormalTok"/>
        </w:rPr>
        <w:t xml:space="preserve"> </w:t>
      </w:r>
      <w:r>
        <w:rPr>
          <w:rStyle w:val="DecValTok"/>
        </w:rPr>
        <w:t>100</w:t>
      </w:r>
    </w:p>
    <w:p w14:paraId="768987EA" w14:textId="77777777" w:rsidR="005F7517" w:rsidRDefault="00927BF8">
      <w:pPr>
        <w:pStyle w:val="Nagwek2"/>
      </w:pPr>
      <w:bookmarkStart w:id="10" w:name="zestawienie-tabelaryczne-parametrów"/>
      <w:bookmarkEnd w:id="9"/>
      <w:r>
        <w:t>Zestawienie tabelaryczne parametrów</w:t>
      </w:r>
    </w:p>
    <w:p w14:paraId="15301EB0" w14:textId="77777777" w:rsidR="005F7517" w:rsidRDefault="00927BF8">
      <w:pPr>
        <w:pStyle w:val="TableCaption"/>
      </w:pPr>
      <w:r>
        <w:t>Tabela 1. Podstawowe parametry opisowe przeładunków węgla i koksu w polskich portach morskich (2010–2026)</w:t>
      </w:r>
    </w:p>
    <w:tbl>
      <w:tblPr>
        <w:tblStyle w:val="Table"/>
        <w:tblW w:w="4989" w:type="pct"/>
        <w:tblLayout w:type="fixed"/>
        <w:tblLook w:val="0020" w:firstRow="1" w:lastRow="0" w:firstColumn="0" w:lastColumn="0" w:noHBand="0" w:noVBand="0"/>
        <w:tblCaption w:val="Tabela 1. Podstawowe parametry opisowe przeładunków węgla i koksu w polskich portach morskich (2010–2026)"/>
      </w:tblPr>
      <w:tblGrid>
        <w:gridCol w:w="501"/>
        <w:gridCol w:w="2700"/>
        <w:gridCol w:w="1100"/>
        <w:gridCol w:w="2700"/>
        <w:gridCol w:w="2600"/>
      </w:tblGrid>
      <w:tr w:rsidR="005F7517" w14:paraId="68C50F05" w14:textId="77777777" w:rsidTr="00454CC7">
        <w:trPr>
          <w:cnfStyle w:val="100000000000" w:firstRow="1" w:lastRow="0" w:firstColumn="0" w:lastColumn="0" w:oddVBand="0" w:evenVBand="0" w:oddHBand="0" w:evenHBand="0" w:firstRowFirstColumn="0" w:firstRowLastColumn="0" w:lastRowFirstColumn="0" w:lastRowLastColumn="0"/>
          <w:tblHeader/>
        </w:trPr>
        <w:tc>
          <w:tcPr>
            <w:tcW w:w="500" w:type="dxa"/>
          </w:tcPr>
          <w:p w14:paraId="7215F105" w14:textId="77777777" w:rsidR="005F7517" w:rsidRDefault="00927BF8">
            <w:pPr>
              <w:pStyle w:val="Compact"/>
              <w:jc w:val="right"/>
            </w:pPr>
            <w:r>
              <w:t>Lp.</w:t>
            </w:r>
          </w:p>
        </w:tc>
        <w:tc>
          <w:tcPr>
            <w:tcW w:w="2700" w:type="dxa"/>
          </w:tcPr>
          <w:p w14:paraId="4ECC37AA" w14:textId="77777777" w:rsidR="005F7517" w:rsidRDefault="00927BF8">
            <w:pPr>
              <w:pStyle w:val="Compact"/>
            </w:pPr>
            <w:r>
              <w:t>Parametr</w:t>
            </w:r>
          </w:p>
        </w:tc>
        <w:tc>
          <w:tcPr>
            <w:tcW w:w="1100" w:type="dxa"/>
          </w:tcPr>
          <w:p w14:paraId="0B804F80" w14:textId="77777777" w:rsidR="005F7517" w:rsidRDefault="00927BF8">
            <w:pPr>
              <w:pStyle w:val="Compact"/>
            </w:pPr>
            <w:r>
              <w:t>Symbol</w:t>
            </w:r>
          </w:p>
        </w:tc>
        <w:tc>
          <w:tcPr>
            <w:tcW w:w="2700" w:type="dxa"/>
          </w:tcPr>
          <w:p w14:paraId="547693B3" w14:textId="77777777" w:rsidR="005F7517" w:rsidRDefault="00927BF8">
            <w:pPr>
              <w:pStyle w:val="Compact"/>
            </w:pPr>
            <w:r>
              <w:t>Wartość</w:t>
            </w:r>
          </w:p>
        </w:tc>
        <w:tc>
          <w:tcPr>
            <w:tcW w:w="2600" w:type="dxa"/>
          </w:tcPr>
          <w:p w14:paraId="640D2EB0" w14:textId="77777777" w:rsidR="005F7517" w:rsidRDefault="00927BF8">
            <w:pPr>
              <w:pStyle w:val="Compact"/>
            </w:pPr>
            <w:r>
              <w:t>Typ miary</w:t>
            </w:r>
          </w:p>
        </w:tc>
      </w:tr>
      <w:tr w:rsidR="005F7517" w14:paraId="13A8C37F" w14:textId="77777777" w:rsidTr="00454CC7">
        <w:tc>
          <w:tcPr>
            <w:tcW w:w="500" w:type="dxa"/>
          </w:tcPr>
          <w:p w14:paraId="6ADE2109" w14:textId="77777777" w:rsidR="005F7517" w:rsidRDefault="00927BF8">
            <w:pPr>
              <w:pStyle w:val="Compact"/>
              <w:jc w:val="right"/>
            </w:pPr>
            <w:r>
              <w:t>1</w:t>
            </w:r>
          </w:p>
        </w:tc>
        <w:tc>
          <w:tcPr>
            <w:tcW w:w="2700" w:type="dxa"/>
          </w:tcPr>
          <w:p w14:paraId="66A63786" w14:textId="77777777" w:rsidR="005F7517" w:rsidRDefault="00927BF8">
            <w:pPr>
              <w:pStyle w:val="Compact"/>
            </w:pPr>
            <w:r>
              <w:t>Średnia arytmetyczna</w:t>
            </w:r>
          </w:p>
        </w:tc>
        <w:tc>
          <w:tcPr>
            <w:tcW w:w="1100" w:type="dxa"/>
          </w:tcPr>
          <w:p w14:paraId="11AD0732" w14:textId="77777777" w:rsidR="005F7517" w:rsidRDefault="00927BF8">
            <w:pPr>
              <w:pStyle w:val="Compact"/>
            </w:pPr>
            <m:oMathPara>
              <m:oMath>
                <m:acc>
                  <m:accPr>
                    <m:chr m:val="‾"/>
                    <m:ctrlPr>
                      <w:rPr>
                        <w:rFonts w:ascii="Cambria Math" w:hAnsi="Cambria Math"/>
                      </w:rPr>
                    </m:ctrlPr>
                  </m:accPr>
                  <m:e>
                    <m:r>
                      <w:rPr>
                        <w:rFonts w:ascii="Cambria Math" w:hAnsi="Cambria Math"/>
                      </w:rPr>
                      <m:t>x</m:t>
                    </m:r>
                  </m:e>
                </m:acc>
              </m:oMath>
            </m:oMathPara>
          </w:p>
        </w:tc>
        <w:tc>
          <w:tcPr>
            <w:tcW w:w="2700" w:type="dxa"/>
          </w:tcPr>
          <w:p w14:paraId="35F9B1C7" w14:textId="77777777" w:rsidR="005F7517" w:rsidRDefault="00927BF8">
            <w:pPr>
              <w:pStyle w:val="Compact"/>
            </w:pPr>
            <w:r>
              <w:t>942.62 tys. t</w:t>
            </w:r>
          </w:p>
        </w:tc>
        <w:tc>
          <w:tcPr>
            <w:tcW w:w="2600" w:type="dxa"/>
          </w:tcPr>
          <w:p w14:paraId="4725E401" w14:textId="77777777" w:rsidR="005F7517" w:rsidRDefault="00927BF8">
            <w:pPr>
              <w:pStyle w:val="Compact"/>
            </w:pPr>
            <w:r>
              <w:t>Klasyczna położenia</w:t>
            </w:r>
          </w:p>
        </w:tc>
      </w:tr>
      <w:tr w:rsidR="005F7517" w14:paraId="3BAA9EE1" w14:textId="77777777" w:rsidTr="00454CC7">
        <w:tc>
          <w:tcPr>
            <w:tcW w:w="500" w:type="dxa"/>
          </w:tcPr>
          <w:p w14:paraId="4C609D67" w14:textId="77777777" w:rsidR="005F7517" w:rsidRDefault="00927BF8">
            <w:pPr>
              <w:pStyle w:val="Compact"/>
              <w:jc w:val="right"/>
            </w:pPr>
            <w:r>
              <w:t>2</w:t>
            </w:r>
          </w:p>
        </w:tc>
        <w:tc>
          <w:tcPr>
            <w:tcW w:w="2700" w:type="dxa"/>
          </w:tcPr>
          <w:p w14:paraId="31835016" w14:textId="77777777" w:rsidR="005F7517" w:rsidRDefault="00927BF8">
            <w:pPr>
              <w:pStyle w:val="Compact"/>
            </w:pPr>
            <w:r>
              <w:t>Odchylenie standardowe</w:t>
            </w:r>
          </w:p>
        </w:tc>
        <w:tc>
          <w:tcPr>
            <w:tcW w:w="1100" w:type="dxa"/>
          </w:tcPr>
          <w:p w14:paraId="15A42367" w14:textId="77777777" w:rsidR="005F7517" w:rsidRDefault="00927BF8">
            <w:pPr>
              <w:pStyle w:val="Compact"/>
            </w:pPr>
            <m:oMathPara>
              <m:oMath>
                <m:r>
                  <w:rPr>
                    <w:rFonts w:ascii="Cambria Math" w:hAnsi="Cambria Math"/>
                  </w:rPr>
                  <m:t>s</m:t>
                </m:r>
              </m:oMath>
            </m:oMathPara>
          </w:p>
        </w:tc>
        <w:tc>
          <w:tcPr>
            <w:tcW w:w="2700" w:type="dxa"/>
          </w:tcPr>
          <w:p w14:paraId="54EEDDDD" w14:textId="77777777" w:rsidR="005F7517" w:rsidRDefault="00927BF8">
            <w:pPr>
              <w:pStyle w:val="Compact"/>
            </w:pPr>
            <w:r>
              <w:t>460.65 tys. t</w:t>
            </w:r>
          </w:p>
        </w:tc>
        <w:tc>
          <w:tcPr>
            <w:tcW w:w="2600" w:type="dxa"/>
          </w:tcPr>
          <w:p w14:paraId="6AC25102" w14:textId="77777777" w:rsidR="005F7517" w:rsidRDefault="00927BF8">
            <w:pPr>
              <w:pStyle w:val="Compact"/>
            </w:pPr>
            <w:r>
              <w:t>Klasyczna zróżnicowania</w:t>
            </w:r>
          </w:p>
        </w:tc>
      </w:tr>
      <w:tr w:rsidR="005F7517" w14:paraId="66F398BA" w14:textId="77777777" w:rsidTr="00454CC7">
        <w:tc>
          <w:tcPr>
            <w:tcW w:w="500" w:type="dxa"/>
          </w:tcPr>
          <w:p w14:paraId="1B9DFFD2" w14:textId="77777777" w:rsidR="005F7517" w:rsidRDefault="00927BF8">
            <w:pPr>
              <w:pStyle w:val="Compact"/>
              <w:jc w:val="right"/>
            </w:pPr>
            <w:r>
              <w:t>3</w:t>
            </w:r>
          </w:p>
        </w:tc>
        <w:tc>
          <w:tcPr>
            <w:tcW w:w="2700" w:type="dxa"/>
          </w:tcPr>
          <w:p w14:paraId="176BEC37" w14:textId="77777777" w:rsidR="005F7517" w:rsidRDefault="00927BF8">
            <w:pPr>
              <w:pStyle w:val="Compact"/>
            </w:pPr>
            <w:r>
              <w:t>Wariancja</w:t>
            </w:r>
          </w:p>
        </w:tc>
        <w:tc>
          <w:tcPr>
            <w:tcW w:w="1100" w:type="dxa"/>
          </w:tcPr>
          <w:p w14:paraId="2251B40D" w14:textId="77777777" w:rsidR="005F7517" w:rsidRDefault="00927BF8">
            <w:pPr>
              <w:pStyle w:val="Compact"/>
            </w:pPr>
            <m:oMathPara>
              <m:oMath>
                <m:sSup>
                  <m:sSupPr>
                    <m:ctrlPr>
                      <w:rPr>
                        <w:rFonts w:ascii="Cambria Math" w:hAnsi="Cambria Math"/>
                      </w:rPr>
                    </m:ctrlPr>
                  </m:sSupPr>
                  <m:e>
                    <m:r>
                      <w:rPr>
                        <w:rFonts w:ascii="Cambria Math" w:hAnsi="Cambria Math"/>
                      </w:rPr>
                      <m:t>s</m:t>
                    </m:r>
                  </m:e>
                  <m:sup>
                    <m:r>
                      <w:rPr>
                        <w:rFonts w:ascii="Cambria Math" w:hAnsi="Cambria Math"/>
                      </w:rPr>
                      <m:t>2</m:t>
                    </m:r>
                  </m:sup>
                </m:sSup>
              </m:oMath>
            </m:oMathPara>
          </w:p>
        </w:tc>
        <w:tc>
          <w:tcPr>
            <w:tcW w:w="2700" w:type="dxa"/>
          </w:tcPr>
          <w:p w14:paraId="337527CC" w14:textId="77777777" w:rsidR="005F7517" w:rsidRDefault="00927BF8">
            <w:pPr>
              <w:pStyle w:val="Compact"/>
            </w:pPr>
            <w:r>
              <w:t>212196.76 (tys. t)^2</w:t>
            </w:r>
          </w:p>
        </w:tc>
        <w:tc>
          <w:tcPr>
            <w:tcW w:w="2600" w:type="dxa"/>
          </w:tcPr>
          <w:p w14:paraId="3084851E" w14:textId="77777777" w:rsidR="005F7517" w:rsidRDefault="00927BF8">
            <w:pPr>
              <w:pStyle w:val="Compact"/>
            </w:pPr>
            <w:r>
              <w:t>Klasyczna zróżnicowania</w:t>
            </w:r>
          </w:p>
        </w:tc>
      </w:tr>
      <w:tr w:rsidR="005F7517" w14:paraId="5B52C8A4" w14:textId="77777777" w:rsidTr="00454CC7">
        <w:tc>
          <w:tcPr>
            <w:tcW w:w="500" w:type="dxa"/>
          </w:tcPr>
          <w:p w14:paraId="2A3706B1" w14:textId="77777777" w:rsidR="005F7517" w:rsidRDefault="00927BF8">
            <w:pPr>
              <w:pStyle w:val="Compact"/>
              <w:jc w:val="right"/>
            </w:pPr>
            <w:r>
              <w:t>4</w:t>
            </w:r>
          </w:p>
        </w:tc>
        <w:tc>
          <w:tcPr>
            <w:tcW w:w="2700" w:type="dxa"/>
          </w:tcPr>
          <w:p w14:paraId="1C087617" w14:textId="77777777" w:rsidR="005F7517" w:rsidRDefault="00927BF8">
            <w:pPr>
              <w:pStyle w:val="Compact"/>
            </w:pPr>
            <w:r>
              <w:t>Klasyczny współczynnik zmienności</w:t>
            </w:r>
          </w:p>
        </w:tc>
        <w:tc>
          <w:tcPr>
            <w:tcW w:w="1100" w:type="dxa"/>
          </w:tcPr>
          <w:p w14:paraId="0BA71644" w14:textId="77777777" w:rsidR="005F7517" w:rsidRDefault="00927BF8">
            <w:pPr>
              <w:pStyle w:val="Compact"/>
            </w:pPr>
            <m:oMathPara>
              <m:oMath>
                <m:r>
                  <w:rPr>
                    <w:rFonts w:ascii="Cambria Math" w:hAnsi="Cambria Math"/>
                  </w:rPr>
                  <m:t>V</m:t>
                </m:r>
              </m:oMath>
            </m:oMathPara>
          </w:p>
        </w:tc>
        <w:tc>
          <w:tcPr>
            <w:tcW w:w="2700" w:type="dxa"/>
          </w:tcPr>
          <w:p w14:paraId="240DF43D" w14:textId="77777777" w:rsidR="005F7517" w:rsidRDefault="00927BF8">
            <w:pPr>
              <w:pStyle w:val="Compact"/>
            </w:pPr>
            <w:r>
              <w:t>48.87 %</w:t>
            </w:r>
          </w:p>
        </w:tc>
        <w:tc>
          <w:tcPr>
            <w:tcW w:w="2600" w:type="dxa"/>
          </w:tcPr>
          <w:p w14:paraId="465F9137" w14:textId="77777777" w:rsidR="005F7517" w:rsidRDefault="00927BF8">
            <w:pPr>
              <w:pStyle w:val="Compact"/>
            </w:pPr>
            <w:r>
              <w:t>Klasyczna zmienności względnej</w:t>
            </w:r>
          </w:p>
        </w:tc>
      </w:tr>
      <w:tr w:rsidR="005F7517" w14:paraId="750F3FA0" w14:textId="77777777" w:rsidTr="00454CC7">
        <w:tc>
          <w:tcPr>
            <w:tcW w:w="500" w:type="dxa"/>
          </w:tcPr>
          <w:p w14:paraId="11E8175E" w14:textId="77777777" w:rsidR="005F7517" w:rsidRDefault="00927BF8">
            <w:pPr>
              <w:pStyle w:val="Compact"/>
              <w:jc w:val="right"/>
            </w:pPr>
            <w:r>
              <w:t>5</w:t>
            </w:r>
          </w:p>
        </w:tc>
        <w:tc>
          <w:tcPr>
            <w:tcW w:w="2700" w:type="dxa"/>
          </w:tcPr>
          <w:p w14:paraId="0FD5382F" w14:textId="77777777" w:rsidR="005F7517" w:rsidRDefault="00927BF8">
            <w:pPr>
              <w:pStyle w:val="Compact"/>
            </w:pPr>
            <w:r>
              <w:t>Odchylenie przeciętne medianowe (MAD)</w:t>
            </w:r>
          </w:p>
        </w:tc>
        <w:tc>
          <w:tcPr>
            <w:tcW w:w="1100" w:type="dxa"/>
          </w:tcPr>
          <w:p w14:paraId="01D91E0C" w14:textId="77777777" w:rsidR="005F7517" w:rsidRDefault="00927BF8">
            <w:pPr>
              <w:pStyle w:val="Compact"/>
            </w:pPr>
            <m:oMathPara>
              <m:oMath>
                <m:r>
                  <w:rPr>
                    <w:rFonts w:ascii="Cambria Math" w:hAnsi="Cambria Math"/>
                  </w:rPr>
                  <m:t>MAD</m:t>
                </m:r>
              </m:oMath>
            </m:oMathPara>
          </w:p>
        </w:tc>
        <w:tc>
          <w:tcPr>
            <w:tcW w:w="2700" w:type="dxa"/>
          </w:tcPr>
          <w:p w14:paraId="016263F7" w14:textId="77777777" w:rsidR="005F7517" w:rsidRDefault="00927BF8">
            <w:pPr>
              <w:pStyle w:val="Compact"/>
            </w:pPr>
            <w:r>
              <w:t>229.06 tys. t</w:t>
            </w:r>
          </w:p>
        </w:tc>
        <w:tc>
          <w:tcPr>
            <w:tcW w:w="2600" w:type="dxa"/>
          </w:tcPr>
          <w:p w14:paraId="36A1B7A7" w14:textId="77777777" w:rsidR="005F7517" w:rsidRDefault="00927BF8">
            <w:pPr>
              <w:pStyle w:val="Compact"/>
            </w:pPr>
            <w:r>
              <w:t>Pozycyjna zróżnicowania</w:t>
            </w:r>
          </w:p>
        </w:tc>
      </w:tr>
      <w:tr w:rsidR="005F7517" w14:paraId="7950A07B" w14:textId="77777777" w:rsidTr="00454CC7">
        <w:tc>
          <w:tcPr>
            <w:tcW w:w="500" w:type="dxa"/>
          </w:tcPr>
          <w:p w14:paraId="6508D289" w14:textId="77777777" w:rsidR="005F7517" w:rsidRDefault="00927BF8">
            <w:pPr>
              <w:pStyle w:val="Compact"/>
              <w:jc w:val="right"/>
            </w:pPr>
            <w:r>
              <w:t>6</w:t>
            </w:r>
          </w:p>
        </w:tc>
        <w:tc>
          <w:tcPr>
            <w:tcW w:w="2700" w:type="dxa"/>
          </w:tcPr>
          <w:p w14:paraId="1E81C3E3" w14:textId="77777777" w:rsidR="005F7517" w:rsidRDefault="00927BF8">
            <w:pPr>
              <w:pStyle w:val="Compact"/>
            </w:pPr>
            <w:r>
              <w:t>Współczynnik asymetrii (skośność)</w:t>
            </w:r>
          </w:p>
        </w:tc>
        <w:tc>
          <w:tcPr>
            <w:tcW w:w="1100" w:type="dxa"/>
          </w:tcPr>
          <w:p w14:paraId="7344A770" w14:textId="77777777" w:rsidR="005F7517" w:rsidRDefault="00927BF8">
            <w:pPr>
              <w:pStyle w:val="Compact"/>
            </w:pPr>
            <m:oMathPara>
              <m:oMath>
                <m:sSub>
                  <m:sSubPr>
                    <m:ctrlPr>
                      <w:rPr>
                        <w:rFonts w:ascii="Cambria Math" w:hAnsi="Cambria Math"/>
                      </w:rPr>
                    </m:ctrlPr>
                  </m:sSubPr>
                  <m:e>
                    <m:r>
                      <w:rPr>
                        <w:rFonts w:ascii="Cambria Math" w:hAnsi="Cambria Math"/>
                      </w:rPr>
                      <m:t>γ</m:t>
                    </m:r>
                  </m:e>
                  <m:sub>
                    <m:r>
                      <w:rPr>
                        <w:rFonts w:ascii="Cambria Math" w:hAnsi="Cambria Math"/>
                      </w:rPr>
                      <m:t>1</m:t>
                    </m:r>
                  </m:sub>
                </m:sSub>
              </m:oMath>
            </m:oMathPara>
          </w:p>
        </w:tc>
        <w:tc>
          <w:tcPr>
            <w:tcW w:w="2700" w:type="dxa"/>
          </w:tcPr>
          <w:p w14:paraId="2BD87AEF" w14:textId="77777777" w:rsidR="005F7517" w:rsidRDefault="00927BF8">
            <w:pPr>
              <w:pStyle w:val="Compact"/>
            </w:pPr>
            <w:r>
              <w:t>2.8740</w:t>
            </w:r>
          </w:p>
        </w:tc>
        <w:tc>
          <w:tcPr>
            <w:tcW w:w="2600" w:type="dxa"/>
          </w:tcPr>
          <w:p w14:paraId="2AF0F76B" w14:textId="77777777" w:rsidR="005F7517" w:rsidRDefault="00927BF8">
            <w:pPr>
              <w:pStyle w:val="Compact"/>
            </w:pPr>
            <w:r>
              <w:t>Klasyczna asymetrii</w:t>
            </w:r>
          </w:p>
        </w:tc>
      </w:tr>
      <w:tr w:rsidR="005F7517" w14:paraId="4D04EC1A" w14:textId="77777777" w:rsidTr="00454CC7">
        <w:tc>
          <w:tcPr>
            <w:tcW w:w="500" w:type="dxa"/>
          </w:tcPr>
          <w:p w14:paraId="25297C02" w14:textId="77777777" w:rsidR="005F7517" w:rsidRDefault="00927BF8">
            <w:pPr>
              <w:pStyle w:val="Compact"/>
              <w:jc w:val="right"/>
            </w:pPr>
            <w:r>
              <w:t>7</w:t>
            </w:r>
          </w:p>
        </w:tc>
        <w:tc>
          <w:tcPr>
            <w:tcW w:w="2700" w:type="dxa"/>
          </w:tcPr>
          <w:p w14:paraId="43870CCD" w14:textId="77777777" w:rsidR="005F7517" w:rsidRDefault="00927BF8">
            <w:pPr>
              <w:pStyle w:val="Compact"/>
            </w:pPr>
            <w:r>
              <w:t>Współczynnik skupienia (kurtoza)</w:t>
            </w:r>
          </w:p>
        </w:tc>
        <w:tc>
          <w:tcPr>
            <w:tcW w:w="1100" w:type="dxa"/>
          </w:tcPr>
          <w:p w14:paraId="2F02F787" w14:textId="77777777" w:rsidR="005F7517" w:rsidRDefault="00927BF8">
            <w:pPr>
              <w:pStyle w:val="Compact"/>
            </w:pPr>
            <m:oMathPara>
              <m:oMath>
                <m:sSub>
                  <m:sSubPr>
                    <m:ctrlPr>
                      <w:rPr>
                        <w:rFonts w:ascii="Cambria Math" w:hAnsi="Cambria Math"/>
                      </w:rPr>
                    </m:ctrlPr>
                  </m:sSubPr>
                  <m:e>
                    <m:r>
                      <w:rPr>
                        <w:rFonts w:ascii="Cambria Math" w:hAnsi="Cambria Math"/>
                      </w:rPr>
                      <m:t>β</m:t>
                    </m:r>
                  </m:e>
                  <m:sub>
                    <m:r>
                      <w:rPr>
                        <w:rFonts w:ascii="Cambria Math" w:hAnsi="Cambria Math"/>
                      </w:rPr>
                      <m:t>2</m:t>
                    </m:r>
                  </m:sub>
                </m:sSub>
              </m:oMath>
            </m:oMathPara>
          </w:p>
        </w:tc>
        <w:tc>
          <w:tcPr>
            <w:tcW w:w="2700" w:type="dxa"/>
          </w:tcPr>
          <w:p w14:paraId="1FDED4D4" w14:textId="77777777" w:rsidR="005F7517" w:rsidRDefault="00927BF8">
            <w:pPr>
              <w:pStyle w:val="Compact"/>
            </w:pPr>
            <w:r>
              <w:t>13.3692</w:t>
            </w:r>
          </w:p>
        </w:tc>
        <w:tc>
          <w:tcPr>
            <w:tcW w:w="2600" w:type="dxa"/>
          </w:tcPr>
          <w:p w14:paraId="42979A3D" w14:textId="77777777" w:rsidR="005F7517" w:rsidRDefault="00927BF8">
            <w:pPr>
              <w:pStyle w:val="Compact"/>
            </w:pPr>
            <w:r>
              <w:t>Klasyczna koncentracji</w:t>
            </w:r>
          </w:p>
        </w:tc>
      </w:tr>
      <w:tr w:rsidR="005F7517" w14:paraId="64177036" w14:textId="77777777" w:rsidTr="00454CC7">
        <w:tc>
          <w:tcPr>
            <w:tcW w:w="500" w:type="dxa"/>
          </w:tcPr>
          <w:p w14:paraId="50E28865" w14:textId="77777777" w:rsidR="005F7517" w:rsidRDefault="00927BF8">
            <w:pPr>
              <w:pStyle w:val="Compact"/>
              <w:jc w:val="right"/>
            </w:pPr>
            <w:r>
              <w:t>8</w:t>
            </w:r>
          </w:p>
        </w:tc>
        <w:tc>
          <w:tcPr>
            <w:tcW w:w="2700" w:type="dxa"/>
          </w:tcPr>
          <w:p w14:paraId="1D977A90" w14:textId="77777777" w:rsidR="005F7517" w:rsidRDefault="00927BF8">
            <w:pPr>
              <w:pStyle w:val="Compact"/>
            </w:pPr>
            <w:r>
              <w:t>Estymowana moda (dominanta)</w:t>
            </w:r>
          </w:p>
        </w:tc>
        <w:tc>
          <w:tcPr>
            <w:tcW w:w="1100" w:type="dxa"/>
          </w:tcPr>
          <w:p w14:paraId="5745A10E" w14:textId="77777777" w:rsidR="005F7517" w:rsidRDefault="00927BF8">
            <w:pPr>
              <w:pStyle w:val="Compact"/>
            </w:pPr>
            <m:oMathPara>
              <m:oMath>
                <m:r>
                  <w:rPr>
                    <w:rFonts w:ascii="Cambria Math" w:hAnsi="Cambria Math"/>
                  </w:rPr>
                  <m:t>Mo</m:t>
                </m:r>
              </m:oMath>
            </m:oMathPara>
          </w:p>
        </w:tc>
        <w:tc>
          <w:tcPr>
            <w:tcW w:w="2700" w:type="dxa"/>
          </w:tcPr>
          <w:p w14:paraId="25407F83" w14:textId="77777777" w:rsidR="005F7517" w:rsidRDefault="00927BF8">
            <w:pPr>
              <w:pStyle w:val="Compact"/>
            </w:pPr>
            <w:r>
              <w:t>782.17 tys. t</w:t>
            </w:r>
          </w:p>
        </w:tc>
        <w:tc>
          <w:tcPr>
            <w:tcW w:w="2600" w:type="dxa"/>
          </w:tcPr>
          <w:p w14:paraId="36688DDF" w14:textId="77777777" w:rsidR="005F7517" w:rsidRDefault="00927BF8">
            <w:pPr>
              <w:pStyle w:val="Compact"/>
            </w:pPr>
            <w:r>
              <w:t>Pozycyjna położenia</w:t>
            </w:r>
          </w:p>
        </w:tc>
      </w:tr>
      <w:tr w:rsidR="005F7517" w14:paraId="252D26A1" w14:textId="77777777" w:rsidTr="00454CC7">
        <w:tc>
          <w:tcPr>
            <w:tcW w:w="500" w:type="dxa"/>
          </w:tcPr>
          <w:p w14:paraId="7238BD67" w14:textId="77777777" w:rsidR="005F7517" w:rsidRDefault="00927BF8">
            <w:pPr>
              <w:pStyle w:val="Compact"/>
              <w:jc w:val="right"/>
            </w:pPr>
            <w:r>
              <w:t>9</w:t>
            </w:r>
          </w:p>
        </w:tc>
        <w:tc>
          <w:tcPr>
            <w:tcW w:w="2700" w:type="dxa"/>
          </w:tcPr>
          <w:p w14:paraId="05C706F1" w14:textId="77777777" w:rsidR="005F7517" w:rsidRDefault="00927BF8">
            <w:pPr>
              <w:pStyle w:val="Compact"/>
            </w:pPr>
            <w:r>
              <w:t>Kwantyle (Min, Q1, Me, Q3, Max, IQR, R)</w:t>
            </w:r>
          </w:p>
        </w:tc>
        <w:tc>
          <w:tcPr>
            <w:tcW w:w="1100" w:type="dxa"/>
          </w:tcPr>
          <w:p w14:paraId="3F61FC08" w14:textId="77777777" w:rsidR="005F7517" w:rsidRDefault="00927BF8">
            <w:pPr>
              <w:pStyle w:val="Compact"/>
            </w:pPr>
            <m:oMathPara>
              <m:oMath>
                <m:sSub>
                  <m:sSubPr>
                    <m:ctrlPr>
                      <w:rPr>
                        <w:rFonts w:ascii="Cambria Math" w:hAnsi="Cambria Math"/>
                      </w:rPr>
                    </m:ctrlPr>
                  </m:sSubPr>
                  <m:e>
                    <m:r>
                      <w:rPr>
                        <w:rFonts w:ascii="Cambria Math" w:hAnsi="Cambria Math"/>
                      </w:rPr>
                      <m:t>Q</m:t>
                    </m:r>
                  </m:e>
                  <m:sub>
                    <m:r>
                      <w:rPr>
                        <w:rFonts w:ascii="Cambria Math" w:hAnsi="Cambria Math"/>
                      </w:rPr>
                      <m:t>0</m:t>
                    </m:r>
                    <m:r>
                      <m:rPr>
                        <m:sty m:val="p"/>
                      </m:rPr>
                      <w:rPr>
                        <w:rFonts w:ascii="Cambria Math" w:hAnsi="Cambria Math"/>
                      </w:rPr>
                      <m:t>.</m:t>
                    </m:r>
                    <m:r>
                      <w:rPr>
                        <w:rFonts w:ascii="Cambria Math" w:hAnsi="Cambria Math"/>
                      </w:rPr>
                      <m:t>.4</m:t>
                    </m:r>
                  </m:sub>
                </m:sSub>
                <m:r>
                  <m:rPr>
                    <m:sty m:val="p"/>
                  </m:rPr>
                  <w:rPr>
                    <w:rFonts w:ascii="Cambria Math" w:hAnsi="Cambria Math"/>
                  </w:rPr>
                  <m:t>,</m:t>
                </m:r>
                <m:r>
                  <w:rPr>
                    <w:rFonts w:ascii="Cambria Math" w:hAnsi="Cambria Math"/>
                  </w:rPr>
                  <m:t>IQR</m:t>
                </m:r>
                <m:r>
                  <m:rPr>
                    <m:sty m:val="p"/>
                  </m:rPr>
                  <w:rPr>
                    <w:rFonts w:ascii="Cambria Math" w:hAnsi="Cambria Math"/>
                  </w:rPr>
                  <m:t>,</m:t>
                </m:r>
                <m:r>
                  <w:rPr>
                    <w:rFonts w:ascii="Cambria Math" w:hAnsi="Cambria Math"/>
                  </w:rPr>
                  <m:t>R</m:t>
                </m:r>
              </m:oMath>
            </m:oMathPara>
          </w:p>
        </w:tc>
        <w:tc>
          <w:tcPr>
            <w:tcW w:w="2700" w:type="dxa"/>
          </w:tcPr>
          <w:p w14:paraId="2D0E8664" w14:textId="77777777" w:rsidR="005F7517" w:rsidRDefault="00927BF8">
            <w:pPr>
              <w:pStyle w:val="Compact"/>
            </w:pPr>
            <w:r>
              <w:t>Min=280.2; Me=857.6; Max=3449.8 (IQR=311.2)</w:t>
            </w:r>
          </w:p>
        </w:tc>
        <w:tc>
          <w:tcPr>
            <w:tcW w:w="2600" w:type="dxa"/>
          </w:tcPr>
          <w:p w14:paraId="214668BF" w14:textId="77777777" w:rsidR="005F7517" w:rsidRDefault="00927BF8">
            <w:pPr>
              <w:pStyle w:val="Compact"/>
            </w:pPr>
            <w:r>
              <w:t>Zestaw miar pozycyjnych</w:t>
            </w:r>
          </w:p>
        </w:tc>
      </w:tr>
      <w:tr w:rsidR="005F7517" w14:paraId="7F991013" w14:textId="77777777" w:rsidTr="00454CC7">
        <w:tc>
          <w:tcPr>
            <w:tcW w:w="500" w:type="dxa"/>
          </w:tcPr>
          <w:p w14:paraId="502FADA7" w14:textId="77777777" w:rsidR="005F7517" w:rsidRDefault="00927BF8">
            <w:pPr>
              <w:pStyle w:val="Compact"/>
              <w:jc w:val="right"/>
            </w:pPr>
            <w:r>
              <w:t>10</w:t>
            </w:r>
          </w:p>
        </w:tc>
        <w:tc>
          <w:tcPr>
            <w:tcW w:w="2700" w:type="dxa"/>
          </w:tcPr>
          <w:p w14:paraId="5025BE3A" w14:textId="77777777" w:rsidR="005F7517" w:rsidRDefault="00927BF8">
            <w:pPr>
              <w:pStyle w:val="Compact"/>
            </w:pPr>
            <w:r>
              <w:t>Pozycyjny współczynnik zmienności</w:t>
            </w:r>
          </w:p>
        </w:tc>
        <w:tc>
          <w:tcPr>
            <w:tcW w:w="1100" w:type="dxa"/>
          </w:tcPr>
          <w:p w14:paraId="52FF99C0" w14:textId="77777777" w:rsidR="005F7517" w:rsidRDefault="00927BF8">
            <w:pPr>
              <w:pStyle w:val="Compact"/>
            </w:pPr>
            <m:oMathPara>
              <m:oMath>
                <m:sSub>
                  <m:sSubPr>
                    <m:ctrlPr>
                      <w:rPr>
                        <w:rFonts w:ascii="Cambria Math" w:hAnsi="Cambria Math"/>
                      </w:rPr>
                    </m:ctrlPr>
                  </m:sSubPr>
                  <m:e>
                    <m:r>
                      <w:rPr>
                        <w:rFonts w:ascii="Cambria Math" w:hAnsi="Cambria Math"/>
                      </w:rPr>
                      <m:t>V</m:t>
                    </m:r>
                  </m:e>
                  <m:sub>
                    <m:r>
                      <w:rPr>
                        <w:rFonts w:ascii="Cambria Math" w:hAnsi="Cambria Math"/>
                      </w:rPr>
                      <m:t>Q</m:t>
                    </m:r>
                  </m:sub>
                </m:sSub>
              </m:oMath>
            </m:oMathPara>
          </w:p>
        </w:tc>
        <w:tc>
          <w:tcPr>
            <w:tcW w:w="2700" w:type="dxa"/>
          </w:tcPr>
          <w:p w14:paraId="32BA3D0F" w14:textId="77777777" w:rsidR="005F7517" w:rsidRDefault="00927BF8">
            <w:pPr>
              <w:pStyle w:val="Compact"/>
            </w:pPr>
            <w:r>
              <w:t>18.15 %</w:t>
            </w:r>
          </w:p>
        </w:tc>
        <w:tc>
          <w:tcPr>
            <w:tcW w:w="2600" w:type="dxa"/>
          </w:tcPr>
          <w:p w14:paraId="2DC527EA" w14:textId="77777777" w:rsidR="005F7517" w:rsidRDefault="00927BF8">
            <w:pPr>
              <w:pStyle w:val="Compact"/>
            </w:pPr>
            <w:r>
              <w:t>Pozycyjna zmienności względnej</w:t>
            </w:r>
          </w:p>
        </w:tc>
      </w:tr>
    </w:tbl>
    <w:p w14:paraId="2E0AA177" w14:textId="77777777" w:rsidR="005F7517" w:rsidRDefault="00927BF8">
      <w:pPr>
        <w:pStyle w:val="Nagwek2"/>
      </w:pPr>
      <w:bookmarkStart w:id="11" w:name="Xc5f5facce6a5c4d3756fd23ae05dd0bdb1e7834"/>
      <w:bookmarkEnd w:id="10"/>
      <w:r>
        <w:t>Szczegółowa interpretacja wyznaczonych parametrów opisowych</w:t>
      </w:r>
    </w:p>
    <w:p w14:paraId="68E10FBF" w14:textId="77777777" w:rsidR="005F7517" w:rsidRDefault="00927BF8">
      <w:pPr>
        <w:numPr>
          <w:ilvl w:val="0"/>
          <w:numId w:val="5"/>
        </w:numPr>
      </w:pPr>
      <w:r>
        <w:rPr>
          <w:b/>
          <w:bCs/>
        </w:rPr>
        <w:t>Średnia arytmetyczna (942.62 tys. ton):</w:t>
      </w:r>
      <w:r>
        <w:t xml:space="preserve"> </w:t>
      </w:r>
      <w:r>
        <w:t>Przeciętny miesięczny wolumen przeładunków węgla i koksu w polskich portach morskich w latach 2010–2026 wynosił około 942,6 tys. ton. Wartość ta reprezentuje teoretyczny środek ciężkości rozkładu.</w:t>
      </w:r>
    </w:p>
    <w:p w14:paraId="1D25F119" w14:textId="77777777" w:rsidR="005F7517" w:rsidRDefault="00927BF8">
      <w:pPr>
        <w:numPr>
          <w:ilvl w:val="0"/>
          <w:numId w:val="5"/>
        </w:numPr>
      </w:pPr>
      <w:r>
        <w:rPr>
          <w:b/>
          <w:bCs/>
        </w:rPr>
        <w:t>Odchylenie standardowe (460.65 tys. ton):</w:t>
      </w:r>
      <w:r>
        <w:t xml:space="preserve"> Miesięczne przeładunki węgla i koksu odchylają się przeciętnie od średniej arytmetycznej aż o 460,6 tys. ton. Wskazuje to na znaczne wahania wolumenu obrotów pomiędzy poszczególnymi miesiącami.</w:t>
      </w:r>
    </w:p>
    <w:p w14:paraId="539F1656" w14:textId="77777777" w:rsidR="005F7517" w:rsidRDefault="00927BF8">
      <w:pPr>
        <w:numPr>
          <w:ilvl w:val="0"/>
          <w:numId w:val="5"/>
        </w:numPr>
      </w:pPr>
      <w:r>
        <w:rPr>
          <w:b/>
          <w:bCs/>
        </w:rPr>
        <w:t>Wariancja (212196.76):</w:t>
      </w:r>
      <w:r>
        <w:t xml:space="preserve"> </w:t>
      </w:r>
      <w:r>
        <w:t>Bardzo wysoka wartość wariancji potwierdza dużą zmienność zjawiska w czasie, wywołaną zarówno cyklem koniunkturalnym, jak i nagłym szokiem importowym po 2022 roku.</w:t>
      </w:r>
    </w:p>
    <w:p w14:paraId="1928BB4F" w14:textId="77777777" w:rsidR="005F7517" w:rsidRDefault="00927BF8">
      <w:pPr>
        <w:numPr>
          <w:ilvl w:val="0"/>
          <w:numId w:val="5"/>
        </w:numPr>
      </w:pPr>
      <w:r>
        <w:rPr>
          <w:b/>
          <w:bCs/>
        </w:rPr>
        <w:t>Klasyczny współczynnik zmienności (48.87%):</w:t>
      </w:r>
      <w:r>
        <w:t xml:space="preserve"> Wartość współczynnika zmienności na poziomie ok. 48,9% mieści się w przedziale dużej zmienności (w statystyce przedział 40–70% oznacza dużą dyspersję). Oznacza to, że przeładunki węgla w portach morskich nie są stabilne w czasie i charakteryzują się wysoką nieregularnością.</w:t>
      </w:r>
    </w:p>
    <w:p w14:paraId="4AA685EA" w14:textId="77777777" w:rsidR="005F7517" w:rsidRDefault="00927BF8">
      <w:pPr>
        <w:numPr>
          <w:ilvl w:val="0"/>
          <w:numId w:val="5"/>
        </w:numPr>
      </w:pPr>
      <w:r>
        <w:rPr>
          <w:b/>
          <w:bCs/>
        </w:rPr>
        <w:t>Odchylenie przeciętne / medianowe MAD (229.06 tys. ton):</w:t>
      </w:r>
      <w:r>
        <w:t xml:space="preserve"> Mediana bezwzględnych odchyleń od mediany wynosi 229,1 tys. ton. Ponieważ MAD jest odporny na wartości ekstremalne, jest wyraźnie niższy od odchylenia standardowego, co potwierdza obecność silnych wartości odstających w zbiorze danych.</w:t>
      </w:r>
    </w:p>
    <w:p w14:paraId="716C2F08" w14:textId="77777777" w:rsidR="005F7517" w:rsidRDefault="00927BF8">
      <w:pPr>
        <w:numPr>
          <w:ilvl w:val="0"/>
          <w:numId w:val="5"/>
        </w:numPr>
      </w:pPr>
      <w:r>
        <w:rPr>
          <w:b/>
          <w:bCs/>
        </w:rPr>
        <w:t>Skośność (2.8740):</w:t>
      </w:r>
      <w:r>
        <w:t xml:space="preserve"> Dodatnia wartość współczynnika asymetrii (</w:t>
      </w:r>
      <m:oMath>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&gt;</m:t>
        </m:r>
        <m:r>
          <w:rPr>
            <w:rFonts w:ascii="Cambria Math" w:hAnsi="Cambria Math"/>
          </w:rPr>
          <m:t>0</m:t>
        </m:r>
      </m:oMath>
      <w:r>
        <w:t xml:space="preserve">) świadczy o </w:t>
      </w:r>
      <w:r>
        <w:rPr>
          <w:b/>
          <w:bCs/>
        </w:rPr>
        <w:t>silnej asymetrii prawostronnej (prawostronnym wydłużeniu ogona rozkładu)</w:t>
      </w:r>
      <w:r>
        <w:t>. W większości miesięcy obroty węglem kształtowały się na umiarkowanym poziomie, a nieliczne miesiące o skrajnie wysokich przeładunkach (szczyt kryzysu energetycznego w 2022/2023 r.) spowodowały wydłużenie prawego ogona.</w:t>
      </w:r>
    </w:p>
    <w:p w14:paraId="5E553B9E" w14:textId="77777777" w:rsidR="005F7517" w:rsidRDefault="00927BF8">
      <w:pPr>
        <w:numPr>
          <w:ilvl w:val="0"/>
          <w:numId w:val="5"/>
        </w:numPr>
      </w:pPr>
      <w:r>
        <w:rPr>
          <w:b/>
          <w:bCs/>
        </w:rPr>
        <w:t>Kurtoza (13.3692):</w:t>
      </w:r>
      <w:r>
        <w:t xml:space="preserve"> Wartość kurtozy wynosząca 13,37 znacznie przekracza wartość referencyjną dla rozkładu normalnego (</w:t>
      </w:r>
      <m:oMath>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3</m:t>
        </m:r>
      </m:oMath>
      <w:r>
        <w:t xml:space="preserve">). Świadczy to o </w:t>
      </w:r>
      <w:r>
        <w:rPr>
          <w:b/>
          <w:bCs/>
        </w:rPr>
        <w:t>rozkładzie wybitnie leptokurtycznym</w:t>
      </w:r>
      <w:r>
        <w:t xml:space="preserve"> </w:t>
      </w:r>
      <w:r>
        <w:t>– cechuje go wysokie skupienie wartości wokół dominanty oraz „grube ogony”, czyli znacznie większe prawdopodobieństwo wystąpienia wartości skrajnych niż w rozkładzie Gaussa.</w:t>
      </w:r>
    </w:p>
    <w:p w14:paraId="06DD0407" w14:textId="77777777" w:rsidR="005F7517" w:rsidRDefault="00927BF8">
      <w:pPr>
        <w:numPr>
          <w:ilvl w:val="0"/>
          <w:numId w:val="5"/>
        </w:numPr>
      </w:pPr>
      <w:r>
        <w:rPr>
          <w:b/>
          <w:bCs/>
        </w:rPr>
        <w:t>Estymowana moda (782.17 tys. ton):</w:t>
      </w:r>
      <w:r>
        <w:t xml:space="preserve"> Najczęściej powtarzający się (typowy) poziom miesięcznych przeładunków wynosi około 782,2 tys. ton. Fakt, że </w:t>
      </w:r>
      <m:oMath>
        <m:r>
          <w:rPr>
            <w:rFonts w:ascii="Cambria Math" w:hAnsi="Cambria Math"/>
          </w:rPr>
          <m:t>Mo</m:t>
        </m:r>
        <m:r>
          <m:rPr>
            <m:sty m:val="p"/>
          </m:rPr>
          <w:rPr>
            <w:rFonts w:ascii="Cambria Math" w:hAnsi="Cambria Math"/>
          </w:rPr>
          <m:t>&lt;</m:t>
        </m:r>
        <m:r>
          <w:rPr>
            <w:rFonts w:ascii="Cambria Math" w:hAnsi="Cambria Math"/>
          </w:rPr>
          <m:t>Me</m:t>
        </m:r>
        <m:r>
          <m:rPr>
            <m:sty m:val="p"/>
          </m:rPr>
          <w:rPr>
            <w:rFonts w:ascii="Cambria Math" w:hAnsi="Cambria Math"/>
          </w:rPr>
          <m:t>&lt;</m:t>
        </m:r>
        <m:acc>
          <m:accPr>
            <m:chr m:val="‾"/>
            <m:ctrlPr>
              <w:rPr>
                <w:rFonts w:ascii="Cambria Math" w:hAnsi="Cambria Math"/>
              </w:rPr>
            </m:ctrlPr>
          </m:accPr>
          <m:e>
            <m:r>
              <w:rPr>
                <w:rFonts w:ascii="Cambria Math" w:hAnsi="Cambria Math"/>
              </w:rPr>
              <m:t>x</m:t>
            </m:r>
          </m:e>
        </m:acc>
      </m:oMath>
      <w:r>
        <w:t xml:space="preserve"> (</w:t>
      </w:r>
      <m:oMath>
        <m:r>
          <w:rPr>
            <w:rFonts w:ascii="Cambria Math" w:hAnsi="Cambria Math"/>
          </w:rPr>
          <m:t>782</m:t>
        </m:r>
        <m:r>
          <m:rPr>
            <m:sty m:val="p"/>
          </m:rPr>
          <w:rPr>
            <w:rFonts w:ascii="Cambria Math" w:hAnsi="Cambria Math"/>
          </w:rPr>
          <m:t>,</m:t>
        </m:r>
        <m:r>
          <w:rPr>
            <w:rFonts w:ascii="Cambria Math" w:hAnsi="Cambria Math"/>
          </w:rPr>
          <m:t>2</m:t>
        </m:r>
        <m:r>
          <m:rPr>
            <m:sty m:val="p"/>
          </m:rPr>
          <w:rPr>
            <w:rFonts w:ascii="Cambria Math" w:hAnsi="Cambria Math"/>
          </w:rPr>
          <m:t>&lt;</m:t>
        </m:r>
        <m:r>
          <w:rPr>
            <w:rFonts w:ascii="Cambria Math" w:hAnsi="Cambria Math"/>
          </w:rPr>
          <m:t>857</m:t>
        </m:r>
        <m:r>
          <m:rPr>
            <m:sty m:val="p"/>
          </m:rPr>
          <w:rPr>
            <w:rFonts w:ascii="Cambria Math" w:hAnsi="Cambria Math"/>
          </w:rPr>
          <m:t>,</m:t>
        </m:r>
        <m:r>
          <w:rPr>
            <w:rFonts w:ascii="Cambria Math" w:hAnsi="Cambria Math"/>
          </w:rPr>
          <m:t>6</m:t>
        </m:r>
        <m:r>
          <m:rPr>
            <m:sty m:val="p"/>
          </m:rPr>
          <w:rPr>
            <w:rFonts w:ascii="Cambria Math" w:hAnsi="Cambria Math"/>
          </w:rPr>
          <m:t>&lt;</m:t>
        </m:r>
        <m:r>
          <w:rPr>
            <w:rFonts w:ascii="Cambria Math" w:hAnsi="Cambria Math"/>
          </w:rPr>
          <m:t>942</m:t>
        </m:r>
        <m:r>
          <m:rPr>
            <m:sty m:val="p"/>
          </m:rPr>
          <w:rPr>
            <w:rFonts w:ascii="Cambria Math" w:hAnsi="Cambria Math"/>
          </w:rPr>
          <m:t>,</m:t>
        </m:r>
        <m:r>
          <w:rPr>
            <w:rFonts w:ascii="Cambria Math" w:hAnsi="Cambria Math"/>
          </w:rPr>
          <m:t>6</m:t>
        </m:r>
      </m:oMath>
      <w:r>
        <w:t>), jest klasycznym potwierdzeniem prawostronnej asymetrii rozkładu.</w:t>
      </w:r>
    </w:p>
    <w:p w14:paraId="67F03C09" w14:textId="77777777" w:rsidR="005F7517" w:rsidRDefault="00927BF8">
      <w:pPr>
        <w:numPr>
          <w:ilvl w:val="0"/>
          <w:numId w:val="5"/>
        </w:numPr>
      </w:pPr>
      <w:r>
        <w:rPr>
          <w:b/>
          <w:bCs/>
        </w:rPr>
        <w:t>Kwantyle:</w:t>
      </w:r>
    </w:p>
    <w:p w14:paraId="063C07A7" w14:textId="77777777" w:rsidR="005F7517" w:rsidRDefault="00927BF8">
      <w:pPr>
        <w:pStyle w:val="Compact"/>
        <w:numPr>
          <w:ilvl w:val="1"/>
          <w:numId w:val="6"/>
        </w:numPr>
      </w:pPr>
      <w:r>
        <w:rPr>
          <w:b/>
          <w:bCs/>
        </w:rPr>
        <w:t>Minimum (280.2 tys. ton):</w:t>
      </w:r>
      <w:r>
        <w:t xml:space="preserve"> </w:t>
      </w:r>
      <w:r>
        <w:t>Najniższy zarejestrowany miesięczny przeładunek węgla i koksu (odnotowany w maju 2020 r. w okresie pandemii COVID-19 i załamania przemysłu).</w:t>
      </w:r>
    </w:p>
    <w:p w14:paraId="47FE581A" w14:textId="77777777" w:rsidR="005F7517" w:rsidRDefault="00927BF8">
      <w:pPr>
        <w:pStyle w:val="Compact"/>
        <w:numPr>
          <w:ilvl w:val="1"/>
          <w:numId w:val="6"/>
        </w:numPr>
      </w:pPr>
      <w:r>
        <w:rPr>
          <w:b/>
          <w:bCs/>
        </w:rPr>
        <w:t xml:space="preserve">Pierwszy kwartyl </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b/>
          <w:bCs/>
        </w:rPr>
        <w:t xml:space="preserve"> (710.4 tys. ton):</w:t>
      </w:r>
      <w:r>
        <w:t xml:space="preserve"> W 25% analizowanych miesięcy przeładunki węgla i koksu nie przekraczały 710,4 tys. ton.</w:t>
      </w:r>
    </w:p>
    <w:p w14:paraId="0386AD66" w14:textId="77777777" w:rsidR="005F7517" w:rsidRDefault="00927BF8">
      <w:pPr>
        <w:pStyle w:val="Compact"/>
        <w:numPr>
          <w:ilvl w:val="1"/>
          <w:numId w:val="6"/>
        </w:numPr>
      </w:pPr>
      <w:r>
        <w:rPr>
          <w:b/>
          <w:bCs/>
        </w:rPr>
        <w:t xml:space="preserve">Mediana </w:t>
      </w:r>
      <m:oMath>
        <m:r>
          <w:rPr>
            <w:rFonts w:ascii="Cambria Math" w:hAnsi="Cambria Math"/>
          </w:rPr>
          <m:t>Me</m:t>
        </m:r>
      </m:oMath>
      <w:r>
        <w:rPr>
          <w:b/>
          <w:bCs/>
        </w:rPr>
        <w:t xml:space="preserve"> (857.6 tys. ton):</w:t>
      </w:r>
      <w:r>
        <w:t xml:space="preserve"> W połowie badanych miesięcy obroty węglem były niższe niż 857,6 tys. ton, a w drugiej połowie – wyższe.</w:t>
      </w:r>
    </w:p>
    <w:p w14:paraId="60B6CE43" w14:textId="77777777" w:rsidR="005F7517" w:rsidRDefault="00927BF8">
      <w:pPr>
        <w:pStyle w:val="Compact"/>
        <w:numPr>
          <w:ilvl w:val="1"/>
          <w:numId w:val="6"/>
        </w:numPr>
      </w:pPr>
      <w:r>
        <w:rPr>
          <w:b/>
          <w:bCs/>
        </w:rPr>
        <w:t xml:space="preserve">Trzeci kwartyl </w:t>
      </w:r>
      <m:oMath>
        <m:sSub>
          <m:sSubPr>
            <m:ctrlPr>
              <w:rPr>
                <w:rFonts w:ascii="Cambria Math" w:hAnsi="Cambria Math"/>
              </w:rPr>
            </m:ctrlPr>
          </m:sSubPr>
          <m:e>
            <m:r>
              <w:rPr>
                <w:rFonts w:ascii="Cambria Math" w:hAnsi="Cambria Math"/>
              </w:rPr>
              <m:t>Q</m:t>
            </m:r>
          </m:e>
          <m:sub>
            <m:r>
              <w:rPr>
                <w:rFonts w:ascii="Cambria Math" w:hAnsi="Cambria Math"/>
              </w:rPr>
              <m:t>3</m:t>
            </m:r>
          </m:sub>
        </m:sSub>
      </m:oMath>
      <w:r>
        <w:rPr>
          <w:b/>
          <w:bCs/>
        </w:rPr>
        <w:t xml:space="preserve"> (1021.6 tys. ton):</w:t>
      </w:r>
      <w:r>
        <w:t xml:space="preserve"> </w:t>
      </w:r>
      <w:r>
        <w:t>W 75% badanych miesięcy przeładunki były niższe niż 1021,6 tys. ton (lub równoważnie: w 25% miesięcy przekroczyły ten poziom).</w:t>
      </w:r>
    </w:p>
    <w:p w14:paraId="6013C09F" w14:textId="77777777" w:rsidR="005F7517" w:rsidRDefault="00927BF8">
      <w:pPr>
        <w:pStyle w:val="Compact"/>
        <w:numPr>
          <w:ilvl w:val="1"/>
          <w:numId w:val="6"/>
        </w:numPr>
      </w:pPr>
      <w:r>
        <w:rPr>
          <w:b/>
          <w:bCs/>
        </w:rPr>
        <w:t>Maksimum (3449.8 tys. ton):</w:t>
      </w:r>
      <w:r>
        <w:t xml:space="preserve"> Absolutny rekord przeładunków (ponad 3,44 mln ton w ciągu jednego miesiąca!) odnotowano w grudniu 2022 roku, w kulminacyjnym momencie interwencyjnego importu węgla po odcięciu dostaw ze Wschodu.</w:t>
      </w:r>
    </w:p>
    <w:p w14:paraId="70D17D42" w14:textId="77777777" w:rsidR="005F7517" w:rsidRDefault="00927BF8">
      <w:pPr>
        <w:pStyle w:val="Compact"/>
        <w:numPr>
          <w:ilvl w:val="1"/>
          <w:numId w:val="6"/>
        </w:numPr>
      </w:pPr>
      <w:r>
        <w:rPr>
          <w:b/>
          <w:bCs/>
        </w:rPr>
        <w:t xml:space="preserve">Rozstęp całkowity </w:t>
      </w:r>
      <m:oMath>
        <m:r>
          <w:rPr>
            <w:rFonts w:ascii="Cambria Math" w:hAnsi="Cambria Math"/>
          </w:rPr>
          <m:t>R</m:t>
        </m:r>
      </m:oMath>
      <w:r>
        <w:rPr>
          <w:b/>
          <w:bCs/>
        </w:rPr>
        <w:t xml:space="preserve"> (3169.6 tys. ton):</w:t>
      </w:r>
      <w:r>
        <w:t xml:space="preserve"> Różnica między skrajnymi wartościami wynosi aż 3,17 mln ton, ukazując potężną skalę wahań operacyjnych w polskich portach.</w:t>
      </w:r>
    </w:p>
    <w:p w14:paraId="2FBF4397" w14:textId="77777777" w:rsidR="005F7517" w:rsidRDefault="00927BF8">
      <w:pPr>
        <w:pStyle w:val="Compact"/>
        <w:numPr>
          <w:ilvl w:val="1"/>
          <w:numId w:val="6"/>
        </w:numPr>
      </w:pPr>
      <w:r>
        <w:rPr>
          <w:b/>
          <w:bCs/>
        </w:rPr>
        <w:t xml:space="preserve">Rozstęp ćwiartkowy </w:t>
      </w:r>
      <m:oMath>
        <m:r>
          <w:rPr>
            <w:rFonts w:ascii="Cambria Math" w:hAnsi="Cambria Math"/>
          </w:rPr>
          <m:t>IQR</m:t>
        </m:r>
      </m:oMath>
      <w:r>
        <w:rPr>
          <w:b/>
          <w:bCs/>
        </w:rPr>
        <w:t xml:space="preserve"> (311.2 tys. ton):</w:t>
      </w:r>
      <w:r>
        <w:t xml:space="preserve"> Środkowe 50% obserwacji mieści się w relatywnie wąskim przedziale o szerokości 311,3 tys. ton.</w:t>
      </w:r>
    </w:p>
    <w:p w14:paraId="5790C003" w14:textId="77777777" w:rsidR="005F7517" w:rsidRDefault="00927BF8">
      <w:pPr>
        <w:numPr>
          <w:ilvl w:val="0"/>
          <w:numId w:val="5"/>
        </w:numPr>
      </w:pPr>
      <w:r>
        <w:rPr>
          <w:b/>
          <w:bCs/>
        </w:rPr>
        <w:t>Pozycyjny współczynnik zmienności (18.15%):</w:t>
      </w:r>
      <w:r>
        <w:t xml:space="preserve"> Relacja połowy rozstępu ćwiartkowego do mediany wynosi 18,15%. Wartość ta jest ponad dwukrotnie niższa od klasycznego współczynnika zmienności (48,87%), co jednoznacznie dowodzi, że zasadniczy zręb danych jest stabilny, a wysoka zmienność klasyczna wynikała z ekstremalnych anomalii kryzysowych z lat 2022–2023.</w:t>
      </w:r>
    </w:p>
    <w:p w14:paraId="672309DB" w14:textId="77777777" w:rsidR="005F7517" w:rsidRDefault="00927BF8">
      <w:r>
        <w:br w:type="page"/>
      </w:r>
    </w:p>
    <w:p w14:paraId="463DFD6F" w14:textId="77777777" w:rsidR="005F7517" w:rsidRDefault="00927BF8">
      <w:pPr>
        <w:pStyle w:val="Nagwek1"/>
      </w:pPr>
      <w:bookmarkStart w:id="12" w:name="iii.-graficzna-prezentacja-danych"/>
      <w:bookmarkStart w:id="13" w:name="_Toc240407087"/>
      <w:bookmarkEnd w:id="7"/>
      <w:bookmarkEnd w:id="11"/>
      <w:r>
        <w:t>III. Graficzna prezentacja danych</w:t>
      </w:r>
      <w:bookmarkEnd w:id="13"/>
    </w:p>
    <w:p w14:paraId="53307439" w14:textId="77777777" w:rsidR="005F7517" w:rsidRDefault="00927BF8">
      <w:pPr>
        <w:pStyle w:val="FirstParagraph"/>
      </w:pPr>
      <w:r>
        <w:t xml:space="preserve">W niniejszym rozdziale przedstawiono graficzną analizę rozkładu oraz dynamiki przeładunków węgla i koksu w czasie, przygotowaną przy użyciu pakietu </w:t>
      </w:r>
      <w:r>
        <w:rPr>
          <w:rStyle w:val="VerbatimChar"/>
        </w:rPr>
        <w:t>ggplot2</w:t>
      </w:r>
      <w:r>
        <w:t>.</w:t>
      </w:r>
    </w:p>
    <w:p w14:paraId="04E793F0" w14:textId="77777777" w:rsidR="005F7517" w:rsidRDefault="00927BF8">
      <w:pPr>
        <w:pStyle w:val="Nagwek2"/>
      </w:pPr>
      <w:bookmarkStart w:id="14" w:name="Xb067ee62f8d650f6ca75778995e2f91926d40e5"/>
      <w:r>
        <w:t>Typ 1: Histogram z nałożoną krzywą gęstości empirycznej</w:t>
      </w:r>
    </w:p>
    <w:p w14:paraId="432320E0" w14:textId="77777777" w:rsidR="005F7517" w:rsidRDefault="00927BF8">
      <w:pPr>
        <w:pStyle w:val="SourceCode"/>
      </w:pPr>
      <w:r>
        <w:rPr>
          <w:rStyle w:val="FunctionTok"/>
        </w:rPr>
        <w:t>ggplot</w:t>
      </w:r>
      <w:r>
        <w:rPr>
          <w:rStyle w:val="NormalTok"/>
        </w:rPr>
        <w:t xml:space="preserve">(dane, </w:t>
      </w:r>
      <w:r>
        <w:rPr>
          <w:rStyle w:val="FunctionTok"/>
        </w:rPr>
        <w:t>aes</w:t>
      </w:r>
      <w:r>
        <w:rPr>
          <w:rStyle w:val="NormalTok"/>
        </w:rPr>
        <w:t>(</w:t>
      </w:r>
      <w:r>
        <w:rPr>
          <w:rStyle w:val="AttributeTok"/>
        </w:rPr>
        <w:t>x =</w:t>
      </w:r>
      <w:r>
        <w:rPr>
          <w:rStyle w:val="NormalTok"/>
        </w:rPr>
        <w:t xml:space="preserve"> wegiel_koks_tys_ton)) </w:t>
      </w:r>
      <w:r>
        <w:rPr>
          <w:rStyle w:val="SpecialCharTok"/>
        </w:rPr>
        <w:t>+</w:t>
      </w:r>
      <w:r>
        <w:br/>
      </w:r>
      <w:r>
        <w:rPr>
          <w:rStyle w:val="NormalTok"/>
        </w:rPr>
        <w:t xml:space="preserve">  </w:t>
      </w:r>
      <w:r>
        <w:rPr>
          <w:rStyle w:val="FunctionTok"/>
        </w:rPr>
        <w:t>geom_histogram</w:t>
      </w:r>
      <w:r>
        <w:rPr>
          <w:rStyle w:val="NormalTok"/>
        </w:rPr>
        <w:t>(</w:t>
      </w:r>
      <w:r>
        <w:rPr>
          <w:rStyle w:val="FunctionTok"/>
        </w:rPr>
        <w:t>aes</w:t>
      </w:r>
      <w:r>
        <w:rPr>
          <w:rStyle w:val="NormalTok"/>
        </w:rPr>
        <w:t>(</w:t>
      </w:r>
      <w:r>
        <w:rPr>
          <w:rStyle w:val="AttributeTok"/>
        </w:rPr>
        <w:t>y =</w:t>
      </w:r>
      <w:r>
        <w:rPr>
          <w:rStyle w:val="NormalTok"/>
        </w:rPr>
        <w:t xml:space="preserve"> </w:t>
      </w:r>
      <w:r>
        <w:rPr>
          <w:rStyle w:val="FunctionTok"/>
        </w:rPr>
        <w:t>after_stat</w:t>
      </w:r>
      <w:r>
        <w:rPr>
          <w:rStyle w:val="NormalTok"/>
        </w:rPr>
        <w:t xml:space="preserve">(density)), </w:t>
      </w:r>
      <w:r>
        <w:rPr>
          <w:rStyle w:val="AttributeTok"/>
        </w:rPr>
        <w:t>bins =</w:t>
      </w:r>
      <w:r>
        <w:rPr>
          <w:rStyle w:val="NormalTok"/>
        </w:rPr>
        <w:t xml:space="preserve"> </w:t>
      </w:r>
      <w:r>
        <w:rPr>
          <w:rStyle w:val="DecValTok"/>
        </w:rPr>
        <w:t>25</w:t>
      </w:r>
      <w:r>
        <w:rPr>
          <w:rStyle w:val="NormalTok"/>
        </w:rPr>
        <w:t xml:space="preserve">, </w:t>
      </w:r>
      <w:r>
        <w:br/>
      </w:r>
      <w:r>
        <w:rPr>
          <w:rStyle w:val="NormalTok"/>
        </w:rPr>
        <w:t xml:space="preserve">                 </w:t>
      </w:r>
      <w:r>
        <w:rPr>
          <w:rStyle w:val="AttributeTok"/>
        </w:rPr>
        <w:t>fill =</w:t>
      </w:r>
      <w:r>
        <w:rPr>
          <w:rStyle w:val="NormalTok"/>
        </w:rPr>
        <w:t xml:space="preserve"> </w:t>
      </w:r>
      <w:r>
        <w:rPr>
          <w:rStyle w:val="StringTok"/>
        </w:rPr>
        <w:t>"#2c3e50"</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AttributeTok"/>
        </w:rPr>
        <w:t>alpha =</w:t>
      </w:r>
      <w:r>
        <w:rPr>
          <w:rStyle w:val="NormalTok"/>
        </w:rPr>
        <w:t xml:space="preserve"> </w:t>
      </w:r>
      <w:r>
        <w:rPr>
          <w:rStyle w:val="FloatTok"/>
        </w:rPr>
        <w:t>0.85</w:t>
      </w:r>
      <w:r>
        <w:rPr>
          <w:rStyle w:val="NormalTok"/>
        </w:rPr>
        <w:t xml:space="preserve">) </w:t>
      </w:r>
      <w:r>
        <w:rPr>
          <w:rStyle w:val="SpecialCharTok"/>
        </w:rPr>
        <w:t>+</w:t>
      </w:r>
      <w:r>
        <w:br/>
      </w:r>
      <w:r>
        <w:rPr>
          <w:rStyle w:val="NormalTok"/>
        </w:rPr>
        <w:t xml:space="preserve">  </w:t>
      </w:r>
      <w:r>
        <w:rPr>
          <w:rStyle w:val="FunctionTok"/>
        </w:rPr>
        <w:t>geom_density</w:t>
      </w:r>
      <w:r>
        <w:rPr>
          <w:rStyle w:val="NormalTok"/>
        </w:rPr>
        <w:t>(</w:t>
      </w:r>
      <w:r>
        <w:rPr>
          <w:rStyle w:val="AttributeTok"/>
        </w:rPr>
        <w:t>color =</w:t>
      </w:r>
      <w:r>
        <w:rPr>
          <w:rStyle w:val="NormalTok"/>
        </w:rPr>
        <w:t xml:space="preserve"> </w:t>
      </w:r>
      <w:r>
        <w:rPr>
          <w:rStyle w:val="StringTok"/>
        </w:rPr>
        <w:t>"#e74c3c"</w:t>
      </w:r>
      <w:r>
        <w:rPr>
          <w:rStyle w:val="NormalTok"/>
        </w:rPr>
        <w:t xml:space="preserve">, </w:t>
      </w:r>
      <w:r>
        <w:rPr>
          <w:rStyle w:val="AttributeTok"/>
        </w:rPr>
        <w:t>linewidth =</w:t>
      </w:r>
      <w:r>
        <w:rPr>
          <w:rStyle w:val="NormalTok"/>
        </w:rPr>
        <w:t xml:space="preserve"> </w:t>
      </w:r>
      <w:r>
        <w:rPr>
          <w:rStyle w:val="FloatTok"/>
        </w:rPr>
        <w:t>1.1</w:t>
      </w:r>
      <w:r>
        <w:rPr>
          <w:rStyle w:val="NormalTok"/>
        </w:rPr>
        <w:t xml:space="preserve">) </w:t>
      </w:r>
      <w:r>
        <w:rPr>
          <w:rStyle w:val="SpecialCharTok"/>
        </w:rPr>
        <w:t>+</w:t>
      </w:r>
      <w:r>
        <w:br/>
      </w:r>
      <w:r>
        <w:rPr>
          <w:rStyle w:val="NormalTok"/>
        </w:rPr>
        <w:t xml:space="preserve">  </w:t>
      </w:r>
      <w:r>
        <w:rPr>
          <w:rStyle w:val="FunctionTok"/>
        </w:rPr>
        <w:t>stat_function</w:t>
      </w:r>
      <w:r>
        <w:rPr>
          <w:rStyle w:val="NormalTok"/>
        </w:rPr>
        <w:t>(</w:t>
      </w:r>
      <w:r>
        <w:rPr>
          <w:rStyle w:val="AttributeTok"/>
        </w:rPr>
        <w:t>fun =</w:t>
      </w:r>
      <w:r>
        <w:rPr>
          <w:rStyle w:val="NormalTok"/>
        </w:rPr>
        <w:t xml:space="preserve"> dnorm, </w:t>
      </w:r>
      <w:r>
        <w:br/>
      </w:r>
      <w:r>
        <w:rPr>
          <w:rStyle w:val="NormalTok"/>
        </w:rPr>
        <w:t xml:space="preserve">                </w:t>
      </w:r>
      <w:r>
        <w:rPr>
          <w:rStyle w:val="AttributeTok"/>
        </w:rPr>
        <w:t>args =</w:t>
      </w:r>
      <w:r>
        <w:rPr>
          <w:rStyle w:val="NormalTok"/>
        </w:rPr>
        <w:t xml:space="preserve"> </w:t>
      </w:r>
      <w:r>
        <w:rPr>
          <w:rStyle w:val="FunctionTok"/>
        </w:rPr>
        <w:t>list</w:t>
      </w:r>
      <w:r>
        <w:rPr>
          <w:rStyle w:val="NormalTok"/>
        </w:rPr>
        <w:t>(</w:t>
      </w:r>
      <w:r>
        <w:rPr>
          <w:rStyle w:val="AttributeTok"/>
        </w:rPr>
        <w:t>mean =</w:t>
      </w:r>
      <w:r>
        <w:rPr>
          <w:rStyle w:val="NormalTok"/>
        </w:rPr>
        <w:t xml:space="preserve"> </w:t>
      </w:r>
      <w:r>
        <w:rPr>
          <w:rStyle w:val="FunctionTok"/>
        </w:rPr>
        <w:t>mean</w:t>
      </w:r>
      <w:r>
        <w:rPr>
          <w:rStyle w:val="NormalTok"/>
        </w:rPr>
        <w:t>(dane</w:t>
      </w:r>
      <w:r>
        <w:rPr>
          <w:rStyle w:val="SpecialCharTok"/>
        </w:rPr>
        <w:t>$</w:t>
      </w:r>
      <w:r>
        <w:rPr>
          <w:rStyle w:val="NormalTok"/>
        </w:rPr>
        <w:t xml:space="preserve">wegiel_koks_tys_ton), </w:t>
      </w:r>
      <w:r>
        <w:br/>
      </w:r>
      <w:r>
        <w:rPr>
          <w:rStyle w:val="NormalTok"/>
        </w:rPr>
        <w:t xml:space="preserve">                            </w:t>
      </w:r>
      <w:r>
        <w:rPr>
          <w:rStyle w:val="AttributeTok"/>
        </w:rPr>
        <w:t>sd =</w:t>
      </w:r>
      <w:r>
        <w:rPr>
          <w:rStyle w:val="NormalTok"/>
        </w:rPr>
        <w:t xml:space="preserve"> </w:t>
      </w:r>
      <w:r>
        <w:rPr>
          <w:rStyle w:val="FunctionTok"/>
        </w:rPr>
        <w:t>sd</w:t>
      </w:r>
      <w:r>
        <w:rPr>
          <w:rStyle w:val="NormalTok"/>
        </w:rPr>
        <w:t>(dane</w:t>
      </w:r>
      <w:r>
        <w:rPr>
          <w:rStyle w:val="SpecialCharTok"/>
        </w:rPr>
        <w:t>$</w:t>
      </w:r>
      <w:r>
        <w:rPr>
          <w:rStyle w:val="NormalTok"/>
        </w:rPr>
        <w:t>wegiel_koks_tys_ton)),</w:t>
      </w:r>
      <w:r>
        <w:br/>
      </w:r>
      <w:r>
        <w:rPr>
          <w:rStyle w:val="NormalTok"/>
        </w:rPr>
        <w:t xml:space="preserve">                </w:t>
      </w:r>
      <w:r>
        <w:rPr>
          <w:rStyle w:val="AttributeTok"/>
        </w:rPr>
        <w:t>color =</w:t>
      </w:r>
      <w:r>
        <w:rPr>
          <w:rStyle w:val="NormalTok"/>
        </w:rPr>
        <w:t xml:space="preserve"> </w:t>
      </w:r>
      <w:r>
        <w:rPr>
          <w:rStyle w:val="StringTok"/>
        </w:rPr>
        <w:t>"#3498db"</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linewidth =</w:t>
      </w:r>
      <w:r>
        <w:rPr>
          <w:rStyle w:val="NormalTok"/>
        </w:rPr>
        <w:t xml:space="preserve"> </w:t>
      </w:r>
      <w:r>
        <w:rPr>
          <w:rStyle w:val="FloatTok"/>
        </w:rPr>
        <w:t>0.9</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FunctionTok"/>
        </w:rPr>
        <w:t>aes</w:t>
      </w:r>
      <w:r>
        <w:rPr>
          <w:rStyle w:val="NormalTok"/>
        </w:rPr>
        <w:t>(</w:t>
      </w:r>
      <w:r>
        <w:rPr>
          <w:rStyle w:val="AttributeTok"/>
        </w:rPr>
        <w:t>xintercept =</w:t>
      </w:r>
      <w:r>
        <w:rPr>
          <w:rStyle w:val="NormalTok"/>
        </w:rPr>
        <w:t xml:space="preserve"> </w:t>
      </w:r>
      <w:r>
        <w:rPr>
          <w:rStyle w:val="FunctionTok"/>
        </w:rPr>
        <w:t>mean</w:t>
      </w:r>
      <w:r>
        <w:rPr>
          <w:rStyle w:val="NormalTok"/>
        </w:rPr>
        <w:t xml:space="preserve">(wegiel_koks_tys_ton)), </w:t>
      </w:r>
      <w:r>
        <w:br/>
      </w:r>
      <w:r>
        <w:rPr>
          <w:rStyle w:val="NormalTok"/>
        </w:rPr>
        <w:t xml:space="preserve">             </w:t>
      </w:r>
      <w:r>
        <w:rPr>
          <w:rStyle w:val="AttributeTok"/>
        </w:rPr>
        <w:t>color =</w:t>
      </w:r>
      <w:r>
        <w:rPr>
          <w:rStyle w:val="NormalTok"/>
        </w:rPr>
        <w:t xml:space="preserve"> </w:t>
      </w:r>
      <w:r>
        <w:rPr>
          <w:rStyle w:val="StringTok"/>
        </w:rPr>
        <w:t>"#27ae60"</w:t>
      </w:r>
      <w:r>
        <w:rPr>
          <w:rStyle w:val="NormalTok"/>
        </w:rPr>
        <w:t xml:space="preserve">, </w:t>
      </w:r>
      <w:r>
        <w:rPr>
          <w:rStyle w:val="AttributeTok"/>
        </w:rPr>
        <w:t>linewidth =</w:t>
      </w:r>
      <w:r>
        <w:rPr>
          <w:rStyle w:val="NormalTok"/>
        </w:rPr>
        <w:t xml:space="preserve"> </w:t>
      </w:r>
      <w:r>
        <w:rPr>
          <w:rStyle w:val="FloatTok"/>
        </w:rPr>
        <w:t>0.9</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FunctionTok"/>
        </w:rPr>
        <w:t>aes</w:t>
      </w:r>
      <w:r>
        <w:rPr>
          <w:rStyle w:val="NormalTok"/>
        </w:rPr>
        <w:t>(</w:t>
      </w:r>
      <w:r>
        <w:rPr>
          <w:rStyle w:val="AttributeTok"/>
        </w:rPr>
        <w:t>xintercept =</w:t>
      </w:r>
      <w:r>
        <w:rPr>
          <w:rStyle w:val="NormalTok"/>
        </w:rPr>
        <w:t xml:space="preserve"> </w:t>
      </w:r>
      <w:r>
        <w:rPr>
          <w:rStyle w:val="FunctionTok"/>
        </w:rPr>
        <w:t>median</w:t>
      </w:r>
      <w:r>
        <w:rPr>
          <w:rStyle w:val="NormalTok"/>
        </w:rPr>
        <w:t xml:space="preserve">(wegiel_koks_tys_ton)), </w:t>
      </w:r>
      <w:r>
        <w:br/>
      </w:r>
      <w:r>
        <w:rPr>
          <w:rStyle w:val="NormalTok"/>
        </w:rPr>
        <w:t xml:space="preserve">             </w:t>
      </w:r>
      <w:r>
        <w:rPr>
          <w:rStyle w:val="AttributeTok"/>
        </w:rPr>
        <w:t>color =</w:t>
      </w:r>
      <w:r>
        <w:rPr>
          <w:rStyle w:val="NormalTok"/>
        </w:rPr>
        <w:t xml:space="preserve"> </w:t>
      </w:r>
      <w:r>
        <w:rPr>
          <w:rStyle w:val="StringTok"/>
        </w:rPr>
        <w:t>"#f39c12"</w:t>
      </w:r>
      <w:r>
        <w:rPr>
          <w:rStyle w:val="NormalTok"/>
        </w:rPr>
        <w:t xml:space="preserve">, </w:t>
      </w:r>
      <w:r>
        <w:rPr>
          <w:rStyle w:val="AttributeTok"/>
        </w:rPr>
        <w:t>linewidth =</w:t>
      </w:r>
      <w:r>
        <w:rPr>
          <w:rStyle w:val="NormalTok"/>
        </w:rPr>
        <w:t xml:space="preserve"> </w:t>
      </w:r>
      <w:r>
        <w:rPr>
          <w:rStyle w:val="FloatTok"/>
        </w:rPr>
        <w:t>0.9</w:t>
      </w:r>
      <w:r>
        <w:rPr>
          <w:rStyle w:val="NormalTok"/>
        </w:rPr>
        <w:t xml:space="preserve">, </w:t>
      </w:r>
      <w:r>
        <w:rPr>
          <w:rStyle w:val="AttributeTok"/>
        </w:rPr>
        <w:t>linetype =</w:t>
      </w:r>
      <w:r>
        <w:rPr>
          <w:rStyle w:val="NormalTok"/>
        </w:rPr>
        <w:t xml:space="preserve"> </w:t>
      </w:r>
      <w:r>
        <w:rPr>
          <w:rStyle w:val="StringTok"/>
        </w:rPr>
        <w:t>"dotted"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"Rysunek 1. Histogram przeładunków węgla i koksu"</w:t>
      </w:r>
      <w:r>
        <w:rPr>
          <w:rStyle w:val="NormalTok"/>
        </w:rPr>
        <w:t>,</w:t>
      </w:r>
      <w:r>
        <w:br/>
      </w:r>
      <w:r>
        <w:rPr>
          <w:rStyle w:val="NormalTok"/>
        </w:rPr>
        <w:t xml:space="preserve">    </w:t>
      </w:r>
      <w:r>
        <w:rPr>
          <w:rStyle w:val="AttributeTok"/>
        </w:rPr>
        <w:t>subtitle =</w:t>
      </w:r>
      <w:r>
        <w:rPr>
          <w:rStyle w:val="NormalTok"/>
        </w:rPr>
        <w:t xml:space="preserve"> </w:t>
      </w:r>
      <w:r>
        <w:rPr>
          <w:rStyle w:val="StringTok"/>
        </w:rPr>
        <w:t>"Rozkład empiryczny na tle teoretycznego rozkładu normalnego"</w:t>
      </w:r>
      <w:r>
        <w:rPr>
          <w:rStyle w:val="NormalTok"/>
        </w:rPr>
        <w:t>,</w:t>
      </w:r>
      <w:r>
        <w:br/>
      </w:r>
      <w:r>
        <w:rPr>
          <w:rStyle w:val="NormalTok"/>
        </w:rPr>
        <w:t xml:space="preserve">    </w:t>
      </w:r>
      <w:r>
        <w:rPr>
          <w:rStyle w:val="AttributeTok"/>
        </w:rPr>
        <w:t>x =</w:t>
      </w:r>
      <w:r>
        <w:rPr>
          <w:rStyle w:val="NormalTok"/>
        </w:rPr>
        <w:t xml:space="preserve"> </w:t>
      </w:r>
      <w:r>
        <w:rPr>
          <w:rStyle w:val="StringTok"/>
        </w:rPr>
        <w:t>"Przeładunki węgla i koksu (tys. ton)"</w:t>
      </w:r>
      <w:r>
        <w:rPr>
          <w:rStyle w:val="NormalTok"/>
        </w:rPr>
        <w:t>,</w:t>
      </w:r>
      <w:r>
        <w:br/>
      </w:r>
      <w:r>
        <w:rPr>
          <w:rStyle w:val="NormalTok"/>
        </w:rPr>
        <w:t xml:space="preserve">    </w:t>
      </w:r>
      <w:r>
        <w:rPr>
          <w:rStyle w:val="AttributeTok"/>
        </w:rPr>
        <w:t>y =</w:t>
      </w:r>
      <w:r>
        <w:rPr>
          <w:rStyle w:val="NormalTok"/>
        </w:rPr>
        <w:t xml:space="preserve"> </w:t>
      </w:r>
      <w:r>
        <w:rPr>
          <w:rStyle w:val="StringTok"/>
        </w:rPr>
        <w:t>"Gęstość prawdopodobieństwa"</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10</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10</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AttributeTok"/>
        </w:rPr>
        <w:t>hjust =</w:t>
      </w:r>
      <w:r>
        <w:rPr>
          <w:rStyle w:val="NormalTok"/>
        </w:rPr>
        <w:t xml:space="preserve"> </w:t>
      </w:r>
      <w:r>
        <w:rPr>
          <w:rStyle w:val="DecValTok"/>
        </w:rPr>
        <w:t>0</w:t>
      </w:r>
      <w:r>
        <w:rPr>
          <w:rStyle w:val="NormalTok"/>
        </w:rPr>
        <w:t>),</w:t>
      </w:r>
      <w:r>
        <w:br/>
      </w:r>
      <w:r>
        <w:rPr>
          <w:rStyle w:val="NormalTok"/>
        </w:rPr>
        <w:t xml:space="preserve">    </w:t>
      </w:r>
      <w:r>
        <w:rPr>
          <w:rStyle w:val="AttributeTok"/>
        </w:rPr>
        <w:t>plot.subtitle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FloatTok"/>
        </w:rPr>
        <w:t>8.5</w:t>
      </w:r>
      <w:r>
        <w:rPr>
          <w:rStyle w:val="NormalTok"/>
        </w:rPr>
        <w:t xml:space="preserve">, </w:t>
      </w:r>
      <w:r>
        <w:rPr>
          <w:rStyle w:val="AttributeTok"/>
        </w:rPr>
        <w:t>color =</w:t>
      </w:r>
      <w:r>
        <w:rPr>
          <w:rStyle w:val="NormalTok"/>
        </w:rPr>
        <w:t xml:space="preserve"> </w:t>
      </w:r>
      <w:r>
        <w:rPr>
          <w:rStyle w:val="StringTok"/>
        </w:rPr>
        <w:t>"#444444"</w:t>
      </w:r>
      <w:r>
        <w:rPr>
          <w:rStyle w:val="NormalTok"/>
        </w:rPr>
        <w:t>),</w:t>
      </w:r>
      <w:r>
        <w:br/>
      </w:r>
      <w:r>
        <w:rPr>
          <w:rStyle w:val="NormalTok"/>
        </w:rPr>
        <w:t xml:space="preserve">    </w:t>
      </w:r>
      <w:r>
        <w:rPr>
          <w:rStyle w:val="AttributeTok"/>
        </w:rPr>
        <w:t>plot.margin =</w:t>
      </w:r>
      <w:r>
        <w:rPr>
          <w:rStyle w:val="NormalTok"/>
        </w:rPr>
        <w:t xml:space="preserve"> </w:t>
      </w:r>
      <w:r>
        <w:rPr>
          <w:rStyle w:val="FunctionTok"/>
        </w:rPr>
        <w:t>margin</w:t>
      </w:r>
      <w:r>
        <w:rPr>
          <w:rStyle w:val="NormalTok"/>
        </w:rPr>
        <w:t>(</w:t>
      </w:r>
      <w:r>
        <w:rPr>
          <w:rStyle w:val="AttributeTok"/>
        </w:rPr>
        <w:t>t =</w:t>
      </w:r>
      <w:r>
        <w:rPr>
          <w:rStyle w:val="NormalTok"/>
        </w:rPr>
        <w:t xml:space="preserve"> </w:t>
      </w:r>
      <w:r>
        <w:rPr>
          <w:rStyle w:val="DecValTok"/>
        </w:rPr>
        <w:t>10</w:t>
      </w:r>
      <w:r>
        <w:rPr>
          <w:rStyle w:val="NormalTok"/>
        </w:rPr>
        <w:t xml:space="preserve">, </w:t>
      </w:r>
      <w:r>
        <w:rPr>
          <w:rStyle w:val="AttributeTok"/>
        </w:rPr>
        <w:t>r =</w:t>
      </w:r>
      <w:r>
        <w:rPr>
          <w:rStyle w:val="NormalTok"/>
        </w:rPr>
        <w:t xml:space="preserve"> </w:t>
      </w:r>
      <w:r>
        <w:rPr>
          <w:rStyle w:val="DecValTok"/>
        </w:rPr>
        <w:t>25</w:t>
      </w:r>
      <w:r>
        <w:rPr>
          <w:rStyle w:val="NormalTok"/>
        </w:rPr>
        <w:t xml:space="preserve">, </w:t>
      </w:r>
      <w:r>
        <w:rPr>
          <w:rStyle w:val="AttributeTok"/>
        </w:rPr>
        <w:t>b =</w:t>
      </w:r>
      <w:r>
        <w:rPr>
          <w:rStyle w:val="NormalTok"/>
        </w:rPr>
        <w:t xml:space="preserve"> </w:t>
      </w:r>
      <w:r>
        <w:rPr>
          <w:rStyle w:val="DecValTok"/>
        </w:rPr>
        <w:t>10</w:t>
      </w:r>
      <w:r>
        <w:rPr>
          <w:rStyle w:val="NormalTok"/>
        </w:rPr>
        <w:t xml:space="preserve">, </w:t>
      </w:r>
      <w:r>
        <w:rPr>
          <w:rStyle w:val="AttributeTok"/>
        </w:rPr>
        <w:t>l =</w:t>
      </w:r>
      <w:r>
        <w:rPr>
          <w:rStyle w:val="NormalTok"/>
        </w:rPr>
        <w:t xml:space="preserve"> </w:t>
      </w:r>
      <w:r>
        <w:rPr>
          <w:rStyle w:val="DecValTok"/>
        </w:rPr>
        <w:t>10</w:t>
      </w:r>
      <w:r>
        <w:rPr>
          <w:rStyle w:val="NormalTok"/>
        </w:rPr>
        <w:t>)</w:t>
      </w:r>
      <w:r>
        <w:br/>
      </w:r>
      <w:r>
        <w:rPr>
          <w:rStyle w:val="NormalTok"/>
        </w:rPr>
        <w:t xml:space="preserve">  )</w:t>
      </w:r>
    </w:p>
    <w:p w14:paraId="35B0FE2D" w14:textId="77777777" w:rsidR="005F7517" w:rsidRDefault="00927BF8">
      <w:pPr>
        <w:pStyle w:val="FirstParagraph"/>
      </w:pPr>
      <w:r>
        <w:rPr>
          <w:noProof/>
        </w:rPr>
        <w:drawing>
          <wp:inline distT="0" distB="0" distL="0" distR="0" wp14:anchorId="23ABEE63" wp14:editId="15E50464">
            <wp:extent cx="5334000" cy="309716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analiza_statystyczna_Dominika_files/figure-docx/wykres_histogram-1.png"/>
                    <pic:cNvPicPr>
                      <a:picLocks noChangeAspect="1" noChangeArrowheads="1"/>
                    </pic:cNvPicPr>
                  </pic:nvPicPr>
                  <pic:blipFill>
                    <a:blip r:embed="rId6"/>
                    <a:stretch>
                      <a:fillRect/>
                    </a:stretch>
                  </pic:blipFill>
                  <pic:spPr bwMode="auto">
                    <a:xfrm>
                      <a:off x="0" y="0"/>
                      <a:ext cx="5334000" cy="3097161"/>
                    </a:xfrm>
                    <a:prstGeom prst="rect">
                      <a:avLst/>
                    </a:prstGeom>
                    <a:noFill/>
                    <a:ln w="9525">
                      <a:noFill/>
                      <a:headEnd/>
                      <a:tailEnd/>
                    </a:ln>
                  </pic:spPr>
                </pic:pic>
              </a:graphicData>
            </a:graphic>
          </wp:inline>
        </w:drawing>
      </w:r>
    </w:p>
    <w:p w14:paraId="6213E527" w14:textId="77777777" w:rsidR="005F7517" w:rsidRDefault="00927BF8">
      <w:pPr>
        <w:pStyle w:val="Tekstpodstawowy"/>
      </w:pPr>
      <w:r>
        <w:rPr>
          <w:i/>
          <w:iCs/>
        </w:rPr>
        <w:t>Komentarz do wykresu 1:</w:t>
      </w:r>
      <w:r>
        <w:t xml:space="preserve"> </w:t>
      </w:r>
      <w:r>
        <w:t>Histogram jednoznacznie ilustruje skośność prawostronną. Większość obserwacji skupia się w przedziale 600–1100 tys. ton. Po prawej stronie widoczny jest wydłużony ogon sięgający wartości powyżej 3000 tys. ton. Rozkład empiryczny (linia czerwona) wyraźnie odbiega od symetrycznego rozkładu Gaussa (linia niebieska), co zapowiada odrzucenie hipotezy o normalności rozkładu.</w:t>
      </w:r>
    </w:p>
    <w:p w14:paraId="304AFD15" w14:textId="77777777" w:rsidR="005F7517" w:rsidRDefault="00927BF8">
      <w:r>
        <w:br w:type="page"/>
      </w:r>
    </w:p>
    <w:p w14:paraId="47DBE865" w14:textId="77777777" w:rsidR="005F7517" w:rsidRDefault="00927BF8">
      <w:pPr>
        <w:pStyle w:val="Nagwek2"/>
      </w:pPr>
      <w:bookmarkStart w:id="15" w:name="Xa00522ec0866e233b84f506f5bea74aa6a9239e"/>
      <w:bookmarkEnd w:id="14"/>
      <w:r>
        <w:t>Typ 2: Wykres pudełkowy (Boxplot) z podziałem na okresy</w:t>
      </w:r>
    </w:p>
    <w:p w14:paraId="5A6F3565" w14:textId="77777777" w:rsidR="005F7517" w:rsidRDefault="00927BF8">
      <w:pPr>
        <w:pStyle w:val="SourceCode"/>
      </w:pPr>
      <w:r>
        <w:rPr>
          <w:rStyle w:val="FunctionTok"/>
        </w:rPr>
        <w:t>ggplot</w:t>
      </w:r>
      <w:r>
        <w:rPr>
          <w:rStyle w:val="NormalTok"/>
        </w:rPr>
        <w:t xml:space="preserve">(dane, </w:t>
      </w:r>
      <w:r>
        <w:rPr>
          <w:rStyle w:val="FunctionTok"/>
        </w:rPr>
        <w:t>aes</w:t>
      </w:r>
      <w:r>
        <w:rPr>
          <w:rStyle w:val="NormalTok"/>
        </w:rPr>
        <w:t>(</w:t>
      </w:r>
      <w:r>
        <w:rPr>
          <w:rStyle w:val="AttributeTok"/>
        </w:rPr>
        <w:t>x =</w:t>
      </w:r>
      <w:r>
        <w:rPr>
          <w:rStyle w:val="NormalTok"/>
        </w:rPr>
        <w:t xml:space="preserve"> okres_badania, </w:t>
      </w:r>
      <w:r>
        <w:rPr>
          <w:rStyle w:val="AttributeTok"/>
        </w:rPr>
        <w:t>y =</w:t>
      </w:r>
      <w:r>
        <w:rPr>
          <w:rStyle w:val="NormalTok"/>
        </w:rPr>
        <w:t xml:space="preserve"> wegiel_koks_tys_ton, </w:t>
      </w:r>
      <w:r>
        <w:rPr>
          <w:rStyle w:val="AttributeTok"/>
        </w:rPr>
        <w:t>fill =</w:t>
      </w:r>
      <w:r>
        <w:rPr>
          <w:rStyle w:val="NormalTok"/>
        </w:rPr>
        <w:t xml:space="preserve"> okres_badania)) </w:t>
      </w:r>
      <w:r>
        <w:rPr>
          <w:rStyle w:val="SpecialCharTok"/>
        </w:rPr>
        <w:t>+</w:t>
      </w:r>
      <w:r>
        <w:br/>
      </w:r>
      <w:r>
        <w:rPr>
          <w:rStyle w:val="NormalTok"/>
        </w:rPr>
        <w:t xml:space="preserve">  </w:t>
      </w:r>
      <w:r>
        <w:rPr>
          <w:rStyle w:val="FunctionTok"/>
        </w:rPr>
        <w:t>geom_boxplot</w:t>
      </w:r>
      <w:r>
        <w:rPr>
          <w:rStyle w:val="NormalTok"/>
        </w:rPr>
        <w:t>(</w:t>
      </w:r>
      <w:r>
        <w:rPr>
          <w:rStyle w:val="AttributeTok"/>
        </w:rPr>
        <w:t>alpha =</w:t>
      </w:r>
      <w:r>
        <w:rPr>
          <w:rStyle w:val="NormalTok"/>
        </w:rPr>
        <w:t xml:space="preserve"> </w:t>
      </w:r>
      <w:r>
        <w:rPr>
          <w:rStyle w:val="FloatTok"/>
        </w:rPr>
        <w:t>0.75</w:t>
      </w:r>
      <w:r>
        <w:rPr>
          <w:rStyle w:val="NormalTok"/>
        </w:rPr>
        <w:t xml:space="preserve">, </w:t>
      </w:r>
      <w:r>
        <w:rPr>
          <w:rStyle w:val="AttributeTok"/>
        </w:rPr>
        <w:t>outlier.color =</w:t>
      </w:r>
      <w:r>
        <w:rPr>
          <w:rStyle w:val="NormalTok"/>
        </w:rPr>
        <w:t xml:space="preserve"> </w:t>
      </w:r>
      <w:r>
        <w:rPr>
          <w:rStyle w:val="StringTok"/>
        </w:rPr>
        <w:t>"#c0392b"</w:t>
      </w:r>
      <w:r>
        <w:rPr>
          <w:rStyle w:val="NormalTok"/>
        </w:rPr>
        <w:t xml:space="preserve">, </w:t>
      </w:r>
      <w:r>
        <w:rPr>
          <w:rStyle w:val="AttributeTok"/>
        </w:rPr>
        <w:t>outlier.size =</w:t>
      </w:r>
      <w:r>
        <w:rPr>
          <w:rStyle w:val="NormalTok"/>
        </w:rPr>
        <w:t xml:space="preserve"> </w:t>
      </w:r>
      <w:r>
        <w:rPr>
          <w:rStyle w:val="FloatTok"/>
        </w:rPr>
        <w:t>2.5</w:t>
      </w:r>
      <w:r>
        <w:rPr>
          <w:rStyle w:val="NormalTok"/>
        </w:rPr>
        <w:t xml:space="preserve">, </w:t>
      </w:r>
      <w:r>
        <w:rPr>
          <w:rStyle w:val="AttributeTok"/>
        </w:rPr>
        <w:t>outlier.shape =</w:t>
      </w:r>
      <w:r>
        <w:rPr>
          <w:rStyle w:val="NormalTok"/>
        </w:rPr>
        <w:t xml:space="preserve"> </w:t>
      </w:r>
      <w:r>
        <w:rPr>
          <w:rStyle w:val="DecValTok"/>
        </w:rPr>
        <w:t>19</w:t>
      </w:r>
      <w:r>
        <w:rPr>
          <w:rStyle w:val="NormalTok"/>
        </w:rPr>
        <w:t xml:space="preserve">) </w:t>
      </w:r>
      <w:r>
        <w:rPr>
          <w:rStyle w:val="SpecialCharTok"/>
        </w:rPr>
        <w:t>+</w:t>
      </w:r>
      <w:r>
        <w:br/>
      </w:r>
      <w:r>
        <w:rPr>
          <w:rStyle w:val="NormalTok"/>
        </w:rPr>
        <w:t xml:space="preserve">  </w:t>
      </w:r>
      <w:r>
        <w:rPr>
          <w:rStyle w:val="FunctionTok"/>
        </w:rPr>
        <w:t>stat_summary</w:t>
      </w:r>
      <w:r>
        <w:rPr>
          <w:rStyle w:val="NormalTok"/>
        </w:rPr>
        <w:t>(</w:t>
      </w:r>
      <w:r>
        <w:rPr>
          <w:rStyle w:val="AttributeTok"/>
        </w:rPr>
        <w:t>fun =</w:t>
      </w:r>
      <w:r>
        <w:rPr>
          <w:rStyle w:val="NormalTok"/>
        </w:rPr>
        <w:t xml:space="preserve"> mean, </w:t>
      </w:r>
      <w:r>
        <w:rPr>
          <w:rStyle w:val="AttributeTok"/>
        </w:rPr>
        <w:t>geom =</w:t>
      </w:r>
      <w:r>
        <w:rPr>
          <w:rStyle w:val="NormalTok"/>
        </w:rPr>
        <w:t xml:space="preserve"> </w:t>
      </w:r>
      <w:r>
        <w:rPr>
          <w:rStyle w:val="StringTok"/>
        </w:rPr>
        <w:t>"point"</w:t>
      </w:r>
      <w:r>
        <w:rPr>
          <w:rStyle w:val="NormalTok"/>
        </w:rPr>
        <w:t xml:space="preserve">, </w:t>
      </w:r>
      <w:r>
        <w:rPr>
          <w:rStyle w:val="AttributeTok"/>
        </w:rPr>
        <w:t>shape =</w:t>
      </w:r>
      <w:r>
        <w:rPr>
          <w:rStyle w:val="NormalTok"/>
        </w:rPr>
        <w:t xml:space="preserve"> </w:t>
      </w:r>
      <w:r>
        <w:rPr>
          <w:rStyle w:val="DecValTok"/>
        </w:rPr>
        <w:t>18</w:t>
      </w:r>
      <w:r>
        <w:rPr>
          <w:rStyle w:val="NormalTok"/>
        </w:rPr>
        <w:t xml:space="preserve">, </w:t>
      </w:r>
      <w:r>
        <w:rPr>
          <w:rStyle w:val="AttributeTok"/>
        </w:rPr>
        <w:t>size =</w:t>
      </w:r>
      <w:r>
        <w:rPr>
          <w:rStyle w:val="NormalTok"/>
        </w:rPr>
        <w:t xml:space="preserve"> </w:t>
      </w:r>
      <w:r>
        <w:rPr>
          <w:rStyle w:val="DecValTok"/>
        </w:rPr>
        <w:t>4</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"#2980b9"</w:t>
      </w:r>
      <w:r>
        <w:rPr>
          <w:rStyle w:val="NormalTok"/>
        </w:rPr>
        <w:t xml:space="preserve">, </w:t>
      </w:r>
      <w:r>
        <w:rPr>
          <w:rStyle w:val="StringTok"/>
        </w:rPr>
        <w:t>"#d35400"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"Rysunek 2. Wykres pudełkowy przeładunków węgla i koksu"</w:t>
      </w:r>
      <w:r>
        <w:rPr>
          <w:rStyle w:val="NormalTok"/>
        </w:rPr>
        <w:t>,</w:t>
      </w:r>
      <w:r>
        <w:br/>
      </w:r>
      <w:r>
        <w:rPr>
          <w:rStyle w:val="NormalTok"/>
        </w:rPr>
        <w:t xml:space="preserve">    </w:t>
      </w:r>
      <w:r>
        <w:rPr>
          <w:rStyle w:val="AttributeTok"/>
        </w:rPr>
        <w:t>subtitle =</w:t>
      </w:r>
      <w:r>
        <w:rPr>
          <w:rStyle w:val="NormalTok"/>
        </w:rPr>
        <w:t xml:space="preserve"> </w:t>
      </w:r>
      <w:r>
        <w:rPr>
          <w:rStyle w:val="StringTok"/>
        </w:rPr>
        <w:t>"Porównanie rozkładów w podziale na okres stabilny i kryzysowy"</w:t>
      </w:r>
      <w:r>
        <w:rPr>
          <w:rStyle w:val="NormalTok"/>
        </w:rPr>
        <w:t>,</w:t>
      </w:r>
      <w:r>
        <w:br/>
      </w:r>
      <w:r>
        <w:rPr>
          <w:rStyle w:val="NormalTok"/>
        </w:rPr>
        <w:t xml:space="preserve">    </w:t>
      </w:r>
      <w:r>
        <w:rPr>
          <w:rStyle w:val="AttributeTok"/>
        </w:rPr>
        <w:t>x =</w:t>
      </w:r>
      <w:r>
        <w:rPr>
          <w:rStyle w:val="NormalTok"/>
        </w:rPr>
        <w:t xml:space="preserve"> </w:t>
      </w:r>
      <w:r>
        <w:rPr>
          <w:rStyle w:val="StringTok"/>
        </w:rPr>
        <w:t>"Okres analizy"</w:t>
      </w:r>
      <w:r>
        <w:rPr>
          <w:rStyle w:val="NormalTok"/>
        </w:rPr>
        <w:t>,</w:t>
      </w:r>
      <w:r>
        <w:br/>
      </w:r>
      <w:r>
        <w:rPr>
          <w:rStyle w:val="NormalTok"/>
        </w:rPr>
        <w:t xml:space="preserve">    </w:t>
      </w:r>
      <w:r>
        <w:rPr>
          <w:rStyle w:val="AttributeTok"/>
        </w:rPr>
        <w:t>y =</w:t>
      </w:r>
      <w:r>
        <w:rPr>
          <w:rStyle w:val="NormalTok"/>
        </w:rPr>
        <w:t xml:space="preserve"> </w:t>
      </w:r>
      <w:r>
        <w:rPr>
          <w:rStyle w:val="StringTok"/>
        </w:rPr>
        <w:t>"Przeładunki węgla i koksu (tys. ton)"</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10</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10</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AttributeTok"/>
        </w:rPr>
        <w:t>hjust =</w:t>
      </w:r>
      <w:r>
        <w:rPr>
          <w:rStyle w:val="NormalTok"/>
        </w:rPr>
        <w:t xml:space="preserve"> </w:t>
      </w:r>
      <w:r>
        <w:rPr>
          <w:rStyle w:val="DecValTok"/>
        </w:rPr>
        <w:t>0</w:t>
      </w:r>
      <w:r>
        <w:rPr>
          <w:rStyle w:val="NormalTok"/>
        </w:rPr>
        <w:t>),</w:t>
      </w:r>
      <w:r>
        <w:br/>
      </w:r>
      <w:r>
        <w:rPr>
          <w:rStyle w:val="NormalTok"/>
        </w:rPr>
        <w:t xml:space="preserve">    </w:t>
      </w:r>
      <w:r>
        <w:rPr>
          <w:rStyle w:val="AttributeTok"/>
        </w:rPr>
        <w:t>plot.subtitle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FloatTok"/>
        </w:rPr>
        <w:t>8.5</w:t>
      </w:r>
      <w:r>
        <w:rPr>
          <w:rStyle w:val="NormalTok"/>
        </w:rPr>
        <w:t xml:space="preserve">, </w:t>
      </w:r>
      <w:r>
        <w:rPr>
          <w:rStyle w:val="AttributeTok"/>
        </w:rPr>
        <w:t>color =</w:t>
      </w:r>
      <w:r>
        <w:rPr>
          <w:rStyle w:val="NormalTok"/>
        </w:rPr>
        <w:t xml:space="preserve"> </w:t>
      </w:r>
      <w:r>
        <w:rPr>
          <w:rStyle w:val="StringTok"/>
        </w:rPr>
        <w:t>"#444444"</w:t>
      </w:r>
      <w:r>
        <w:rPr>
          <w:rStyle w:val="NormalTok"/>
        </w:rPr>
        <w:t>),</w:t>
      </w:r>
      <w:r>
        <w:br/>
      </w:r>
      <w:r>
        <w:rPr>
          <w:rStyle w:val="NormalTok"/>
        </w:rPr>
        <w:t xml:space="preserve">    </w:t>
      </w:r>
      <w:r>
        <w:rPr>
          <w:rStyle w:val="AttributeTok"/>
        </w:rPr>
        <w:t>plot.margin =</w:t>
      </w:r>
      <w:r>
        <w:rPr>
          <w:rStyle w:val="NormalTok"/>
        </w:rPr>
        <w:t xml:space="preserve"> </w:t>
      </w:r>
      <w:r>
        <w:rPr>
          <w:rStyle w:val="FunctionTok"/>
        </w:rPr>
        <w:t>margin</w:t>
      </w:r>
      <w:r>
        <w:rPr>
          <w:rStyle w:val="NormalTok"/>
        </w:rPr>
        <w:t>(</w:t>
      </w:r>
      <w:r>
        <w:rPr>
          <w:rStyle w:val="AttributeTok"/>
        </w:rPr>
        <w:t>t =</w:t>
      </w:r>
      <w:r>
        <w:rPr>
          <w:rStyle w:val="NormalTok"/>
        </w:rPr>
        <w:t xml:space="preserve"> </w:t>
      </w:r>
      <w:r>
        <w:rPr>
          <w:rStyle w:val="DecValTok"/>
        </w:rPr>
        <w:t>10</w:t>
      </w:r>
      <w:r>
        <w:rPr>
          <w:rStyle w:val="NormalTok"/>
        </w:rPr>
        <w:t xml:space="preserve">, </w:t>
      </w:r>
      <w:r>
        <w:rPr>
          <w:rStyle w:val="AttributeTok"/>
        </w:rPr>
        <w:t>r =</w:t>
      </w:r>
      <w:r>
        <w:rPr>
          <w:rStyle w:val="NormalTok"/>
        </w:rPr>
        <w:t xml:space="preserve"> </w:t>
      </w:r>
      <w:r>
        <w:rPr>
          <w:rStyle w:val="DecValTok"/>
        </w:rPr>
        <w:t>25</w:t>
      </w:r>
      <w:r>
        <w:rPr>
          <w:rStyle w:val="NormalTok"/>
        </w:rPr>
        <w:t xml:space="preserve">, </w:t>
      </w:r>
      <w:r>
        <w:rPr>
          <w:rStyle w:val="AttributeTok"/>
        </w:rPr>
        <w:t>b =</w:t>
      </w:r>
      <w:r>
        <w:rPr>
          <w:rStyle w:val="NormalTok"/>
        </w:rPr>
        <w:t xml:space="preserve"> </w:t>
      </w:r>
      <w:r>
        <w:rPr>
          <w:rStyle w:val="DecValTok"/>
        </w:rPr>
        <w:t>10</w:t>
      </w:r>
      <w:r>
        <w:rPr>
          <w:rStyle w:val="NormalTok"/>
        </w:rPr>
        <w:t xml:space="preserve">, </w:t>
      </w:r>
      <w:r>
        <w:rPr>
          <w:rStyle w:val="AttributeTok"/>
        </w:rPr>
        <w:t>l =</w:t>
      </w:r>
      <w:r>
        <w:rPr>
          <w:rStyle w:val="NormalTok"/>
        </w:rPr>
        <w:t xml:space="preserve"> </w:t>
      </w:r>
      <w:r>
        <w:rPr>
          <w:rStyle w:val="DecValTok"/>
        </w:rPr>
        <w:t>10</w:t>
      </w:r>
      <w:r>
        <w:rPr>
          <w:rStyle w:val="NormalTok"/>
        </w:rPr>
        <w:t>),</w:t>
      </w:r>
      <w:r>
        <w:br/>
      </w:r>
      <w:r>
        <w:rPr>
          <w:rStyle w:val="NormalTok"/>
        </w:rPr>
        <w:t xml:space="preserve">    </w:t>
      </w:r>
      <w:r>
        <w:rPr>
          <w:rStyle w:val="AttributeTok"/>
        </w:rPr>
        <w:t>legend.position =</w:t>
      </w:r>
      <w:r>
        <w:rPr>
          <w:rStyle w:val="NormalTok"/>
        </w:rPr>
        <w:t xml:space="preserve"> </w:t>
      </w:r>
      <w:r>
        <w:rPr>
          <w:rStyle w:val="StringTok"/>
        </w:rPr>
        <w:t>"none"</w:t>
      </w:r>
      <w:r>
        <w:br/>
      </w:r>
      <w:r>
        <w:rPr>
          <w:rStyle w:val="NormalTok"/>
        </w:rPr>
        <w:t xml:space="preserve">  )</w:t>
      </w:r>
    </w:p>
    <w:p w14:paraId="77604133" w14:textId="77777777" w:rsidR="005F7517" w:rsidRDefault="00927BF8">
      <w:pPr>
        <w:pStyle w:val="FirstParagraph"/>
      </w:pPr>
      <w:r>
        <w:rPr>
          <w:noProof/>
        </w:rPr>
        <w:drawing>
          <wp:inline distT="0" distB="0" distL="0" distR="0" wp14:anchorId="0DE61B31" wp14:editId="4FADD661">
            <wp:extent cx="5334000" cy="309716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analiza_statystyczna_Dominika_files/figure-docx/wykres_boxplot-1.png"/>
                    <pic:cNvPicPr>
                      <a:picLocks noChangeAspect="1" noChangeArrowheads="1"/>
                    </pic:cNvPicPr>
                  </pic:nvPicPr>
                  <pic:blipFill>
                    <a:blip r:embed="rId7"/>
                    <a:stretch>
                      <a:fillRect/>
                    </a:stretch>
                  </pic:blipFill>
                  <pic:spPr bwMode="auto">
                    <a:xfrm>
                      <a:off x="0" y="0"/>
                      <a:ext cx="5334000" cy="3097161"/>
                    </a:xfrm>
                    <a:prstGeom prst="rect">
                      <a:avLst/>
                    </a:prstGeom>
                    <a:noFill/>
                    <a:ln w="9525">
                      <a:noFill/>
                      <a:headEnd/>
                      <a:tailEnd/>
                    </a:ln>
                  </pic:spPr>
                </pic:pic>
              </a:graphicData>
            </a:graphic>
          </wp:inline>
        </w:drawing>
      </w:r>
    </w:p>
    <w:p w14:paraId="42B235BE" w14:textId="77777777" w:rsidR="005F7517" w:rsidRDefault="00927BF8">
      <w:pPr>
        <w:pStyle w:val="Tekstpodstawowy"/>
      </w:pPr>
      <w:r>
        <w:rPr>
          <w:i/>
          <w:iCs/>
        </w:rPr>
        <w:t>Komentarz do wykresu 2:</w:t>
      </w:r>
      <w:r>
        <w:t xml:space="preserve"> </w:t>
      </w:r>
      <w:r>
        <w:t>Wykres pudełkowy uwypukla kolosalną zmianę strukturalną. W okresie 2010–2021 rozstęp międzykwartylowy był zwarty, a mediana wynosiła około 830 tys. ton. Z kolei po 2022 roku zarówno „pudełko” (IQR), jak i rozpiętość wąsów gwałtownie wzrosły, a w okresie kryzysowym wystąpiła seria wyraźnych wartości odstających (</w:t>
      </w:r>
      <w:r>
        <w:rPr>
          <w:i/>
          <w:iCs/>
        </w:rPr>
        <w:t>outliers</w:t>
      </w:r>
      <w:r>
        <w:t>) przekraczających 2500–3400 tys. ton. Średnia (romb) w okresie kryzysowym leży znacznie powyżej mediany.</w:t>
      </w:r>
    </w:p>
    <w:p w14:paraId="49C4895F" w14:textId="77777777" w:rsidR="005F7517" w:rsidRDefault="00927BF8">
      <w:r>
        <w:br w:type="page"/>
      </w:r>
    </w:p>
    <w:p w14:paraId="13D6E911" w14:textId="77777777" w:rsidR="005F7517" w:rsidRDefault="00927BF8">
      <w:pPr>
        <w:pStyle w:val="Nagwek2"/>
      </w:pPr>
      <w:bookmarkStart w:id="16" w:name="typ-3-dystrybuanta-empiryczna-ecdf"/>
      <w:bookmarkEnd w:id="15"/>
      <w:r>
        <w:t>Typ 3: Dystrybuanta empiryczna (ECDF)</w:t>
      </w:r>
    </w:p>
    <w:p w14:paraId="36B7E5B4" w14:textId="77777777" w:rsidR="005F7517" w:rsidRDefault="00927BF8">
      <w:pPr>
        <w:pStyle w:val="SourceCode"/>
      </w:pPr>
      <w:r>
        <w:rPr>
          <w:rStyle w:val="FunctionTok"/>
        </w:rPr>
        <w:t>ggplot</w:t>
      </w:r>
      <w:r>
        <w:rPr>
          <w:rStyle w:val="NormalTok"/>
        </w:rPr>
        <w:t xml:space="preserve">(dane, </w:t>
      </w:r>
      <w:r>
        <w:rPr>
          <w:rStyle w:val="FunctionTok"/>
        </w:rPr>
        <w:t>aes</w:t>
      </w:r>
      <w:r>
        <w:rPr>
          <w:rStyle w:val="NormalTok"/>
        </w:rPr>
        <w:t>(</w:t>
      </w:r>
      <w:r>
        <w:rPr>
          <w:rStyle w:val="AttributeTok"/>
        </w:rPr>
        <w:t>x =</w:t>
      </w:r>
      <w:r>
        <w:rPr>
          <w:rStyle w:val="NormalTok"/>
        </w:rPr>
        <w:t xml:space="preserve"> wegiel_koks_tys_ton, </w:t>
      </w:r>
      <w:r>
        <w:rPr>
          <w:rStyle w:val="AttributeTok"/>
        </w:rPr>
        <w:t>color =</w:t>
      </w:r>
      <w:r>
        <w:rPr>
          <w:rStyle w:val="NormalTok"/>
        </w:rPr>
        <w:t xml:space="preserve"> okres_badania)) </w:t>
      </w:r>
      <w:r>
        <w:rPr>
          <w:rStyle w:val="SpecialCharTok"/>
        </w:rPr>
        <w:t>+</w:t>
      </w:r>
      <w:r>
        <w:br/>
      </w:r>
      <w:r>
        <w:rPr>
          <w:rStyle w:val="NormalTok"/>
        </w:rPr>
        <w:t xml:space="preserve">  </w:t>
      </w:r>
      <w:r>
        <w:rPr>
          <w:rStyle w:val="FunctionTok"/>
        </w:rPr>
        <w:t>stat_ecdf</w:t>
      </w:r>
      <w:r>
        <w:rPr>
          <w:rStyle w:val="NormalTok"/>
        </w:rPr>
        <w:t>(</w:t>
      </w:r>
      <w:r>
        <w:rPr>
          <w:rStyle w:val="AttributeTok"/>
        </w:rPr>
        <w:t>geom =</w:t>
      </w:r>
      <w:r>
        <w:rPr>
          <w:rStyle w:val="NormalTok"/>
        </w:rPr>
        <w:t xml:space="preserve"> </w:t>
      </w:r>
      <w:r>
        <w:rPr>
          <w:rStyle w:val="StringTok"/>
        </w:rPr>
        <w:t>"step"</w:t>
      </w:r>
      <w:r>
        <w:rPr>
          <w:rStyle w:val="NormalTok"/>
        </w:rPr>
        <w:t xml:space="preserve">, </w:t>
      </w:r>
      <w:r>
        <w:rPr>
          <w:rStyle w:val="AttributeTok"/>
        </w:rPr>
        <w:t>linewidth =</w:t>
      </w:r>
      <w:r>
        <w:rPr>
          <w:rStyle w:val="NormalTok"/>
        </w:rPr>
        <w:t xml:space="preserve"> </w:t>
      </w:r>
      <w:r>
        <w:rPr>
          <w:rStyle w:val="FloatTok"/>
        </w:rPr>
        <w:t>1.1</w:t>
      </w:r>
      <w:r>
        <w:rPr>
          <w:rStyle w:val="NormalTok"/>
        </w:rPr>
        <w:t xml:space="preserve">) </w:t>
      </w:r>
      <w:r>
        <w:rPr>
          <w:rStyle w:val="SpecialCharTok"/>
        </w:rPr>
        <w:t>+</w:t>
      </w:r>
      <w:r>
        <w:br/>
      </w:r>
      <w:r>
        <w:rPr>
          <w:rStyle w:val="NormalTok"/>
        </w:rPr>
        <w:t xml:space="preserve">  </w:t>
      </w:r>
      <w:r>
        <w:rPr>
          <w:rStyle w:val="FunctionTok"/>
        </w:rPr>
        <w:t>scale_color_manual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"#2980b9"</w:t>
      </w:r>
      <w:r>
        <w:rPr>
          <w:rStyle w:val="NormalTok"/>
        </w:rPr>
        <w:t xml:space="preserve">, </w:t>
      </w:r>
      <w:r>
        <w:rPr>
          <w:rStyle w:val="StringTok"/>
        </w:rPr>
        <w:t>"#d35400"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"Rysunek 3. Dystrybuanta empiryczna (ECDF) przeładunków"</w:t>
      </w:r>
      <w:r>
        <w:rPr>
          <w:rStyle w:val="NormalTok"/>
        </w:rPr>
        <w:t>,</w:t>
      </w:r>
      <w:r>
        <w:br/>
      </w:r>
      <w:r>
        <w:rPr>
          <w:rStyle w:val="NormalTok"/>
        </w:rPr>
        <w:t xml:space="preserve">    </w:t>
      </w:r>
      <w:r>
        <w:rPr>
          <w:rStyle w:val="AttributeTok"/>
        </w:rPr>
        <w:t>subtitle =</w:t>
      </w:r>
      <w:r>
        <w:rPr>
          <w:rStyle w:val="NormalTok"/>
        </w:rPr>
        <w:t xml:space="preserve"> </w:t>
      </w:r>
      <w:r>
        <w:rPr>
          <w:rStyle w:val="StringTok"/>
        </w:rPr>
        <w:t>"Porównanie funkcji prawdopodobieństwa P(X &lt;= x) dla obu okresów"</w:t>
      </w:r>
      <w:r>
        <w:rPr>
          <w:rStyle w:val="NormalTok"/>
        </w:rPr>
        <w:t>,</w:t>
      </w:r>
      <w:r>
        <w:br/>
      </w:r>
      <w:r>
        <w:rPr>
          <w:rStyle w:val="NormalTok"/>
        </w:rPr>
        <w:t xml:space="preserve">    </w:t>
      </w:r>
      <w:r>
        <w:rPr>
          <w:rStyle w:val="AttributeTok"/>
        </w:rPr>
        <w:t>x =</w:t>
      </w:r>
      <w:r>
        <w:rPr>
          <w:rStyle w:val="NormalTok"/>
        </w:rPr>
        <w:t xml:space="preserve"> </w:t>
      </w:r>
      <w:r>
        <w:rPr>
          <w:rStyle w:val="StringTok"/>
        </w:rPr>
        <w:t>"Przeładunki węgla i koksu (tys. ton)"</w:t>
      </w:r>
      <w:r>
        <w:rPr>
          <w:rStyle w:val="NormalTok"/>
        </w:rPr>
        <w:t>,</w:t>
      </w:r>
      <w:r>
        <w:br/>
      </w:r>
      <w:r>
        <w:rPr>
          <w:rStyle w:val="NormalTok"/>
        </w:rPr>
        <w:t xml:space="preserve">    </w:t>
      </w:r>
      <w:r>
        <w:rPr>
          <w:rStyle w:val="AttributeTok"/>
        </w:rPr>
        <w:t>y =</w:t>
      </w:r>
      <w:r>
        <w:rPr>
          <w:rStyle w:val="NormalTok"/>
        </w:rPr>
        <w:t xml:space="preserve"> </w:t>
      </w:r>
      <w:r>
        <w:rPr>
          <w:rStyle w:val="StringTok"/>
        </w:rPr>
        <w:t>"Dystrybuanta empiryczna F_n(x)"</w:t>
      </w:r>
      <w:r>
        <w:rPr>
          <w:rStyle w:val="NormalTok"/>
        </w:rPr>
        <w:t>,</w:t>
      </w:r>
      <w:r>
        <w:br/>
      </w:r>
      <w:r>
        <w:rPr>
          <w:rStyle w:val="NormalTok"/>
        </w:rPr>
        <w:t xml:space="preserve">    </w:t>
      </w:r>
      <w:r>
        <w:rPr>
          <w:rStyle w:val="AttributeTok"/>
        </w:rPr>
        <w:t>color =</w:t>
      </w:r>
      <w:r>
        <w:rPr>
          <w:rStyle w:val="NormalTok"/>
        </w:rPr>
        <w:t xml:space="preserve"> </w:t>
      </w:r>
      <w:r>
        <w:rPr>
          <w:rStyle w:val="StringTok"/>
        </w:rPr>
        <w:t>"Podokres"</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10</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10</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AttributeTok"/>
        </w:rPr>
        <w:t>hjust =</w:t>
      </w:r>
      <w:r>
        <w:rPr>
          <w:rStyle w:val="NormalTok"/>
        </w:rPr>
        <w:t xml:space="preserve"> </w:t>
      </w:r>
      <w:r>
        <w:rPr>
          <w:rStyle w:val="DecValTok"/>
        </w:rPr>
        <w:t>0</w:t>
      </w:r>
      <w:r>
        <w:rPr>
          <w:rStyle w:val="NormalTok"/>
        </w:rPr>
        <w:t>),</w:t>
      </w:r>
      <w:r>
        <w:br/>
      </w:r>
      <w:r>
        <w:rPr>
          <w:rStyle w:val="NormalTok"/>
        </w:rPr>
        <w:t xml:space="preserve">    </w:t>
      </w:r>
      <w:r>
        <w:rPr>
          <w:rStyle w:val="AttributeTok"/>
        </w:rPr>
        <w:t>plot.subtitle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FloatTok"/>
        </w:rPr>
        <w:t>8.5</w:t>
      </w:r>
      <w:r>
        <w:rPr>
          <w:rStyle w:val="NormalTok"/>
        </w:rPr>
        <w:t xml:space="preserve">, </w:t>
      </w:r>
      <w:r>
        <w:rPr>
          <w:rStyle w:val="AttributeTok"/>
        </w:rPr>
        <w:t>color =</w:t>
      </w:r>
      <w:r>
        <w:rPr>
          <w:rStyle w:val="NormalTok"/>
        </w:rPr>
        <w:t xml:space="preserve"> </w:t>
      </w:r>
      <w:r>
        <w:rPr>
          <w:rStyle w:val="StringTok"/>
        </w:rPr>
        <w:t>"#444444"</w:t>
      </w:r>
      <w:r>
        <w:rPr>
          <w:rStyle w:val="NormalTok"/>
        </w:rPr>
        <w:t>),</w:t>
      </w:r>
      <w:r>
        <w:br/>
      </w:r>
      <w:r>
        <w:rPr>
          <w:rStyle w:val="NormalTok"/>
        </w:rPr>
        <w:t xml:space="preserve">    </w:t>
      </w:r>
      <w:r>
        <w:rPr>
          <w:rStyle w:val="AttributeTok"/>
        </w:rPr>
        <w:t>plot.margin =</w:t>
      </w:r>
      <w:r>
        <w:rPr>
          <w:rStyle w:val="NormalTok"/>
        </w:rPr>
        <w:t xml:space="preserve"> </w:t>
      </w:r>
      <w:r>
        <w:rPr>
          <w:rStyle w:val="FunctionTok"/>
        </w:rPr>
        <w:t>margin</w:t>
      </w:r>
      <w:r>
        <w:rPr>
          <w:rStyle w:val="NormalTok"/>
        </w:rPr>
        <w:t>(</w:t>
      </w:r>
      <w:r>
        <w:rPr>
          <w:rStyle w:val="AttributeTok"/>
        </w:rPr>
        <w:t>t =</w:t>
      </w:r>
      <w:r>
        <w:rPr>
          <w:rStyle w:val="NormalTok"/>
        </w:rPr>
        <w:t xml:space="preserve"> </w:t>
      </w:r>
      <w:r>
        <w:rPr>
          <w:rStyle w:val="DecValTok"/>
        </w:rPr>
        <w:t>10</w:t>
      </w:r>
      <w:r>
        <w:rPr>
          <w:rStyle w:val="NormalTok"/>
        </w:rPr>
        <w:t xml:space="preserve">, </w:t>
      </w:r>
      <w:r>
        <w:rPr>
          <w:rStyle w:val="AttributeTok"/>
        </w:rPr>
        <w:t>r =</w:t>
      </w:r>
      <w:r>
        <w:rPr>
          <w:rStyle w:val="NormalTok"/>
        </w:rPr>
        <w:t xml:space="preserve"> </w:t>
      </w:r>
      <w:r>
        <w:rPr>
          <w:rStyle w:val="DecValTok"/>
        </w:rPr>
        <w:t>25</w:t>
      </w:r>
      <w:r>
        <w:rPr>
          <w:rStyle w:val="NormalTok"/>
        </w:rPr>
        <w:t xml:space="preserve">, </w:t>
      </w:r>
      <w:r>
        <w:rPr>
          <w:rStyle w:val="AttributeTok"/>
        </w:rPr>
        <w:t>b =</w:t>
      </w:r>
      <w:r>
        <w:rPr>
          <w:rStyle w:val="NormalTok"/>
        </w:rPr>
        <w:t xml:space="preserve"> </w:t>
      </w:r>
      <w:r>
        <w:rPr>
          <w:rStyle w:val="DecValTok"/>
        </w:rPr>
        <w:t>10</w:t>
      </w:r>
      <w:r>
        <w:rPr>
          <w:rStyle w:val="NormalTok"/>
        </w:rPr>
        <w:t xml:space="preserve">, </w:t>
      </w:r>
      <w:r>
        <w:rPr>
          <w:rStyle w:val="AttributeTok"/>
        </w:rPr>
        <w:t>l =</w:t>
      </w:r>
      <w:r>
        <w:rPr>
          <w:rStyle w:val="NormalTok"/>
        </w:rPr>
        <w:t xml:space="preserve"> </w:t>
      </w:r>
      <w:r>
        <w:rPr>
          <w:rStyle w:val="DecValTok"/>
        </w:rPr>
        <w:t>10</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br/>
      </w:r>
      <w:r>
        <w:rPr>
          <w:rStyle w:val="NormalTok"/>
        </w:rPr>
        <w:t xml:space="preserve">  )</w:t>
      </w:r>
    </w:p>
    <w:p w14:paraId="47F3EA87" w14:textId="77777777" w:rsidR="005F7517" w:rsidRDefault="00927BF8">
      <w:pPr>
        <w:pStyle w:val="FirstParagraph"/>
      </w:pPr>
      <w:r>
        <w:rPr>
          <w:noProof/>
        </w:rPr>
        <w:drawing>
          <wp:inline distT="0" distB="0" distL="0" distR="0" wp14:anchorId="5B062E30" wp14:editId="1726D74F">
            <wp:extent cx="5334000" cy="309716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analiza_statystyczna_Dominika_files/figure-docx/wykres_ecdf-1.png"/>
                    <pic:cNvPicPr>
                      <a:picLocks noChangeAspect="1" noChangeArrowheads="1"/>
                    </pic:cNvPicPr>
                  </pic:nvPicPr>
                  <pic:blipFill>
                    <a:blip r:embed="rId8"/>
                    <a:stretch>
                      <a:fillRect/>
                    </a:stretch>
                  </pic:blipFill>
                  <pic:spPr bwMode="auto">
                    <a:xfrm>
                      <a:off x="0" y="0"/>
                      <a:ext cx="5334000" cy="3097161"/>
                    </a:xfrm>
                    <a:prstGeom prst="rect">
                      <a:avLst/>
                    </a:prstGeom>
                    <a:noFill/>
                    <a:ln w="9525">
                      <a:noFill/>
                      <a:headEnd/>
                      <a:tailEnd/>
                    </a:ln>
                  </pic:spPr>
                </pic:pic>
              </a:graphicData>
            </a:graphic>
          </wp:inline>
        </w:drawing>
      </w:r>
    </w:p>
    <w:p w14:paraId="73792976" w14:textId="77777777" w:rsidR="005F7517" w:rsidRDefault="00927BF8">
      <w:pPr>
        <w:pStyle w:val="Tekstpodstawowy"/>
      </w:pPr>
      <w:r>
        <w:rPr>
          <w:i/>
          <w:iCs/>
        </w:rPr>
        <w:t>Komentarz do wykresu 3:</w:t>
      </w:r>
      <w:r>
        <w:t xml:space="preserve"> Przesunięcie krzywej dystrybuanty dla okresu 2022–2026 (kolor pomarańczowy) w prawo względem krzywej z lat 2010–2021 (kolor niebieski) oznacza stochastyczną dominację. Dla każdego ustalonego progu wolumenu przeładunków </w:t>
      </w:r>
      <m:oMath>
        <m:r>
          <w:rPr>
            <w:rFonts w:ascii="Cambria Math" w:hAnsi="Cambria Math"/>
          </w:rPr>
          <m:t>x</m:t>
        </m:r>
      </m:oMath>
      <w:r>
        <w:t>, prawdopodobieństwo nieprzekroczenia tej wartości w okresie kryzysowym było znacznie mniejsze niż w okresie stabilnym, co dowodzi uogólnionego przesunięcia całego rozkładu w stronę wyższych wartości.</w:t>
      </w:r>
    </w:p>
    <w:p w14:paraId="0A388DB4" w14:textId="77777777" w:rsidR="005F7517" w:rsidRDefault="00927BF8">
      <w:r>
        <w:br w:type="page"/>
      </w:r>
    </w:p>
    <w:p w14:paraId="36A0F35B" w14:textId="77777777" w:rsidR="005F7517" w:rsidRDefault="00927BF8">
      <w:pPr>
        <w:pStyle w:val="Nagwek2"/>
      </w:pPr>
      <w:bookmarkStart w:id="17" w:name="X619c23ac27ead6559fb8a67b72e519a83195e43"/>
      <w:bookmarkEnd w:id="16"/>
      <w:r>
        <w:t>Typ 4: Szereg czasowy z wygładzaniem trendu (Time Series Plot)</w:t>
      </w:r>
    </w:p>
    <w:p w14:paraId="57A4B00A" w14:textId="77777777" w:rsidR="005F7517" w:rsidRDefault="00927BF8">
      <w:pPr>
        <w:pStyle w:val="SourceCode"/>
      </w:pPr>
      <w:r>
        <w:rPr>
          <w:rStyle w:val="FunctionTok"/>
        </w:rPr>
        <w:t>ggplot</w:t>
      </w:r>
      <w:r>
        <w:rPr>
          <w:rStyle w:val="NormalTok"/>
        </w:rPr>
        <w:t xml:space="preserve">(dane, </w:t>
      </w:r>
      <w:r>
        <w:rPr>
          <w:rStyle w:val="FunctionTok"/>
        </w:rPr>
        <w:t>aes</w:t>
      </w:r>
      <w:r>
        <w:rPr>
          <w:rStyle w:val="NormalTok"/>
        </w:rPr>
        <w:t>(</w:t>
      </w:r>
      <w:r>
        <w:rPr>
          <w:rStyle w:val="AttributeTok"/>
        </w:rPr>
        <w:t>x =</w:t>
      </w:r>
      <w:r>
        <w:rPr>
          <w:rStyle w:val="NormalTok"/>
        </w:rPr>
        <w:t xml:space="preserve"> data, </w:t>
      </w:r>
      <w:r>
        <w:rPr>
          <w:rStyle w:val="AttributeTok"/>
        </w:rPr>
        <w:t>y =</w:t>
      </w:r>
      <w:r>
        <w:rPr>
          <w:rStyle w:val="NormalTok"/>
        </w:rPr>
        <w:t xml:space="preserve"> wegiel_koks_tys_ton)) </w:t>
      </w:r>
      <w:r>
        <w:rPr>
          <w:rStyle w:val="SpecialCharTok"/>
        </w:rPr>
        <w:t>+</w:t>
      </w:r>
      <w:r>
        <w:br/>
      </w:r>
      <w:r>
        <w:rPr>
          <w:rStyle w:val="NormalTok"/>
        </w:rPr>
        <w:t xml:space="preserve">  </w:t>
      </w:r>
      <w:r>
        <w:rPr>
          <w:rStyle w:val="FunctionTok"/>
        </w:rPr>
        <w:t>geom_line</w:t>
      </w:r>
      <w:r>
        <w:rPr>
          <w:rStyle w:val="NormalTok"/>
        </w:rPr>
        <w:t>(</w:t>
      </w:r>
      <w:r>
        <w:rPr>
          <w:rStyle w:val="AttributeTok"/>
        </w:rPr>
        <w:t>color =</w:t>
      </w:r>
      <w:r>
        <w:rPr>
          <w:rStyle w:val="NormalTok"/>
        </w:rPr>
        <w:t xml:space="preserve"> </w:t>
      </w:r>
      <w:r>
        <w:rPr>
          <w:rStyle w:val="StringTok"/>
        </w:rPr>
        <w:t>"#34495e"</w:t>
      </w:r>
      <w:r>
        <w:rPr>
          <w:rStyle w:val="NormalTok"/>
        </w:rPr>
        <w:t xml:space="preserve">, </w:t>
      </w:r>
      <w:r>
        <w:rPr>
          <w:rStyle w:val="AttributeTok"/>
        </w:rPr>
        <w:t>linewidth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color =</w:t>
      </w:r>
      <w:r>
        <w:rPr>
          <w:rStyle w:val="NormalTok"/>
        </w:rPr>
        <w:t xml:space="preserve"> okres_badania), </w:t>
      </w:r>
      <w:r>
        <w:rPr>
          <w:rStyle w:val="AttributeTok"/>
        </w:rPr>
        <w:t>size =</w:t>
      </w:r>
      <w:r>
        <w:rPr>
          <w:rStyle w:val="NormalTok"/>
        </w:rPr>
        <w:t xml:space="preserve"> </w:t>
      </w:r>
      <w:r>
        <w:rPr>
          <w:rStyle w:val="FloatTok"/>
        </w:rPr>
        <w:t>1.5</w:t>
      </w:r>
      <w:r>
        <w:rPr>
          <w:rStyle w:val="NormalTok"/>
        </w:rPr>
        <w:t xml:space="preserve">, </w:t>
      </w:r>
      <w:r>
        <w:rPr>
          <w:rStyle w:val="AttributeTok"/>
        </w:rPr>
        <w:t>alpha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"loess"</w:t>
      </w:r>
      <w:r>
        <w:rPr>
          <w:rStyle w:val="NormalTok"/>
        </w:rPr>
        <w:t xml:space="preserve">, </w:t>
      </w:r>
      <w:r>
        <w:rPr>
          <w:rStyle w:val="AttributeTok"/>
        </w:rPr>
        <w:t>color =</w:t>
      </w:r>
      <w:r>
        <w:rPr>
          <w:rStyle w:val="NormalTok"/>
        </w:rPr>
        <w:t xml:space="preserve"> </w:t>
      </w:r>
      <w:r>
        <w:rPr>
          <w:rStyle w:val="StringTok"/>
        </w:rPr>
        <w:t>"#e74c3c"</w:t>
      </w:r>
      <w:r>
        <w:rPr>
          <w:rStyle w:val="NormalTok"/>
        </w:rPr>
        <w:t xml:space="preserve">, </w:t>
      </w:r>
      <w:r>
        <w:rPr>
          <w:rStyle w:val="AttributeTok"/>
        </w:rPr>
        <w:t>fill =</w:t>
      </w:r>
      <w:r>
        <w:rPr>
          <w:rStyle w:val="NormalTok"/>
        </w:rPr>
        <w:t xml:space="preserve"> </w:t>
      </w:r>
      <w:r>
        <w:rPr>
          <w:rStyle w:val="StringTok"/>
        </w:rPr>
        <w:t>"#f5b7b1"</w:t>
      </w:r>
      <w:r>
        <w:rPr>
          <w:rStyle w:val="NormalTok"/>
        </w:rPr>
        <w:t xml:space="preserve">, </w:t>
      </w:r>
      <w:r>
        <w:rPr>
          <w:rStyle w:val="AttributeTok"/>
        </w:rPr>
        <w:t>alpha =</w:t>
      </w:r>
      <w:r>
        <w:rPr>
          <w:rStyle w:val="NormalTok"/>
        </w:rPr>
        <w:t xml:space="preserve"> </w:t>
      </w:r>
      <w:r>
        <w:rPr>
          <w:rStyle w:val="FloatTok"/>
        </w:rPr>
        <w:t>0.35</w:t>
      </w:r>
      <w:r>
        <w:rPr>
          <w:rStyle w:val="NormalTok"/>
        </w:rPr>
        <w:t xml:space="preserve">, </w:t>
      </w:r>
      <w:r>
        <w:rPr>
          <w:rStyle w:val="AttributeTok"/>
        </w:rPr>
        <w:t>linewidth =</w:t>
      </w:r>
      <w:r>
        <w:rPr>
          <w:rStyle w:val="NormalTok"/>
        </w:rPr>
        <w:t xml:space="preserve"> </w:t>
      </w:r>
      <w:r>
        <w:rPr>
          <w:rStyle w:val="FloatTok"/>
        </w:rPr>
        <w:t>1.0</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as.numeric</w:t>
      </w:r>
      <w:r>
        <w:rPr>
          <w:rStyle w:val="NormalTok"/>
        </w:rPr>
        <w:t>(</w:t>
      </w:r>
      <w:r>
        <w:rPr>
          <w:rStyle w:val="FunctionTok"/>
        </w:rPr>
        <w:t>as.Date</w:t>
      </w:r>
      <w:r>
        <w:rPr>
          <w:rStyle w:val="NormalTok"/>
        </w:rPr>
        <w:t>(</w:t>
      </w:r>
      <w:r>
        <w:rPr>
          <w:rStyle w:val="StringTok"/>
        </w:rPr>
        <w:t>"2022-02-24"</w:t>
      </w:r>
      <w:r>
        <w:rPr>
          <w:rStyle w:val="NormalTok"/>
        </w:rPr>
        <w:t xml:space="preserve">)), </w:t>
      </w:r>
      <w:r>
        <w:br/>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AttributeTok"/>
        </w:rPr>
        <w:t>color =</w:t>
      </w:r>
      <w:r>
        <w:rPr>
          <w:rStyle w:val="NormalTok"/>
        </w:rPr>
        <w:t xml:space="preserve"> </w:t>
      </w:r>
      <w:r>
        <w:rPr>
          <w:rStyle w:val="StringTok"/>
        </w:rPr>
        <w:t>"#c0392b"</w:t>
      </w:r>
      <w:r>
        <w:rPr>
          <w:rStyle w:val="NormalTok"/>
        </w:rPr>
        <w:t xml:space="preserve">, </w:t>
      </w:r>
      <w:r>
        <w:rPr>
          <w:rStyle w:val="AttributeTok"/>
        </w:rPr>
        <w:t>linewidth =</w:t>
      </w:r>
      <w:r>
        <w:rPr>
          <w:rStyle w:val="NormalTok"/>
        </w:rPr>
        <w:t xml:space="preserve"> </w:t>
      </w:r>
      <w:r>
        <w:rPr>
          <w:rStyle w:val="FloatTok"/>
        </w:rPr>
        <w:t>0.9</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rPr>
          <w:rStyle w:val="StringTok"/>
        </w:rPr>
        <w:t>"text"</w:t>
      </w:r>
      <w:r>
        <w:rPr>
          <w:rStyle w:val="NormalTok"/>
        </w:rPr>
        <w:t xml:space="preserve">, </w:t>
      </w:r>
      <w:r>
        <w:rPr>
          <w:rStyle w:val="AttributeTok"/>
        </w:rPr>
        <w:t>x =</w:t>
      </w:r>
      <w:r>
        <w:rPr>
          <w:rStyle w:val="NormalTok"/>
        </w:rPr>
        <w:t xml:space="preserve"> </w:t>
      </w:r>
      <w:r>
        <w:rPr>
          <w:rStyle w:val="FunctionTok"/>
        </w:rPr>
        <w:t>as.Date</w:t>
      </w:r>
      <w:r>
        <w:rPr>
          <w:rStyle w:val="NormalTok"/>
        </w:rPr>
        <w:t>(</w:t>
      </w:r>
      <w:r>
        <w:rPr>
          <w:rStyle w:val="StringTok"/>
        </w:rPr>
        <w:t>"2021-11-01"</w:t>
      </w:r>
      <w:r>
        <w:rPr>
          <w:rStyle w:val="NormalTok"/>
        </w:rPr>
        <w:t xml:space="preserve">), </w:t>
      </w:r>
      <w:r>
        <w:rPr>
          <w:rStyle w:val="AttributeTok"/>
        </w:rPr>
        <w:t>y =</w:t>
      </w:r>
      <w:r>
        <w:rPr>
          <w:rStyle w:val="NormalTok"/>
        </w:rPr>
        <w:t xml:space="preserve"> </w:t>
      </w:r>
      <w:r>
        <w:rPr>
          <w:rStyle w:val="DecValTok"/>
        </w:rPr>
        <w:t>3200</w:t>
      </w:r>
      <w:r>
        <w:rPr>
          <w:rStyle w:val="NormalTok"/>
        </w:rPr>
        <w:t xml:space="preserve">, </w:t>
      </w:r>
      <w:r>
        <w:br/>
      </w:r>
      <w:r>
        <w:rPr>
          <w:rStyle w:val="NormalTok"/>
        </w:rPr>
        <w:t xml:space="preserve">           </w:t>
      </w:r>
      <w:r>
        <w:rPr>
          <w:rStyle w:val="AttributeTok"/>
        </w:rPr>
        <w:t>label =</w:t>
      </w:r>
      <w:r>
        <w:rPr>
          <w:rStyle w:val="NormalTok"/>
        </w:rPr>
        <w:t xml:space="preserve"> </w:t>
      </w:r>
      <w:r>
        <w:rPr>
          <w:rStyle w:val="StringTok"/>
        </w:rPr>
        <w:t>"Inwazja na Ukrainę</w:t>
      </w:r>
      <w:r>
        <w:rPr>
          <w:rStyle w:val="SpecialCharTok"/>
        </w:rPr>
        <w:t>\n</w:t>
      </w:r>
      <w:r>
        <w:rPr>
          <w:rStyle w:val="StringTok"/>
        </w:rPr>
        <w:t>i embargo węglowe"</w:t>
      </w:r>
      <w:r>
        <w:rPr>
          <w:rStyle w:val="NormalTok"/>
        </w:rPr>
        <w:t xml:space="preserve">, </w:t>
      </w:r>
      <w:r>
        <w:br/>
      </w:r>
      <w:r>
        <w:rPr>
          <w:rStyle w:val="NormalTok"/>
        </w:rPr>
        <w:t xml:space="preserve">           </w:t>
      </w:r>
      <w:r>
        <w:rPr>
          <w:rStyle w:val="AttributeTok"/>
        </w:rPr>
        <w:t>hjust =</w:t>
      </w:r>
      <w:r>
        <w:rPr>
          <w:rStyle w:val="NormalTok"/>
        </w:rPr>
        <w:t xml:space="preserve"> </w:t>
      </w:r>
      <w:r>
        <w:rPr>
          <w:rStyle w:val="DecValTok"/>
        </w:rPr>
        <w:t>1</w:t>
      </w:r>
      <w:r>
        <w:rPr>
          <w:rStyle w:val="NormalTok"/>
        </w:rPr>
        <w:t xml:space="preserve">, </w:t>
      </w:r>
      <w:r>
        <w:rPr>
          <w:rStyle w:val="AttributeTok"/>
        </w:rPr>
        <w:t>color =</w:t>
      </w:r>
      <w:r>
        <w:rPr>
          <w:rStyle w:val="NormalTok"/>
        </w:rPr>
        <w:t xml:space="preserve"> </w:t>
      </w:r>
      <w:r>
        <w:rPr>
          <w:rStyle w:val="StringTok"/>
        </w:rPr>
        <w:t>"#c0392b"</w:t>
      </w:r>
      <w:r>
        <w:rPr>
          <w:rStyle w:val="NormalTok"/>
        </w:rPr>
        <w:t xml:space="preserve">, </w:t>
      </w:r>
      <w:r>
        <w:rPr>
          <w:rStyle w:val="AttributeTok"/>
        </w:rPr>
        <w:t>size =</w:t>
      </w:r>
      <w:r>
        <w:rPr>
          <w:rStyle w:val="NormalTok"/>
        </w:rPr>
        <w:t xml:space="preserve"> </w:t>
      </w:r>
      <w:r>
        <w:rPr>
          <w:rStyle w:val="FloatTok"/>
        </w:rPr>
        <w:t>3.1</w:t>
      </w:r>
      <w:r>
        <w:rPr>
          <w:rStyle w:val="NormalTok"/>
        </w:rPr>
        <w:t xml:space="preserve">, </w:t>
      </w:r>
      <w:r>
        <w:rPr>
          <w:rStyle w:val="AttributeTok"/>
        </w:rPr>
        <w:t>fontface =</w:t>
      </w:r>
      <w:r>
        <w:rPr>
          <w:rStyle w:val="NormalTok"/>
        </w:rPr>
        <w:t xml:space="preserve"> </w:t>
      </w:r>
      <w:r>
        <w:rPr>
          <w:rStyle w:val="StringTok"/>
        </w:rPr>
        <w:t>"bold"</w:t>
      </w:r>
      <w:r>
        <w:rPr>
          <w:rStyle w:val="NormalTok"/>
        </w:rPr>
        <w:t xml:space="preserve">) </w:t>
      </w:r>
      <w:r>
        <w:rPr>
          <w:rStyle w:val="SpecialCharTok"/>
        </w:rPr>
        <w:t>+</w:t>
      </w:r>
      <w:r>
        <w:br/>
      </w:r>
      <w:r>
        <w:rPr>
          <w:rStyle w:val="NormalTok"/>
        </w:rPr>
        <w:t xml:space="preserve">  </w:t>
      </w:r>
      <w:r>
        <w:rPr>
          <w:rStyle w:val="FunctionTok"/>
        </w:rPr>
        <w:t>scale_color_manual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"#2980b9"</w:t>
      </w:r>
      <w:r>
        <w:rPr>
          <w:rStyle w:val="NormalTok"/>
        </w:rPr>
        <w:t xml:space="preserve">, </w:t>
      </w:r>
      <w:r>
        <w:rPr>
          <w:rStyle w:val="StringTok"/>
        </w:rPr>
        <w:t>"#d35400"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"Rysunek 4. Miesięczne przeładunki węgla i koksu (2010–2026)"</w:t>
      </w:r>
      <w:r>
        <w:rPr>
          <w:rStyle w:val="NormalTok"/>
        </w:rPr>
        <w:t>,</w:t>
      </w:r>
      <w:r>
        <w:br/>
      </w:r>
      <w:r>
        <w:rPr>
          <w:rStyle w:val="NormalTok"/>
        </w:rPr>
        <w:t xml:space="preserve">    </w:t>
      </w:r>
      <w:r>
        <w:rPr>
          <w:rStyle w:val="AttributeTok"/>
        </w:rPr>
        <w:t>subtitle =</w:t>
      </w:r>
      <w:r>
        <w:rPr>
          <w:rStyle w:val="NormalTok"/>
        </w:rPr>
        <w:t xml:space="preserve"> </w:t>
      </w:r>
      <w:r>
        <w:rPr>
          <w:rStyle w:val="StringTok"/>
        </w:rPr>
        <w:t>"Dane miesięczne GUS oraz trend nieliniowy wygładzony metodą LOESS"</w:t>
      </w:r>
      <w:r>
        <w:rPr>
          <w:rStyle w:val="NormalTok"/>
        </w:rPr>
        <w:t>,</w:t>
      </w:r>
      <w:r>
        <w:br/>
      </w:r>
      <w:r>
        <w:rPr>
          <w:rStyle w:val="NormalTok"/>
        </w:rPr>
        <w:t xml:space="preserve">    </w:t>
      </w:r>
      <w:r>
        <w:rPr>
          <w:rStyle w:val="AttributeTok"/>
        </w:rPr>
        <w:t>x =</w:t>
      </w:r>
      <w:r>
        <w:rPr>
          <w:rStyle w:val="NormalTok"/>
        </w:rPr>
        <w:t xml:space="preserve"> </w:t>
      </w:r>
      <w:r>
        <w:rPr>
          <w:rStyle w:val="StringTok"/>
        </w:rPr>
        <w:t>"Rok"</w:t>
      </w:r>
      <w:r>
        <w:rPr>
          <w:rStyle w:val="NormalTok"/>
        </w:rPr>
        <w:t>,</w:t>
      </w:r>
      <w:r>
        <w:br/>
      </w:r>
      <w:r>
        <w:rPr>
          <w:rStyle w:val="NormalTok"/>
        </w:rPr>
        <w:t xml:space="preserve">    </w:t>
      </w:r>
      <w:r>
        <w:rPr>
          <w:rStyle w:val="AttributeTok"/>
        </w:rPr>
        <w:t>y =</w:t>
      </w:r>
      <w:r>
        <w:rPr>
          <w:rStyle w:val="NormalTok"/>
        </w:rPr>
        <w:t xml:space="preserve"> </w:t>
      </w:r>
      <w:r>
        <w:rPr>
          <w:rStyle w:val="StringTok"/>
        </w:rPr>
        <w:t>"Przeładunki węgla i koksu (tys. ton)"</w:t>
      </w:r>
      <w:r>
        <w:rPr>
          <w:rStyle w:val="NormalTok"/>
        </w:rPr>
        <w:t>,</w:t>
      </w:r>
      <w:r>
        <w:br/>
      </w:r>
      <w:r>
        <w:rPr>
          <w:rStyle w:val="NormalTok"/>
        </w:rPr>
        <w:t xml:space="preserve">    </w:t>
      </w:r>
      <w:r>
        <w:rPr>
          <w:rStyle w:val="AttributeTok"/>
        </w:rPr>
        <w:t>color =</w:t>
      </w:r>
      <w:r>
        <w:rPr>
          <w:rStyle w:val="NormalTok"/>
        </w:rPr>
        <w:t xml:space="preserve"> </w:t>
      </w:r>
      <w:r>
        <w:rPr>
          <w:rStyle w:val="StringTok"/>
        </w:rPr>
        <w:t>"Okres"</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10</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10</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AttributeTok"/>
        </w:rPr>
        <w:t>hjust =</w:t>
      </w:r>
      <w:r>
        <w:rPr>
          <w:rStyle w:val="NormalTok"/>
        </w:rPr>
        <w:t xml:space="preserve"> </w:t>
      </w:r>
      <w:r>
        <w:rPr>
          <w:rStyle w:val="DecValTok"/>
        </w:rPr>
        <w:t>0</w:t>
      </w:r>
      <w:r>
        <w:rPr>
          <w:rStyle w:val="NormalTok"/>
        </w:rPr>
        <w:t>),</w:t>
      </w:r>
      <w:r>
        <w:br/>
      </w:r>
      <w:r>
        <w:rPr>
          <w:rStyle w:val="NormalTok"/>
        </w:rPr>
        <w:t xml:space="preserve">    </w:t>
      </w:r>
      <w:r>
        <w:rPr>
          <w:rStyle w:val="AttributeTok"/>
        </w:rPr>
        <w:t>plot.subtitle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FloatTok"/>
        </w:rPr>
        <w:t>8.5</w:t>
      </w:r>
      <w:r>
        <w:rPr>
          <w:rStyle w:val="NormalTok"/>
        </w:rPr>
        <w:t xml:space="preserve">, </w:t>
      </w:r>
      <w:r>
        <w:rPr>
          <w:rStyle w:val="AttributeTok"/>
        </w:rPr>
        <w:t>color =</w:t>
      </w:r>
      <w:r>
        <w:rPr>
          <w:rStyle w:val="NormalTok"/>
        </w:rPr>
        <w:t xml:space="preserve"> </w:t>
      </w:r>
      <w:r>
        <w:rPr>
          <w:rStyle w:val="StringTok"/>
        </w:rPr>
        <w:t>"#444444"</w:t>
      </w:r>
      <w:r>
        <w:rPr>
          <w:rStyle w:val="NormalTok"/>
        </w:rPr>
        <w:t>),</w:t>
      </w:r>
      <w:r>
        <w:br/>
      </w:r>
      <w:r>
        <w:rPr>
          <w:rStyle w:val="NormalTok"/>
        </w:rPr>
        <w:t xml:space="preserve">    </w:t>
      </w:r>
      <w:r>
        <w:rPr>
          <w:rStyle w:val="AttributeTok"/>
        </w:rPr>
        <w:t>plot.margin =</w:t>
      </w:r>
      <w:r>
        <w:rPr>
          <w:rStyle w:val="NormalTok"/>
        </w:rPr>
        <w:t xml:space="preserve"> </w:t>
      </w:r>
      <w:r>
        <w:rPr>
          <w:rStyle w:val="FunctionTok"/>
        </w:rPr>
        <w:t>margin</w:t>
      </w:r>
      <w:r>
        <w:rPr>
          <w:rStyle w:val="NormalTok"/>
        </w:rPr>
        <w:t>(</w:t>
      </w:r>
      <w:r>
        <w:rPr>
          <w:rStyle w:val="AttributeTok"/>
        </w:rPr>
        <w:t>t =</w:t>
      </w:r>
      <w:r>
        <w:rPr>
          <w:rStyle w:val="NormalTok"/>
        </w:rPr>
        <w:t xml:space="preserve"> </w:t>
      </w:r>
      <w:r>
        <w:rPr>
          <w:rStyle w:val="DecValTok"/>
        </w:rPr>
        <w:t>10</w:t>
      </w:r>
      <w:r>
        <w:rPr>
          <w:rStyle w:val="NormalTok"/>
        </w:rPr>
        <w:t xml:space="preserve">, </w:t>
      </w:r>
      <w:r>
        <w:rPr>
          <w:rStyle w:val="AttributeTok"/>
        </w:rPr>
        <w:t>r =</w:t>
      </w:r>
      <w:r>
        <w:rPr>
          <w:rStyle w:val="NormalTok"/>
        </w:rPr>
        <w:t xml:space="preserve"> </w:t>
      </w:r>
      <w:r>
        <w:rPr>
          <w:rStyle w:val="DecValTok"/>
        </w:rPr>
        <w:t>25</w:t>
      </w:r>
      <w:r>
        <w:rPr>
          <w:rStyle w:val="NormalTok"/>
        </w:rPr>
        <w:t xml:space="preserve">, </w:t>
      </w:r>
      <w:r>
        <w:rPr>
          <w:rStyle w:val="AttributeTok"/>
        </w:rPr>
        <w:t>b =</w:t>
      </w:r>
      <w:r>
        <w:rPr>
          <w:rStyle w:val="NormalTok"/>
        </w:rPr>
        <w:t xml:space="preserve"> </w:t>
      </w:r>
      <w:r>
        <w:rPr>
          <w:rStyle w:val="DecValTok"/>
        </w:rPr>
        <w:t>10</w:t>
      </w:r>
      <w:r>
        <w:rPr>
          <w:rStyle w:val="NormalTok"/>
        </w:rPr>
        <w:t xml:space="preserve">, </w:t>
      </w:r>
      <w:r>
        <w:rPr>
          <w:rStyle w:val="AttributeTok"/>
        </w:rPr>
        <w:t>l =</w:t>
      </w:r>
      <w:r>
        <w:rPr>
          <w:rStyle w:val="NormalTok"/>
        </w:rPr>
        <w:t xml:space="preserve"> </w:t>
      </w:r>
      <w:r>
        <w:rPr>
          <w:rStyle w:val="DecValTok"/>
        </w:rPr>
        <w:t>10</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br/>
      </w:r>
      <w:r>
        <w:rPr>
          <w:rStyle w:val="NormalTok"/>
        </w:rPr>
        <w:t xml:space="preserve">  )</w:t>
      </w:r>
    </w:p>
    <w:p w14:paraId="6402627F" w14:textId="77777777" w:rsidR="005F7517" w:rsidRDefault="00927BF8">
      <w:pPr>
        <w:pStyle w:val="FirstParagraph"/>
      </w:pPr>
      <w:r>
        <w:rPr>
          <w:noProof/>
        </w:rPr>
        <w:drawing>
          <wp:inline distT="0" distB="0" distL="0" distR="0" wp14:anchorId="481EAC71" wp14:editId="5BCA5479">
            <wp:extent cx="5334000" cy="3097161"/>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analiza_statystyczna_Dominika_files/figure-docx/wykres_szereg_czasowy-1.png"/>
                    <pic:cNvPicPr>
                      <a:picLocks noChangeAspect="1" noChangeArrowheads="1"/>
                    </pic:cNvPicPr>
                  </pic:nvPicPr>
                  <pic:blipFill>
                    <a:blip r:embed="rId9"/>
                    <a:stretch>
                      <a:fillRect/>
                    </a:stretch>
                  </pic:blipFill>
                  <pic:spPr bwMode="auto">
                    <a:xfrm>
                      <a:off x="0" y="0"/>
                      <a:ext cx="5334000" cy="3097161"/>
                    </a:xfrm>
                    <a:prstGeom prst="rect">
                      <a:avLst/>
                    </a:prstGeom>
                    <a:noFill/>
                    <a:ln w="9525">
                      <a:noFill/>
                      <a:headEnd/>
                      <a:tailEnd/>
                    </a:ln>
                  </pic:spPr>
                </pic:pic>
              </a:graphicData>
            </a:graphic>
          </wp:inline>
        </w:drawing>
      </w:r>
    </w:p>
    <w:p w14:paraId="4A898D6F" w14:textId="77777777" w:rsidR="005F7517" w:rsidRDefault="00927BF8">
      <w:pPr>
        <w:pStyle w:val="Tekstpodstawowy"/>
      </w:pPr>
      <w:r>
        <w:rPr>
          <w:i/>
          <w:iCs/>
        </w:rPr>
        <w:t>Komentarz do wykresu 4:</w:t>
      </w:r>
      <w:r>
        <w:t xml:space="preserve"> </w:t>
      </w:r>
      <w:r>
        <w:t>Szereg czasowy w pełnej krasie ukazuje stabilny, lekko rosnący przebieg przeładunków w latach 2010–2021 z widocznymi cyklami sezonowymi (wyższe przeładunki przed i w trakcie sezonu grzewczego). W 2022 roku po wybuchu wojny nastąpił bezprecedensowy skok wolumenów do poziomów 3–3,5 mln ton miesięcznie. Następnie w latach 2024–2026 widoczny jest wyraźny powrót w kierunku poziomów równowagi rynkowej (normalizacja zapasów).</w:t>
      </w:r>
    </w:p>
    <w:p w14:paraId="1A03B95D" w14:textId="77777777" w:rsidR="005F7517" w:rsidRDefault="00927BF8">
      <w:r>
        <w:br w:type="page"/>
      </w:r>
    </w:p>
    <w:p w14:paraId="1BEAD6B1" w14:textId="77777777" w:rsidR="005F7517" w:rsidRDefault="00927BF8">
      <w:pPr>
        <w:pStyle w:val="Nagwek2"/>
      </w:pPr>
      <w:bookmarkStart w:id="18" w:name="Xc4b249fec57bb258ea1588c10b6df008215ee24"/>
      <w:bookmarkEnd w:id="17"/>
      <w:r>
        <w:t>Typ 5: Wykres korelacji rozrzutu z dopasowaną prostą regresji</w:t>
      </w:r>
    </w:p>
    <w:p w14:paraId="1B3AF6BB" w14:textId="77777777" w:rsidR="005F7517" w:rsidRDefault="00927BF8">
      <w:pPr>
        <w:pStyle w:val="SourceCode"/>
      </w:pPr>
      <w:r>
        <w:rPr>
          <w:rStyle w:val="FunctionTok"/>
        </w:rPr>
        <w:t>ggplot</w:t>
      </w:r>
      <w:r>
        <w:rPr>
          <w:rStyle w:val="NormalTok"/>
        </w:rPr>
        <w:t xml:space="preserve">(dane, </w:t>
      </w:r>
      <w:r>
        <w:rPr>
          <w:rStyle w:val="FunctionTok"/>
        </w:rPr>
        <w:t>aes</w:t>
      </w:r>
      <w:r>
        <w:rPr>
          <w:rStyle w:val="NormalTok"/>
        </w:rPr>
        <w:t>(</w:t>
      </w:r>
      <w:r>
        <w:rPr>
          <w:rStyle w:val="AttributeTok"/>
        </w:rPr>
        <w:t>x =</w:t>
      </w:r>
      <w:r>
        <w:rPr>
          <w:rStyle w:val="NormalTok"/>
        </w:rPr>
        <w:t xml:space="preserve"> masowe_suche_tys_ton, </w:t>
      </w:r>
      <w:r>
        <w:rPr>
          <w:rStyle w:val="AttributeTok"/>
        </w:rPr>
        <w:t>y =</w:t>
      </w:r>
      <w:r>
        <w:rPr>
          <w:rStyle w:val="NormalTok"/>
        </w:rPr>
        <w:t xml:space="preserve"> wegiel_koks_tys_ton)) </w:t>
      </w:r>
      <w:r>
        <w:rPr>
          <w:rStyle w:val="SpecialCharTok"/>
        </w:rPr>
        <w:t>+</w:t>
      </w:r>
      <w:r>
        <w:br/>
      </w:r>
      <w:r>
        <w:rPr>
          <w:rStyle w:val="NormalTok"/>
        </w:rPr>
        <w:t xml:space="preserve">  </w:t>
      </w:r>
      <w:r>
        <w:rPr>
          <w:rStyle w:val="FunctionTok"/>
        </w:rPr>
        <w:t>geom_point</w:t>
      </w:r>
      <w:r>
        <w:rPr>
          <w:rStyle w:val="NormalTok"/>
        </w:rPr>
        <w:t>(</w:t>
      </w:r>
      <w:r>
        <w:rPr>
          <w:rStyle w:val="FunctionTok"/>
        </w:rPr>
        <w:t>aes</w:t>
      </w:r>
      <w:r>
        <w:rPr>
          <w:rStyle w:val="NormalTok"/>
        </w:rPr>
        <w:t>(</w:t>
      </w:r>
      <w:r>
        <w:rPr>
          <w:rStyle w:val="AttributeTok"/>
        </w:rPr>
        <w:t>color =</w:t>
      </w:r>
      <w:r>
        <w:rPr>
          <w:rStyle w:val="NormalTok"/>
        </w:rPr>
        <w:t xml:space="preserve"> okres_badania), </w:t>
      </w:r>
      <w:r>
        <w:rPr>
          <w:rStyle w:val="AttributeTok"/>
        </w:rPr>
        <w:t>size =</w:t>
      </w:r>
      <w:r>
        <w:rPr>
          <w:rStyle w:val="NormalTok"/>
        </w:rPr>
        <w:t xml:space="preserve"> </w:t>
      </w:r>
      <w:r>
        <w:rPr>
          <w:rStyle w:val="FloatTok"/>
        </w:rPr>
        <w:t>1.9</w:t>
      </w:r>
      <w:r>
        <w:rPr>
          <w:rStyle w:val="NormalTok"/>
        </w:rPr>
        <w:t xml:space="preserve">, </w:t>
      </w:r>
      <w:r>
        <w:rPr>
          <w:rStyle w:val="AttributeTok"/>
        </w:rPr>
        <w:t>alpha =</w:t>
      </w:r>
      <w:r>
        <w:rPr>
          <w:rStyle w:val="NormalTok"/>
        </w:rPr>
        <w:t xml:space="preserve"> </w:t>
      </w:r>
      <w:r>
        <w:rPr>
          <w:rStyle w:val="FloatTok"/>
        </w:rPr>
        <w:t>0.75</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color =</w:t>
      </w:r>
      <w:r>
        <w:rPr>
          <w:rStyle w:val="NormalTok"/>
        </w:rPr>
        <w:t xml:space="preserve"> </w:t>
      </w:r>
      <w:r>
        <w:rPr>
          <w:rStyle w:val="StringTok"/>
        </w:rPr>
        <w:t>"#2c3e50"</w:t>
      </w:r>
      <w:r>
        <w:rPr>
          <w:rStyle w:val="NormalTok"/>
        </w:rPr>
        <w:t xml:space="preserve">, </w:t>
      </w:r>
      <w:r>
        <w:rPr>
          <w:rStyle w:val="AttributeTok"/>
        </w:rPr>
        <w:t>fill =</w:t>
      </w:r>
      <w:r>
        <w:rPr>
          <w:rStyle w:val="NormalTok"/>
        </w:rPr>
        <w:t xml:space="preserve"> </w:t>
      </w:r>
      <w:r>
        <w:rPr>
          <w:rStyle w:val="StringTok"/>
        </w:rPr>
        <w:t>"#bdc3c7"</w:t>
      </w:r>
      <w:r>
        <w:rPr>
          <w:rStyle w:val="NormalTok"/>
        </w:rPr>
        <w:t xml:space="preserve">, </w:t>
      </w:r>
      <w:r>
        <w:rPr>
          <w:rStyle w:val="AttributeTok"/>
        </w:rPr>
        <w:t>linewidth =</w:t>
      </w:r>
      <w:r>
        <w:rPr>
          <w:rStyle w:val="NormalTok"/>
        </w:rPr>
        <w:t xml:space="preserve"> </w:t>
      </w:r>
      <w:r>
        <w:rPr>
          <w:rStyle w:val="FloatTok"/>
        </w:rPr>
        <w:t>1.0</w:t>
      </w:r>
      <w:r>
        <w:rPr>
          <w:rStyle w:val="NormalTok"/>
        </w:rPr>
        <w:t xml:space="preserve">) </w:t>
      </w:r>
      <w:r>
        <w:rPr>
          <w:rStyle w:val="SpecialCharTok"/>
        </w:rPr>
        <w:t>+</w:t>
      </w:r>
      <w:r>
        <w:br/>
      </w:r>
      <w:r>
        <w:rPr>
          <w:rStyle w:val="NormalTok"/>
        </w:rPr>
        <w:t xml:space="preserve">  </w:t>
      </w:r>
      <w:r>
        <w:rPr>
          <w:rStyle w:val="FunctionTok"/>
        </w:rPr>
        <w:t>scale_color_manual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"#2980b9"</w:t>
      </w:r>
      <w:r>
        <w:rPr>
          <w:rStyle w:val="NormalTok"/>
        </w:rPr>
        <w:t xml:space="preserve">, </w:t>
      </w:r>
      <w:r>
        <w:rPr>
          <w:rStyle w:val="StringTok"/>
        </w:rPr>
        <w:t>"#d35400"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"Rysunek 5. Przeładunki węgla a ładunki masowe suche"</w:t>
      </w:r>
      <w:r>
        <w:rPr>
          <w:rStyle w:val="NormalTok"/>
        </w:rPr>
        <w:t>,</w:t>
      </w:r>
      <w:r>
        <w:br/>
      </w:r>
      <w:r>
        <w:rPr>
          <w:rStyle w:val="NormalTok"/>
        </w:rPr>
        <w:t xml:space="preserve">    </w:t>
      </w:r>
      <w:r>
        <w:rPr>
          <w:rStyle w:val="AttributeTok"/>
        </w:rPr>
        <w:t>subtitle =</w:t>
      </w:r>
      <w:r>
        <w:rPr>
          <w:rStyle w:val="NormalTok"/>
        </w:rPr>
        <w:t xml:space="preserve"> </w:t>
      </w:r>
      <w:r>
        <w:rPr>
          <w:rStyle w:val="StringTok"/>
        </w:rPr>
        <w:t>"Wykres rozrzutu z dopasowaną prostą regresji liniowej OLS"</w:t>
      </w:r>
      <w:r>
        <w:rPr>
          <w:rStyle w:val="NormalTok"/>
        </w:rPr>
        <w:t>,</w:t>
      </w:r>
      <w:r>
        <w:br/>
      </w:r>
      <w:r>
        <w:rPr>
          <w:rStyle w:val="NormalTok"/>
        </w:rPr>
        <w:t xml:space="preserve">    </w:t>
      </w:r>
      <w:r>
        <w:rPr>
          <w:rStyle w:val="AttributeTok"/>
        </w:rPr>
        <w:t>x =</w:t>
      </w:r>
      <w:r>
        <w:rPr>
          <w:rStyle w:val="NormalTok"/>
        </w:rPr>
        <w:t xml:space="preserve"> </w:t>
      </w:r>
      <w:r>
        <w:rPr>
          <w:rStyle w:val="StringTok"/>
        </w:rPr>
        <w:t>"Ładunki masowe suche ogółem w portach (tys. ton)"</w:t>
      </w:r>
      <w:r>
        <w:rPr>
          <w:rStyle w:val="NormalTok"/>
        </w:rPr>
        <w:t>,</w:t>
      </w:r>
      <w:r>
        <w:br/>
      </w:r>
      <w:r>
        <w:rPr>
          <w:rStyle w:val="NormalTok"/>
        </w:rPr>
        <w:t xml:space="preserve">    </w:t>
      </w:r>
      <w:r>
        <w:rPr>
          <w:rStyle w:val="AttributeTok"/>
        </w:rPr>
        <w:t>y =</w:t>
      </w:r>
      <w:r>
        <w:rPr>
          <w:rStyle w:val="NormalTok"/>
        </w:rPr>
        <w:t xml:space="preserve"> </w:t>
      </w:r>
      <w:r>
        <w:rPr>
          <w:rStyle w:val="StringTok"/>
        </w:rPr>
        <w:t>"Przeładunki węgla i koksu (tys. ton)"</w:t>
      </w:r>
      <w:r>
        <w:rPr>
          <w:rStyle w:val="NormalTok"/>
        </w:rPr>
        <w:t>,</w:t>
      </w:r>
      <w:r>
        <w:br/>
      </w:r>
      <w:r>
        <w:rPr>
          <w:rStyle w:val="NormalTok"/>
        </w:rPr>
        <w:t xml:space="preserve">    </w:t>
      </w:r>
      <w:r>
        <w:rPr>
          <w:rStyle w:val="AttributeTok"/>
        </w:rPr>
        <w:t>color =</w:t>
      </w:r>
      <w:r>
        <w:rPr>
          <w:rStyle w:val="NormalTok"/>
        </w:rPr>
        <w:t xml:space="preserve"> </w:t>
      </w:r>
      <w:r>
        <w:rPr>
          <w:rStyle w:val="StringTok"/>
        </w:rPr>
        <w:t>"Okres"</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10</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10</w:t>
      </w:r>
      <w:r>
        <w:rPr>
          <w:rStyle w:val="NormalTok"/>
        </w:rPr>
        <w:t xml:space="preserve">, </w:t>
      </w:r>
      <w:r>
        <w:rPr>
          <w:rStyle w:val="AttributeTok"/>
        </w:rPr>
        <w:t>face =</w:t>
      </w:r>
      <w:r>
        <w:rPr>
          <w:rStyle w:val="NormalTok"/>
        </w:rPr>
        <w:t xml:space="preserve"> </w:t>
      </w:r>
      <w:r>
        <w:rPr>
          <w:rStyle w:val="StringTok"/>
        </w:rPr>
        <w:t>"bold"</w:t>
      </w:r>
      <w:r>
        <w:rPr>
          <w:rStyle w:val="NormalTok"/>
        </w:rPr>
        <w:t xml:space="preserve">, </w:t>
      </w:r>
      <w:r>
        <w:rPr>
          <w:rStyle w:val="AttributeTok"/>
        </w:rPr>
        <w:t>hjust =</w:t>
      </w:r>
      <w:r>
        <w:rPr>
          <w:rStyle w:val="NormalTok"/>
        </w:rPr>
        <w:t xml:space="preserve"> </w:t>
      </w:r>
      <w:r>
        <w:rPr>
          <w:rStyle w:val="DecValTok"/>
        </w:rPr>
        <w:t>0</w:t>
      </w:r>
      <w:r>
        <w:rPr>
          <w:rStyle w:val="NormalTok"/>
        </w:rPr>
        <w:t>),</w:t>
      </w:r>
      <w:r>
        <w:br/>
      </w:r>
      <w:r>
        <w:rPr>
          <w:rStyle w:val="NormalTok"/>
        </w:rPr>
        <w:t xml:space="preserve">    </w:t>
      </w:r>
      <w:r>
        <w:rPr>
          <w:rStyle w:val="AttributeTok"/>
        </w:rPr>
        <w:t>plot.subtitle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FloatTok"/>
        </w:rPr>
        <w:t>8.5</w:t>
      </w:r>
      <w:r>
        <w:rPr>
          <w:rStyle w:val="NormalTok"/>
        </w:rPr>
        <w:t xml:space="preserve">, </w:t>
      </w:r>
      <w:r>
        <w:rPr>
          <w:rStyle w:val="AttributeTok"/>
        </w:rPr>
        <w:t>color =</w:t>
      </w:r>
      <w:r>
        <w:rPr>
          <w:rStyle w:val="NormalTok"/>
        </w:rPr>
        <w:t xml:space="preserve"> </w:t>
      </w:r>
      <w:r>
        <w:rPr>
          <w:rStyle w:val="StringTok"/>
        </w:rPr>
        <w:t>"#444444"</w:t>
      </w:r>
      <w:r>
        <w:rPr>
          <w:rStyle w:val="NormalTok"/>
        </w:rPr>
        <w:t>),</w:t>
      </w:r>
      <w:r>
        <w:br/>
      </w:r>
      <w:r>
        <w:rPr>
          <w:rStyle w:val="NormalTok"/>
        </w:rPr>
        <w:t xml:space="preserve">    </w:t>
      </w:r>
      <w:r>
        <w:rPr>
          <w:rStyle w:val="AttributeTok"/>
        </w:rPr>
        <w:t>plot.margin =</w:t>
      </w:r>
      <w:r>
        <w:rPr>
          <w:rStyle w:val="NormalTok"/>
        </w:rPr>
        <w:t xml:space="preserve"> </w:t>
      </w:r>
      <w:r>
        <w:rPr>
          <w:rStyle w:val="FunctionTok"/>
        </w:rPr>
        <w:t>margin</w:t>
      </w:r>
      <w:r>
        <w:rPr>
          <w:rStyle w:val="NormalTok"/>
        </w:rPr>
        <w:t>(</w:t>
      </w:r>
      <w:r>
        <w:rPr>
          <w:rStyle w:val="AttributeTok"/>
        </w:rPr>
        <w:t>t =</w:t>
      </w:r>
      <w:r>
        <w:rPr>
          <w:rStyle w:val="NormalTok"/>
        </w:rPr>
        <w:t xml:space="preserve"> </w:t>
      </w:r>
      <w:r>
        <w:rPr>
          <w:rStyle w:val="DecValTok"/>
        </w:rPr>
        <w:t>10</w:t>
      </w:r>
      <w:r>
        <w:rPr>
          <w:rStyle w:val="NormalTok"/>
        </w:rPr>
        <w:t xml:space="preserve">, </w:t>
      </w:r>
      <w:r>
        <w:rPr>
          <w:rStyle w:val="AttributeTok"/>
        </w:rPr>
        <w:t>r =</w:t>
      </w:r>
      <w:r>
        <w:rPr>
          <w:rStyle w:val="NormalTok"/>
        </w:rPr>
        <w:t xml:space="preserve"> </w:t>
      </w:r>
      <w:r>
        <w:rPr>
          <w:rStyle w:val="DecValTok"/>
        </w:rPr>
        <w:t>25</w:t>
      </w:r>
      <w:r>
        <w:rPr>
          <w:rStyle w:val="NormalTok"/>
        </w:rPr>
        <w:t xml:space="preserve">, </w:t>
      </w:r>
      <w:r>
        <w:rPr>
          <w:rStyle w:val="AttributeTok"/>
        </w:rPr>
        <w:t>b =</w:t>
      </w:r>
      <w:r>
        <w:rPr>
          <w:rStyle w:val="NormalTok"/>
        </w:rPr>
        <w:t xml:space="preserve"> </w:t>
      </w:r>
      <w:r>
        <w:rPr>
          <w:rStyle w:val="DecValTok"/>
        </w:rPr>
        <w:t>10</w:t>
      </w:r>
      <w:r>
        <w:rPr>
          <w:rStyle w:val="NormalTok"/>
        </w:rPr>
        <w:t xml:space="preserve">, </w:t>
      </w:r>
      <w:r>
        <w:rPr>
          <w:rStyle w:val="AttributeTok"/>
        </w:rPr>
        <w:t>l =</w:t>
      </w:r>
      <w:r>
        <w:rPr>
          <w:rStyle w:val="NormalTok"/>
        </w:rPr>
        <w:t xml:space="preserve"> </w:t>
      </w:r>
      <w:r>
        <w:rPr>
          <w:rStyle w:val="DecValTok"/>
        </w:rPr>
        <w:t>10</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br/>
      </w:r>
      <w:r>
        <w:rPr>
          <w:rStyle w:val="NormalTok"/>
        </w:rPr>
        <w:t xml:space="preserve">  )</w:t>
      </w:r>
    </w:p>
    <w:p w14:paraId="401820C7" w14:textId="77777777" w:rsidR="005F7517" w:rsidRDefault="00927BF8">
      <w:pPr>
        <w:pStyle w:val="FirstParagraph"/>
      </w:pPr>
      <w:r>
        <w:rPr>
          <w:noProof/>
        </w:rPr>
        <w:drawing>
          <wp:inline distT="0" distB="0" distL="0" distR="0" wp14:anchorId="7C179599" wp14:editId="2FD30126">
            <wp:extent cx="5334000" cy="3097161"/>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analiza_statystyczna_Dominika_files/figure-docx/wykres_rozrzut-1.png"/>
                    <pic:cNvPicPr>
                      <a:picLocks noChangeAspect="1" noChangeArrowheads="1"/>
                    </pic:cNvPicPr>
                  </pic:nvPicPr>
                  <pic:blipFill>
                    <a:blip r:embed="rId10"/>
                    <a:stretch>
                      <a:fillRect/>
                    </a:stretch>
                  </pic:blipFill>
                  <pic:spPr bwMode="auto">
                    <a:xfrm>
                      <a:off x="0" y="0"/>
                      <a:ext cx="5334000" cy="3097161"/>
                    </a:xfrm>
                    <a:prstGeom prst="rect">
                      <a:avLst/>
                    </a:prstGeom>
                    <a:noFill/>
                    <a:ln w="9525">
                      <a:noFill/>
                      <a:headEnd/>
                      <a:tailEnd/>
                    </a:ln>
                  </pic:spPr>
                </pic:pic>
              </a:graphicData>
            </a:graphic>
          </wp:inline>
        </w:drawing>
      </w:r>
    </w:p>
    <w:p w14:paraId="78AE38A6" w14:textId="77777777" w:rsidR="005F7517" w:rsidRDefault="00927BF8">
      <w:pPr>
        <w:pStyle w:val="Tekstpodstawowy"/>
      </w:pPr>
      <w:r>
        <w:rPr>
          <w:i/>
          <w:iCs/>
        </w:rPr>
        <w:t>Komentarz do wykresu 5:</w:t>
      </w:r>
      <w:r>
        <w:t xml:space="preserve"> </w:t>
      </w:r>
      <w:r>
        <w:t>Wykres rozrzutu ukazuje bardzo wyraźną współbieżność liniową pomiędzy wolumenem węgla i koksu a łączną masą ładunków suchych przeładowywanych w polskich portach. Punkty z okresu kryzysowego (pomarańczowe) przesunęły się w prawy górny róg wykresu, odzwierciedlając skok obu miar w tym samym czasie.</w:t>
      </w:r>
    </w:p>
    <w:p w14:paraId="4EC027A6" w14:textId="77777777" w:rsidR="005F7517" w:rsidRDefault="00927BF8">
      <w:r>
        <w:br w:type="page"/>
      </w:r>
    </w:p>
    <w:p w14:paraId="3CBDE226" w14:textId="77777777" w:rsidR="005F7517" w:rsidRDefault="00927BF8">
      <w:pPr>
        <w:pStyle w:val="Nagwek1"/>
      </w:pPr>
      <w:bookmarkStart w:id="19" w:name="iv.-weryfikacja-hipotez-statystycznych"/>
      <w:bookmarkStart w:id="20" w:name="_Toc240407088"/>
      <w:bookmarkEnd w:id="12"/>
      <w:bookmarkEnd w:id="18"/>
      <w:r>
        <w:t>IV. Weryfikacja hipotez statystycznych</w:t>
      </w:r>
      <w:bookmarkEnd w:id="20"/>
    </w:p>
    <w:p w14:paraId="5B999349" w14:textId="77777777" w:rsidR="005F7517" w:rsidRDefault="00927BF8">
      <w:pPr>
        <w:pStyle w:val="FirstParagraph"/>
      </w:pPr>
      <w:r>
        <w:t xml:space="preserve">W niniejszym rozdziale przeprowadzono weryfikację hipotez statystycznych dotyczących zależności między cechami oraz istotności różnic między badanymi podokresami. Wszystkie testy zrealizowano na standardowym poziomie istotności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oMath>
      <w:r>
        <w:t>.</w:t>
      </w:r>
    </w:p>
    <w:p w14:paraId="2DB43C4D" w14:textId="77777777" w:rsidR="005F7517" w:rsidRDefault="00927BF8">
      <w:r>
        <w:pict w14:anchorId="4CDFDE4E">
          <v:rect id="_x0000_i1025" style="width:0;height:1.5pt" o:hralign="center" o:hrstd="t" o:hr="t"/>
        </w:pict>
      </w:r>
    </w:p>
    <w:p w14:paraId="767A1536" w14:textId="77777777" w:rsidR="005F7517" w:rsidRDefault="00927BF8">
      <w:pPr>
        <w:pStyle w:val="Nagwek2"/>
      </w:pPr>
      <w:bookmarkStart w:id="21" w:name="X0859ce66df314721d64dcb4e823a4c9e398c6e0"/>
      <w:r>
        <w:t>Weryfikacja wstępna: Test normalności rozkładu Shapiro-Wilka</w:t>
      </w:r>
    </w:p>
    <w:p w14:paraId="448C9E25" w14:textId="77777777" w:rsidR="005F7517" w:rsidRDefault="00927BF8">
      <w:pPr>
        <w:pStyle w:val="FirstParagraph"/>
      </w:pPr>
      <w:r>
        <w:t>Przed przystąpieniem do testów parametrycznych sprawdzono założenie o zgodności rozkładów analizowanych cech z rozkładem normalnym.</w:t>
      </w:r>
    </w:p>
    <w:p w14:paraId="619BD013" w14:textId="77777777" w:rsidR="005F7517" w:rsidRDefault="00927BF8">
      <w:pPr>
        <w:pStyle w:val="Compact"/>
        <w:numPr>
          <w:ilvl w:val="0"/>
          <w:numId w:val="7"/>
        </w:numPr>
      </w:pPr>
      <w:r>
        <w:rPr>
          <w:b/>
          <w:bCs/>
        </w:rPr>
        <w:t>Hipoteza zerowa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b/>
          <w:bCs/>
        </w:rPr>
        <w:t>):</w:t>
      </w:r>
      <w:r>
        <w:t xml:space="preserve"> Rozkład badanej cechy jest rozkładem normalnym.</w:t>
      </w:r>
    </w:p>
    <w:p w14:paraId="318A528D" w14:textId="77777777" w:rsidR="005F7517" w:rsidRDefault="00927BF8">
      <w:pPr>
        <w:pStyle w:val="Compact"/>
        <w:numPr>
          <w:ilvl w:val="0"/>
          <w:numId w:val="7"/>
        </w:numPr>
      </w:pPr>
      <w:r>
        <w:rPr>
          <w:b/>
          <w:bCs/>
        </w:rPr>
        <w:t>Hipoteza alternatywna (</w:t>
      </w:r>
      <m:oMath>
        <m:sSub>
          <m:sSubPr>
            <m:ctrlPr>
              <w:rPr>
                <w:rFonts w:ascii="Cambria Math" w:hAnsi="Cambria Math"/>
              </w:rPr>
            </m:ctrlPr>
          </m:sSubPr>
          <m:e>
            <m:r>
              <w:rPr>
                <w:rFonts w:ascii="Cambria Math" w:hAnsi="Cambria Math"/>
              </w:rPr>
              <m:t>H</m:t>
            </m:r>
          </m:e>
          <m:sub>
            <m:r>
              <w:rPr>
                <w:rFonts w:ascii="Cambria Math" w:hAnsi="Cambria Math"/>
              </w:rPr>
              <m:t>1</m:t>
            </m:r>
          </m:sub>
        </m:sSub>
      </m:oMath>
      <w:r>
        <w:rPr>
          <w:b/>
          <w:bCs/>
        </w:rPr>
        <w:t>):</w:t>
      </w:r>
      <w:r>
        <w:t xml:space="preserve"> Rozkład badanej cechy różni się istotnie od rozkładu normalnego.</w:t>
      </w:r>
    </w:p>
    <w:p w14:paraId="228DC969" w14:textId="77777777" w:rsidR="005F7517" w:rsidRDefault="00927BF8">
      <w:pPr>
        <w:pStyle w:val="SourceCode"/>
      </w:pPr>
      <w:r>
        <w:rPr>
          <w:rStyle w:val="NormalTok"/>
        </w:rPr>
        <w:t xml:space="preserve">shapiro_wegiel </w:t>
      </w:r>
      <w:r>
        <w:rPr>
          <w:rStyle w:val="OtherTok"/>
        </w:rPr>
        <w:t>&lt;-</w:t>
      </w:r>
      <w:r>
        <w:rPr>
          <w:rStyle w:val="NormalTok"/>
        </w:rPr>
        <w:t xml:space="preserve"> </w:t>
      </w:r>
      <w:r>
        <w:rPr>
          <w:rStyle w:val="FunctionTok"/>
        </w:rPr>
        <w:t>shapiro.test</w:t>
      </w:r>
      <w:r>
        <w:rPr>
          <w:rStyle w:val="NormalTok"/>
        </w:rPr>
        <w:t>(dane</w:t>
      </w:r>
      <w:r>
        <w:rPr>
          <w:rStyle w:val="SpecialCharTok"/>
        </w:rPr>
        <w:t>$</w:t>
      </w:r>
      <w:r>
        <w:rPr>
          <w:rStyle w:val="NormalTok"/>
        </w:rPr>
        <w:t>wegiel_koks_tys_ton)</w:t>
      </w:r>
      <w:r>
        <w:br/>
      </w:r>
      <w:r>
        <w:rPr>
          <w:rStyle w:val="NormalTok"/>
        </w:rPr>
        <w:t xml:space="preserve">shapiro_masowe </w:t>
      </w:r>
      <w:r>
        <w:rPr>
          <w:rStyle w:val="OtherTok"/>
        </w:rPr>
        <w:t>&lt;-</w:t>
      </w:r>
      <w:r>
        <w:rPr>
          <w:rStyle w:val="NormalTok"/>
        </w:rPr>
        <w:t xml:space="preserve"> </w:t>
      </w:r>
      <w:r>
        <w:rPr>
          <w:rStyle w:val="FunctionTok"/>
        </w:rPr>
        <w:t>shapiro.test</w:t>
      </w:r>
      <w:r>
        <w:rPr>
          <w:rStyle w:val="NormalTok"/>
        </w:rPr>
        <w:t>(dane</w:t>
      </w:r>
      <w:r>
        <w:rPr>
          <w:rStyle w:val="SpecialCharTok"/>
        </w:rPr>
        <w:t>$</w:t>
      </w:r>
      <w:r>
        <w:rPr>
          <w:rStyle w:val="NormalTok"/>
        </w:rPr>
        <w:t>masowe_suche_tys_ton)</w:t>
      </w:r>
      <w:r>
        <w:br/>
      </w:r>
      <w:r>
        <w:br/>
      </w:r>
      <w:r>
        <w:rPr>
          <w:rStyle w:val="NormalTok"/>
        </w:rPr>
        <w:t xml:space="preserve">wyniki_shapiro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Zmienna =</w:t>
      </w:r>
      <w:r>
        <w:rPr>
          <w:rStyle w:val="NormalTok"/>
        </w:rPr>
        <w:t xml:space="preserve"> </w:t>
      </w:r>
      <w:r>
        <w:rPr>
          <w:rStyle w:val="FunctionTok"/>
        </w:rPr>
        <w:t>c</w:t>
      </w:r>
      <w:r>
        <w:rPr>
          <w:rStyle w:val="NormalTok"/>
        </w:rPr>
        <w:t>(</w:t>
      </w:r>
      <w:r>
        <w:rPr>
          <w:rStyle w:val="StringTok"/>
        </w:rPr>
        <w:t>"Węgiel i koks"</w:t>
      </w:r>
      <w:r>
        <w:rPr>
          <w:rStyle w:val="NormalTok"/>
        </w:rPr>
        <w:t xml:space="preserve">, </w:t>
      </w:r>
      <w:r>
        <w:rPr>
          <w:rStyle w:val="StringTok"/>
        </w:rPr>
        <w:t>"Ładunki masowe suche"</w:t>
      </w:r>
      <w:r>
        <w:rPr>
          <w:rStyle w:val="NormalTok"/>
        </w:rPr>
        <w:t>),</w:t>
      </w:r>
      <w:r>
        <w:br/>
      </w:r>
      <w:r>
        <w:rPr>
          <w:rStyle w:val="NormalTok"/>
        </w:rPr>
        <w:t xml:space="preserve">  </w:t>
      </w:r>
      <w:r>
        <w:rPr>
          <w:rStyle w:val="AttributeTok"/>
        </w:rPr>
        <w:t>Statystyka_W =</w:t>
      </w:r>
      <w:r>
        <w:rPr>
          <w:rStyle w:val="NormalTok"/>
        </w:rPr>
        <w:t xml:space="preserve"> </w:t>
      </w:r>
      <w:r>
        <w:rPr>
          <w:rStyle w:val="FunctionTok"/>
        </w:rPr>
        <w:t>sprintf</w:t>
      </w:r>
      <w:r>
        <w:rPr>
          <w:rStyle w:val="NormalTok"/>
        </w:rPr>
        <w:t>(</w:t>
      </w:r>
      <w:r>
        <w:rPr>
          <w:rStyle w:val="StringTok"/>
        </w:rPr>
        <w:t>"%.4f"</w:t>
      </w:r>
      <w:r>
        <w:rPr>
          <w:rStyle w:val="NormalTok"/>
        </w:rPr>
        <w:t xml:space="preserve">, </w:t>
      </w:r>
      <w:r>
        <w:rPr>
          <w:rStyle w:val="FunctionTok"/>
        </w:rPr>
        <w:t>c</w:t>
      </w:r>
      <w:r>
        <w:rPr>
          <w:rStyle w:val="NormalTok"/>
        </w:rPr>
        <w:t>(shapiro_wegiel</w:t>
      </w:r>
      <w:r>
        <w:rPr>
          <w:rStyle w:val="SpecialCharTok"/>
        </w:rPr>
        <w:t>$</w:t>
      </w:r>
      <w:r>
        <w:rPr>
          <w:rStyle w:val="NormalTok"/>
        </w:rPr>
        <w:t>statistic, shapiro_masowe</w:t>
      </w:r>
      <w:r>
        <w:rPr>
          <w:rStyle w:val="SpecialCharTok"/>
        </w:rPr>
        <w:t>$</w:t>
      </w:r>
      <w:r>
        <w:rPr>
          <w:rStyle w:val="NormalTok"/>
        </w:rPr>
        <w:t>statistic)),</w:t>
      </w:r>
      <w:r>
        <w:br/>
      </w:r>
      <w:r>
        <w:rPr>
          <w:rStyle w:val="NormalTok"/>
        </w:rPr>
        <w:t xml:space="preserve">  </w:t>
      </w:r>
      <w:r>
        <w:rPr>
          <w:rStyle w:val="AttributeTok"/>
        </w:rPr>
        <w:t>p_value =</w:t>
      </w:r>
      <w:r>
        <w:rPr>
          <w:rStyle w:val="NormalTok"/>
        </w:rPr>
        <w:t xml:space="preserve"> </w:t>
      </w:r>
      <w:r>
        <w:rPr>
          <w:rStyle w:val="FunctionTok"/>
        </w:rPr>
        <w:t>sprintf</w:t>
      </w:r>
      <w:r>
        <w:rPr>
          <w:rStyle w:val="NormalTok"/>
        </w:rPr>
        <w:t>(</w:t>
      </w:r>
      <w:r>
        <w:rPr>
          <w:rStyle w:val="StringTok"/>
        </w:rPr>
        <w:t>"%.4e"</w:t>
      </w:r>
      <w:r>
        <w:rPr>
          <w:rStyle w:val="NormalTok"/>
        </w:rPr>
        <w:t xml:space="preserve">, </w:t>
      </w:r>
      <w:r>
        <w:rPr>
          <w:rStyle w:val="FunctionTok"/>
        </w:rPr>
        <w:t>c</w:t>
      </w:r>
      <w:r>
        <w:rPr>
          <w:rStyle w:val="NormalTok"/>
        </w:rPr>
        <w:t>(shapiro_wegiel</w:t>
      </w:r>
      <w:r>
        <w:rPr>
          <w:rStyle w:val="SpecialCharTok"/>
        </w:rPr>
        <w:t>$</w:t>
      </w:r>
      <w:r>
        <w:rPr>
          <w:rStyle w:val="NormalTok"/>
        </w:rPr>
        <w:t>p.value, shapiro_masowe</w:t>
      </w:r>
      <w:r>
        <w:rPr>
          <w:rStyle w:val="SpecialCharTok"/>
        </w:rPr>
        <w:t>$</w:t>
      </w:r>
      <w:r>
        <w:rPr>
          <w:rStyle w:val="NormalTok"/>
        </w:rPr>
        <w:t>p.value)),</w:t>
      </w:r>
      <w:r>
        <w:br/>
      </w:r>
      <w:r>
        <w:rPr>
          <w:rStyle w:val="NormalTok"/>
        </w:rPr>
        <w:t xml:space="preserve">  </w:t>
      </w:r>
      <w:r>
        <w:rPr>
          <w:rStyle w:val="AttributeTok"/>
        </w:rPr>
        <w:t>Decyzja =</w:t>
      </w:r>
      <w:r>
        <w:rPr>
          <w:rStyle w:val="NormalTok"/>
        </w:rPr>
        <w:t xml:space="preserve"> </w:t>
      </w:r>
      <w:r>
        <w:rPr>
          <w:rStyle w:val="FunctionTok"/>
        </w:rPr>
        <w:t>c</w:t>
      </w:r>
      <w:r>
        <w:rPr>
          <w:rStyle w:val="NormalTok"/>
        </w:rPr>
        <w:t>(</w:t>
      </w:r>
      <w:r>
        <w:rPr>
          <w:rStyle w:val="StringTok"/>
        </w:rPr>
        <w:t>"Odrzucenie H0 (p &lt; 0.05)"</w:t>
      </w:r>
      <w:r>
        <w:rPr>
          <w:rStyle w:val="NormalTok"/>
        </w:rPr>
        <w:t xml:space="preserve">, </w:t>
      </w:r>
      <w:r>
        <w:rPr>
          <w:rStyle w:val="StringTok"/>
        </w:rPr>
        <w:t>"Odrzucenie H0 (p &lt; 0.05)"</w:t>
      </w:r>
      <w:r>
        <w:rPr>
          <w:rStyle w:val="NormalTok"/>
        </w:rPr>
        <w:t>),</w:t>
      </w:r>
      <w:r>
        <w:br/>
      </w:r>
      <w:r>
        <w:rPr>
          <w:rStyle w:val="NormalTok"/>
        </w:rPr>
        <w:t xml:space="preserve">  </w:t>
      </w:r>
      <w:r>
        <w:rPr>
          <w:rStyle w:val="AttributeTok"/>
        </w:rPr>
        <w:t>Wniosek =</w:t>
      </w:r>
      <w:r>
        <w:rPr>
          <w:rStyle w:val="NormalTok"/>
        </w:rPr>
        <w:t xml:space="preserve"> </w:t>
      </w:r>
      <w:r>
        <w:rPr>
          <w:rStyle w:val="FunctionTok"/>
        </w:rPr>
        <w:t>c</w:t>
      </w:r>
      <w:r>
        <w:rPr>
          <w:rStyle w:val="NormalTok"/>
        </w:rPr>
        <w:t>(</w:t>
      </w:r>
      <w:r>
        <w:rPr>
          <w:rStyle w:val="StringTok"/>
        </w:rPr>
        <w:t>"Rozkład nie jest normalny"</w:t>
      </w:r>
      <w:r>
        <w:rPr>
          <w:rStyle w:val="NormalTok"/>
        </w:rPr>
        <w:t xml:space="preserve">, </w:t>
      </w:r>
      <w:r>
        <w:rPr>
          <w:rStyle w:val="StringTok"/>
        </w:rPr>
        <w:t>"Rozkład nie jest normalny"</w:t>
      </w:r>
      <w:r>
        <w:rPr>
          <w:rStyle w:val="NormalTok"/>
        </w:rPr>
        <w:t>)</w:t>
      </w:r>
      <w:r>
        <w:br/>
      </w:r>
      <w:r>
        <w:rPr>
          <w:rStyle w:val="NormalTok"/>
        </w:rPr>
        <w:t>)</w:t>
      </w:r>
      <w:r>
        <w:br/>
      </w:r>
      <w:r>
        <w:rPr>
          <w:rStyle w:val="FunctionTok"/>
        </w:rPr>
        <w:t>colnames</w:t>
      </w:r>
      <w:r>
        <w:rPr>
          <w:rStyle w:val="NormalTok"/>
        </w:rPr>
        <w:t xml:space="preserve">(wyniki_shapiro) </w:t>
      </w:r>
      <w:r>
        <w:rPr>
          <w:rStyle w:val="OtherTok"/>
        </w:rPr>
        <w:t>&lt;-</w:t>
      </w:r>
      <w:r>
        <w:rPr>
          <w:rStyle w:val="NormalTok"/>
        </w:rPr>
        <w:t xml:space="preserve"> </w:t>
      </w:r>
      <w:r>
        <w:rPr>
          <w:rStyle w:val="FunctionTok"/>
        </w:rPr>
        <w:t>c</w:t>
      </w:r>
      <w:r>
        <w:rPr>
          <w:rStyle w:val="NormalTok"/>
        </w:rPr>
        <w:t>(</w:t>
      </w:r>
      <w:r>
        <w:rPr>
          <w:rStyle w:val="StringTok"/>
        </w:rPr>
        <w:t>"Zmienna"</w:t>
      </w:r>
      <w:r>
        <w:rPr>
          <w:rStyle w:val="NormalTok"/>
        </w:rPr>
        <w:t xml:space="preserve">, </w:t>
      </w:r>
      <w:r>
        <w:rPr>
          <w:rStyle w:val="StringTok"/>
        </w:rPr>
        <w:t>"Statystyka W"</w:t>
      </w:r>
      <w:r>
        <w:rPr>
          <w:rStyle w:val="NormalTok"/>
        </w:rPr>
        <w:t xml:space="preserve">, </w:t>
      </w:r>
      <w:r>
        <w:rPr>
          <w:rStyle w:val="StringTok"/>
        </w:rPr>
        <w:t>"p-value"</w:t>
      </w:r>
      <w:r>
        <w:rPr>
          <w:rStyle w:val="NormalTok"/>
        </w:rPr>
        <w:t xml:space="preserve">, </w:t>
      </w:r>
      <w:r>
        <w:rPr>
          <w:rStyle w:val="StringTok"/>
        </w:rPr>
        <w:t>"Decyzja (alpha = 0.05)"</w:t>
      </w:r>
      <w:r>
        <w:rPr>
          <w:rStyle w:val="NormalTok"/>
        </w:rPr>
        <w:t xml:space="preserve">, </w:t>
      </w:r>
      <w:r>
        <w:rPr>
          <w:rStyle w:val="StringTok"/>
        </w:rPr>
        <w:t>"Wniosek"</w:t>
      </w:r>
      <w:r>
        <w:rPr>
          <w:rStyle w:val="NormalTok"/>
        </w:rPr>
        <w:t>)</w:t>
      </w:r>
      <w:r>
        <w:br/>
      </w:r>
      <w:r>
        <w:br/>
      </w:r>
      <w:r>
        <w:rPr>
          <w:rStyle w:val="NormalTok"/>
        </w:rPr>
        <w:t>knitr</w:t>
      </w:r>
      <w:r>
        <w:rPr>
          <w:rStyle w:val="SpecialCharTok"/>
        </w:rPr>
        <w:t>::</w:t>
      </w:r>
      <w:r>
        <w:rPr>
          <w:rStyle w:val="FunctionTok"/>
        </w:rPr>
        <w:t>kable</w:t>
      </w:r>
      <w:r>
        <w:rPr>
          <w:rStyle w:val="NormalTok"/>
        </w:rPr>
        <w:t xml:space="preserve">(wyniki_shapiro, </w:t>
      </w:r>
      <w:r>
        <w:rPr>
          <w:rStyle w:val="AttributeTok"/>
        </w:rPr>
        <w:t>caption =</w:t>
      </w:r>
      <w:r>
        <w:rPr>
          <w:rStyle w:val="NormalTok"/>
        </w:rPr>
        <w:t xml:space="preserve"> </w:t>
      </w:r>
      <w:r>
        <w:rPr>
          <w:rStyle w:val="StringTok"/>
        </w:rPr>
        <w:t>"Tabela 2. Wyniki testu normalności Shapiro-Wilka"</w:t>
      </w:r>
      <w:r>
        <w:rPr>
          <w:rStyle w:val="NormalTok"/>
        </w:rPr>
        <w:t>)</w:t>
      </w:r>
    </w:p>
    <w:p w14:paraId="347480FC" w14:textId="77777777" w:rsidR="005F7517" w:rsidRDefault="00927BF8">
      <w:pPr>
        <w:pStyle w:val="TableCaption"/>
      </w:pPr>
      <w:r>
        <w:t>Tabela 2. Wyniki testu normalności Shapiro-Wilka</w:t>
      </w:r>
    </w:p>
    <w:tbl>
      <w:tblPr>
        <w:tblStyle w:val="Table"/>
        <w:tblW w:w="5000" w:type="pct"/>
        <w:tblLayout w:type="fixed"/>
        <w:tblLook w:val="0020" w:firstRow="1" w:lastRow="0" w:firstColumn="0" w:lastColumn="0" w:noHBand="0" w:noVBand="0"/>
        <w:tblCaption w:val="Tabela 2. Wyniki testu normalności Shapiro-Wilka"/>
      </w:tblPr>
      <w:tblGrid>
        <w:gridCol w:w="2104"/>
        <w:gridCol w:w="1303"/>
        <w:gridCol w:w="1102"/>
        <w:gridCol w:w="2506"/>
        <w:gridCol w:w="2607"/>
      </w:tblGrid>
      <w:tr w:rsidR="005F7517" w14:paraId="0F8715AB" w14:textId="77777777" w:rsidTr="005F7517">
        <w:trPr>
          <w:cnfStyle w:val="100000000000" w:firstRow="1" w:lastRow="0" w:firstColumn="0" w:lastColumn="0" w:oddVBand="0" w:evenVBand="0" w:oddHBand="0" w:evenHBand="0" w:firstRowFirstColumn="0" w:firstRowLastColumn="0" w:lastRowFirstColumn="0" w:lastRowLastColumn="0"/>
          <w:tblHeader/>
        </w:trPr>
        <w:tc>
          <w:tcPr>
            <w:tcW w:w="1732" w:type="dxa"/>
          </w:tcPr>
          <w:p w14:paraId="74851418" w14:textId="77777777" w:rsidR="005F7517" w:rsidRDefault="00927BF8">
            <w:pPr>
              <w:pStyle w:val="Compact"/>
            </w:pPr>
            <w:r>
              <w:t>Zmienna</w:t>
            </w:r>
          </w:p>
        </w:tc>
        <w:tc>
          <w:tcPr>
            <w:tcW w:w="1072" w:type="dxa"/>
          </w:tcPr>
          <w:p w14:paraId="3060C0AD" w14:textId="77777777" w:rsidR="005F7517" w:rsidRDefault="00927BF8">
            <w:pPr>
              <w:pStyle w:val="Compact"/>
            </w:pPr>
            <w:r>
              <w:t>Statystyka W</w:t>
            </w:r>
          </w:p>
        </w:tc>
        <w:tc>
          <w:tcPr>
            <w:tcW w:w="907" w:type="dxa"/>
          </w:tcPr>
          <w:p w14:paraId="0ACC6C51" w14:textId="77777777" w:rsidR="005F7517" w:rsidRDefault="00927BF8">
            <w:pPr>
              <w:pStyle w:val="Compact"/>
            </w:pPr>
            <w:r>
              <w:t>p-value</w:t>
            </w:r>
          </w:p>
        </w:tc>
        <w:tc>
          <w:tcPr>
            <w:tcW w:w="2062" w:type="dxa"/>
          </w:tcPr>
          <w:p w14:paraId="5F640D21" w14:textId="77777777" w:rsidR="005F7517" w:rsidRDefault="00927BF8">
            <w:pPr>
              <w:pStyle w:val="Compact"/>
            </w:pPr>
            <w:r>
              <w:t>Decyzja (alpha = 0.05)</w:t>
            </w:r>
          </w:p>
        </w:tc>
        <w:tc>
          <w:tcPr>
            <w:tcW w:w="2145" w:type="dxa"/>
          </w:tcPr>
          <w:p w14:paraId="1C58A38D" w14:textId="77777777" w:rsidR="005F7517" w:rsidRDefault="00927BF8">
            <w:pPr>
              <w:pStyle w:val="Compact"/>
            </w:pPr>
            <w:r>
              <w:t>Wniosek</w:t>
            </w:r>
          </w:p>
        </w:tc>
      </w:tr>
      <w:tr w:rsidR="005F7517" w14:paraId="134B7146" w14:textId="77777777">
        <w:tc>
          <w:tcPr>
            <w:tcW w:w="1732" w:type="dxa"/>
          </w:tcPr>
          <w:p w14:paraId="4C56F280" w14:textId="77777777" w:rsidR="005F7517" w:rsidRDefault="00927BF8">
            <w:pPr>
              <w:pStyle w:val="Compact"/>
            </w:pPr>
            <w:r>
              <w:t>Węgiel i koks</w:t>
            </w:r>
          </w:p>
        </w:tc>
        <w:tc>
          <w:tcPr>
            <w:tcW w:w="1072" w:type="dxa"/>
          </w:tcPr>
          <w:p w14:paraId="3EA1E6E0" w14:textId="77777777" w:rsidR="005F7517" w:rsidRDefault="00927BF8">
            <w:pPr>
              <w:pStyle w:val="Compact"/>
            </w:pPr>
            <w:r>
              <w:t>0.7156</w:t>
            </w:r>
          </w:p>
        </w:tc>
        <w:tc>
          <w:tcPr>
            <w:tcW w:w="907" w:type="dxa"/>
          </w:tcPr>
          <w:p w14:paraId="6422F910" w14:textId="77777777" w:rsidR="005F7517" w:rsidRDefault="00927BF8">
            <w:pPr>
              <w:pStyle w:val="Compact"/>
            </w:pPr>
            <w:r>
              <w:t>3.6258e-18</w:t>
            </w:r>
          </w:p>
        </w:tc>
        <w:tc>
          <w:tcPr>
            <w:tcW w:w="2062" w:type="dxa"/>
          </w:tcPr>
          <w:p w14:paraId="2CB9C4EA" w14:textId="77777777" w:rsidR="005F7517" w:rsidRDefault="00927BF8">
            <w:pPr>
              <w:pStyle w:val="Compact"/>
            </w:pPr>
            <w:r>
              <w:t>Odrzucenie H0 (p &lt; 0.05)</w:t>
            </w:r>
          </w:p>
        </w:tc>
        <w:tc>
          <w:tcPr>
            <w:tcW w:w="2145" w:type="dxa"/>
          </w:tcPr>
          <w:p w14:paraId="6DC40046" w14:textId="77777777" w:rsidR="005F7517" w:rsidRDefault="00927BF8">
            <w:pPr>
              <w:pStyle w:val="Compact"/>
            </w:pPr>
            <w:r>
              <w:t>Rozkład nie jest normalny</w:t>
            </w:r>
          </w:p>
        </w:tc>
      </w:tr>
      <w:tr w:rsidR="005F7517" w14:paraId="7DDC9964" w14:textId="77777777">
        <w:tc>
          <w:tcPr>
            <w:tcW w:w="1732" w:type="dxa"/>
          </w:tcPr>
          <w:p w14:paraId="50453703" w14:textId="77777777" w:rsidR="005F7517" w:rsidRDefault="00927BF8">
            <w:pPr>
              <w:pStyle w:val="Compact"/>
            </w:pPr>
            <w:r>
              <w:t>Ładunki masowe suche</w:t>
            </w:r>
          </w:p>
        </w:tc>
        <w:tc>
          <w:tcPr>
            <w:tcW w:w="1072" w:type="dxa"/>
          </w:tcPr>
          <w:p w14:paraId="0A5C4ADB" w14:textId="77777777" w:rsidR="005F7517" w:rsidRDefault="00927BF8">
            <w:pPr>
              <w:pStyle w:val="Compact"/>
            </w:pPr>
            <w:r>
              <w:t>0.8309</w:t>
            </w:r>
          </w:p>
        </w:tc>
        <w:tc>
          <w:tcPr>
            <w:tcW w:w="907" w:type="dxa"/>
          </w:tcPr>
          <w:p w14:paraId="11B06218" w14:textId="77777777" w:rsidR="005F7517" w:rsidRDefault="00927BF8">
            <w:pPr>
              <w:pStyle w:val="Compact"/>
            </w:pPr>
            <w:r>
              <w:t>6.0782e-14</w:t>
            </w:r>
          </w:p>
        </w:tc>
        <w:tc>
          <w:tcPr>
            <w:tcW w:w="2062" w:type="dxa"/>
          </w:tcPr>
          <w:p w14:paraId="36AFDE7A" w14:textId="77777777" w:rsidR="005F7517" w:rsidRDefault="00927BF8">
            <w:pPr>
              <w:pStyle w:val="Compact"/>
            </w:pPr>
            <w:r>
              <w:t>Odrzucenie H0 (p &lt; 0.05)</w:t>
            </w:r>
          </w:p>
        </w:tc>
        <w:tc>
          <w:tcPr>
            <w:tcW w:w="2145" w:type="dxa"/>
          </w:tcPr>
          <w:p w14:paraId="13F6CB29" w14:textId="77777777" w:rsidR="005F7517" w:rsidRDefault="00927BF8">
            <w:pPr>
              <w:pStyle w:val="Compact"/>
            </w:pPr>
            <w:r>
              <w:t>Rozkład nie jest normalny</w:t>
            </w:r>
          </w:p>
        </w:tc>
      </w:tr>
    </w:tbl>
    <w:p w14:paraId="12F585B2" w14:textId="77777777" w:rsidR="005F7517" w:rsidRDefault="00927BF8">
      <w:pPr>
        <w:pStyle w:val="Tekstpodstawowy"/>
      </w:pPr>
      <w:r>
        <w:rPr>
          <w:b/>
          <w:bCs/>
        </w:rPr>
        <w:t>Interpretacja:</w:t>
      </w:r>
      <w:r>
        <w:t xml:space="preserve"> Dla obu zmiennych wartość </w:t>
      </w:r>
      <m:oMath>
        <m:r>
          <w:rPr>
            <w:rFonts w:ascii="Cambria Math" w:hAnsi="Cambria Math"/>
          </w:rPr>
          <m:t>p</m:t>
        </m:r>
        <m:r>
          <m:rPr>
            <m:nor/>
          </m:rPr>
          <m:t>-value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oMath>
      <w:r>
        <w:t xml:space="preserve"> (dla węgla </w:t>
      </w:r>
      <m:oMath>
        <m:r>
          <w:rPr>
            <w:rFonts w:ascii="Cambria Math" w:hAnsi="Cambria Math"/>
          </w:rPr>
          <m:t>p</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18</m:t>
            </m:r>
          </m:sup>
        </m:sSup>
      </m:oMath>
      <w:r>
        <w:t>). Odrzucamy hipotezę zerową na korzyść hipotezy alternatywnej. Oznacza to, że dane cechują się istotnym odchyleniem od rozkładu normalnego (asymetria prawostronna i leptokurtoza). W związku z tym w dalszych badaniach korelacji przedstawiono zarówno współczynnik Pearsona, jak i nieparametryczny współczynnik Spearmana.</w:t>
      </w:r>
    </w:p>
    <w:p w14:paraId="7016B495" w14:textId="77777777" w:rsidR="005F7517" w:rsidRDefault="00927BF8">
      <w:r>
        <w:br w:type="page"/>
      </w:r>
    </w:p>
    <w:p w14:paraId="321ABDCD" w14:textId="77777777" w:rsidR="005F7517" w:rsidRDefault="00927BF8">
      <w:pPr>
        <w:pStyle w:val="Nagwek2"/>
      </w:pPr>
      <w:bookmarkStart w:id="22" w:name="X71117e269624a6497f8bb9b7b3a16a1b4564a7d"/>
      <w:bookmarkEnd w:id="21"/>
      <w:r>
        <w:t>Hipoteza 1: Test korelacji (zależności między cechami)</w:t>
      </w:r>
    </w:p>
    <w:p w14:paraId="46F03D1C" w14:textId="77777777" w:rsidR="005F7517" w:rsidRDefault="00927BF8">
      <w:pPr>
        <w:pStyle w:val="FirstParagraph"/>
      </w:pPr>
      <w:r>
        <w:t>W pierwszej hipotezie badamy, czy istnieje statystycznie istotna korelacja liniowa między wolumenem przeładunków węgla i koksu a ogólną sumą ładunków masowych suchych obsługiwanych w portach.</w:t>
      </w:r>
    </w:p>
    <w:p w14:paraId="09653AA2" w14:textId="77777777" w:rsidR="005F7517" w:rsidRDefault="00927BF8">
      <w:pPr>
        <w:pStyle w:val="Compact"/>
        <w:numPr>
          <w:ilvl w:val="0"/>
          <w:numId w:val="8"/>
        </w:numPr>
      </w:pPr>
      <w:r>
        <w:rPr>
          <w:b/>
          <w:bCs/>
        </w:rPr>
        <w:t>Hipoteza zerowa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b/>
          <w:bCs/>
        </w:rPr>
        <w:t>):</w:t>
      </w:r>
      <w:r>
        <w:t xml:space="preserve"> </w:t>
      </w:r>
      <m:oMath>
        <m:r>
          <w:rPr>
            <w:rFonts w:ascii="Cambria Math" w:hAnsi="Cambria Math"/>
          </w:rPr>
          <m:t>ρ</m:t>
        </m:r>
        <m:r>
          <m:rPr>
            <m:sty m:val="p"/>
          </m:rPr>
          <w:rPr>
            <w:rFonts w:ascii="Cambria Math" w:hAnsi="Cambria Math"/>
          </w:rPr>
          <m:t>=</m:t>
        </m:r>
        <m:r>
          <w:rPr>
            <w:rFonts w:ascii="Cambria Math" w:hAnsi="Cambria Math"/>
          </w:rPr>
          <m:t>0</m:t>
        </m:r>
      </m:oMath>
      <w:r>
        <w:t xml:space="preserve"> – nie istnieje statystycznie istotna korelacja między przeładunkiem węgla i koksu a przeładunkiem ładunków masowych suchych.</w:t>
      </w:r>
    </w:p>
    <w:p w14:paraId="0B871C11" w14:textId="77777777" w:rsidR="005F7517" w:rsidRDefault="00927BF8">
      <w:pPr>
        <w:pStyle w:val="Compact"/>
        <w:numPr>
          <w:ilvl w:val="0"/>
          <w:numId w:val="8"/>
        </w:numPr>
      </w:pPr>
      <w:r>
        <w:rPr>
          <w:b/>
          <w:bCs/>
        </w:rPr>
        <w:t>Hipoteza alternatywna (</w:t>
      </w:r>
      <m:oMath>
        <m:sSub>
          <m:sSubPr>
            <m:ctrlPr>
              <w:rPr>
                <w:rFonts w:ascii="Cambria Math" w:hAnsi="Cambria Math"/>
              </w:rPr>
            </m:ctrlPr>
          </m:sSubPr>
          <m:e>
            <m:r>
              <w:rPr>
                <w:rFonts w:ascii="Cambria Math" w:hAnsi="Cambria Math"/>
              </w:rPr>
              <m:t>H</m:t>
            </m:r>
          </m:e>
          <m:sub>
            <m:r>
              <w:rPr>
                <w:rFonts w:ascii="Cambria Math" w:hAnsi="Cambria Math"/>
              </w:rPr>
              <m:t>1</m:t>
            </m:r>
          </m:sub>
        </m:sSub>
      </m:oMath>
      <w:r>
        <w:rPr>
          <w:b/>
          <w:bCs/>
        </w:rPr>
        <w:t>):</w:t>
      </w:r>
      <w:r>
        <w:t xml:space="preserve"> </w:t>
      </w:r>
      <m:oMath>
        <m:r>
          <w:rPr>
            <w:rFonts w:ascii="Cambria Math" w:hAnsi="Cambria Math"/>
          </w:rPr>
          <m:t>ρ</m:t>
        </m:r>
        <m:r>
          <m:rPr>
            <m:sty m:val="p"/>
          </m:rPr>
          <w:rPr>
            <w:rFonts w:ascii="Cambria Math" w:hAnsi="Cambria Math"/>
          </w:rPr>
          <m:t>≠</m:t>
        </m:r>
        <m:r>
          <w:rPr>
            <w:rFonts w:ascii="Cambria Math" w:hAnsi="Cambria Math"/>
          </w:rPr>
          <m:t>0</m:t>
        </m:r>
      </m:oMath>
      <w:r>
        <w:t xml:space="preserve"> </w:t>
      </w:r>
      <w:r>
        <w:t>– istnieje statystycznie istotna korelacja między przeładunkiem węgla i koksu a przeładunkiem ładunków masowych suchych.</w:t>
      </w:r>
    </w:p>
    <w:p w14:paraId="594C6907" w14:textId="77777777" w:rsidR="005F7517" w:rsidRDefault="00927BF8">
      <w:pPr>
        <w:pStyle w:val="SourceCode"/>
      </w:pPr>
      <w:r>
        <w:rPr>
          <w:rStyle w:val="CommentTok"/>
        </w:rPr>
        <w:t># Test korelacji liniowej Pearsona</w:t>
      </w:r>
      <w:r>
        <w:br/>
      </w:r>
      <w:r>
        <w:rPr>
          <w:rStyle w:val="NormalTok"/>
        </w:rPr>
        <w:t xml:space="preserve">test_pearson </w:t>
      </w:r>
      <w:r>
        <w:rPr>
          <w:rStyle w:val="OtherTok"/>
        </w:rPr>
        <w:t>&lt;-</w:t>
      </w:r>
      <w:r>
        <w:rPr>
          <w:rStyle w:val="NormalTok"/>
        </w:rPr>
        <w:t xml:space="preserve"> </w:t>
      </w:r>
      <w:r>
        <w:rPr>
          <w:rStyle w:val="FunctionTok"/>
        </w:rPr>
        <w:t>cor.test</w:t>
      </w:r>
      <w:r>
        <w:rPr>
          <w:rStyle w:val="NormalTok"/>
        </w:rPr>
        <w:t>(dane</w:t>
      </w:r>
      <w:r>
        <w:rPr>
          <w:rStyle w:val="SpecialCharTok"/>
        </w:rPr>
        <w:t>$</w:t>
      </w:r>
      <w:r>
        <w:rPr>
          <w:rStyle w:val="NormalTok"/>
        </w:rPr>
        <w:t>wegiel_koks_tys_ton, dane</w:t>
      </w:r>
      <w:r>
        <w:rPr>
          <w:rStyle w:val="SpecialCharTok"/>
        </w:rPr>
        <w:t>$</w:t>
      </w:r>
      <w:r>
        <w:rPr>
          <w:rStyle w:val="NormalTok"/>
        </w:rPr>
        <w:t xml:space="preserve">masowe_suche_tys_ton, </w:t>
      </w:r>
      <w:r>
        <w:rPr>
          <w:rStyle w:val="AttributeTok"/>
        </w:rPr>
        <w:t>method =</w:t>
      </w:r>
      <w:r>
        <w:rPr>
          <w:rStyle w:val="NormalTok"/>
        </w:rPr>
        <w:t xml:space="preserve"> </w:t>
      </w:r>
      <w:r>
        <w:rPr>
          <w:rStyle w:val="StringTok"/>
        </w:rPr>
        <w:t>"pearson"</w:t>
      </w:r>
      <w:r>
        <w:rPr>
          <w:rStyle w:val="NormalTok"/>
        </w:rPr>
        <w:t>)</w:t>
      </w:r>
      <w:r>
        <w:br/>
      </w:r>
      <w:r>
        <w:br/>
      </w:r>
      <w:r>
        <w:rPr>
          <w:rStyle w:val="CommentTok"/>
        </w:rPr>
        <w:t># Test korelacji rangowej Spearmana (odporny na brak normalności)</w:t>
      </w:r>
      <w:r>
        <w:br/>
      </w:r>
      <w:r>
        <w:rPr>
          <w:rStyle w:val="NormalTok"/>
        </w:rPr>
        <w:t xml:space="preserve">test_spearman </w:t>
      </w:r>
      <w:r>
        <w:rPr>
          <w:rStyle w:val="OtherTok"/>
        </w:rPr>
        <w:t>&lt;-</w:t>
      </w:r>
      <w:r>
        <w:rPr>
          <w:rStyle w:val="NormalTok"/>
        </w:rPr>
        <w:t xml:space="preserve"> </w:t>
      </w:r>
      <w:r>
        <w:rPr>
          <w:rStyle w:val="FunctionTok"/>
        </w:rPr>
        <w:t>cor.test</w:t>
      </w:r>
      <w:r>
        <w:rPr>
          <w:rStyle w:val="NormalTok"/>
        </w:rPr>
        <w:t>(dane</w:t>
      </w:r>
      <w:r>
        <w:rPr>
          <w:rStyle w:val="SpecialCharTok"/>
        </w:rPr>
        <w:t>$</w:t>
      </w:r>
      <w:r>
        <w:rPr>
          <w:rStyle w:val="NormalTok"/>
        </w:rPr>
        <w:t>wegiel_koks_tys_ton, dane</w:t>
      </w:r>
      <w:r>
        <w:rPr>
          <w:rStyle w:val="SpecialCharTok"/>
        </w:rPr>
        <w:t>$</w:t>
      </w:r>
      <w:r>
        <w:rPr>
          <w:rStyle w:val="NormalTok"/>
        </w:rPr>
        <w:t xml:space="preserve">masowe_suche_tys_ton, </w:t>
      </w:r>
      <w:r>
        <w:rPr>
          <w:rStyle w:val="AttributeTok"/>
        </w:rPr>
        <w:t>method =</w:t>
      </w:r>
      <w:r>
        <w:rPr>
          <w:rStyle w:val="NormalTok"/>
        </w:rPr>
        <w:t xml:space="preserve"> </w:t>
      </w:r>
      <w:r>
        <w:rPr>
          <w:rStyle w:val="StringTok"/>
        </w:rPr>
        <w:t>"spearman"</w:t>
      </w:r>
      <w:r>
        <w:rPr>
          <w:rStyle w:val="NormalTok"/>
        </w:rPr>
        <w:t xml:space="preserve">, </w:t>
      </w:r>
      <w:r>
        <w:rPr>
          <w:rStyle w:val="AttributeTok"/>
        </w:rPr>
        <w:t>exact =</w:t>
      </w:r>
      <w:r>
        <w:rPr>
          <w:rStyle w:val="NormalTok"/>
        </w:rPr>
        <w:t xml:space="preserve"> </w:t>
      </w:r>
      <w:r>
        <w:rPr>
          <w:rStyle w:val="ConstantTok"/>
        </w:rPr>
        <w:t>FALSE</w:t>
      </w:r>
      <w:r>
        <w:rPr>
          <w:rStyle w:val="NormalTok"/>
        </w:rPr>
        <w:t>)</w:t>
      </w:r>
      <w:r>
        <w:br/>
      </w:r>
      <w:r>
        <w:br/>
      </w:r>
      <w:r>
        <w:rPr>
          <w:rStyle w:val="NormalTok"/>
        </w:rPr>
        <w:t xml:space="preserve">wyniki_korelacji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Metoda =</w:t>
      </w:r>
      <w:r>
        <w:rPr>
          <w:rStyle w:val="NormalTok"/>
        </w:rPr>
        <w:t xml:space="preserve"> </w:t>
      </w:r>
      <w:r>
        <w:rPr>
          <w:rStyle w:val="FunctionTok"/>
        </w:rPr>
        <w:t>c</w:t>
      </w:r>
      <w:r>
        <w:rPr>
          <w:rStyle w:val="NormalTok"/>
        </w:rPr>
        <w:t>(</w:t>
      </w:r>
      <w:r>
        <w:rPr>
          <w:rStyle w:val="StringTok"/>
        </w:rPr>
        <w:t>"Korelacja liniowa Pearsona (r)"</w:t>
      </w:r>
      <w:r>
        <w:rPr>
          <w:rStyle w:val="NormalTok"/>
        </w:rPr>
        <w:t xml:space="preserve">, </w:t>
      </w:r>
      <w:r>
        <w:rPr>
          <w:rStyle w:val="StringTok"/>
        </w:rPr>
        <w:t>"Korelacja rangowa Spearmana (rho)"</w:t>
      </w:r>
      <w:r>
        <w:rPr>
          <w:rStyle w:val="NormalTok"/>
        </w:rPr>
        <w:t>),</w:t>
      </w:r>
      <w:r>
        <w:br/>
      </w:r>
      <w:r>
        <w:rPr>
          <w:rStyle w:val="NormalTok"/>
        </w:rPr>
        <w:t xml:space="preserve">  </w:t>
      </w:r>
      <w:r>
        <w:rPr>
          <w:rStyle w:val="AttributeTok"/>
        </w:rPr>
        <w:t>Wspolczynnik =</w:t>
      </w:r>
      <w:r>
        <w:rPr>
          <w:rStyle w:val="NormalTok"/>
        </w:rPr>
        <w:t xml:space="preserve"> </w:t>
      </w:r>
      <w:r>
        <w:rPr>
          <w:rStyle w:val="FunctionTok"/>
        </w:rPr>
        <w:t>sprintf</w:t>
      </w:r>
      <w:r>
        <w:rPr>
          <w:rStyle w:val="NormalTok"/>
        </w:rPr>
        <w:t>(</w:t>
      </w:r>
      <w:r>
        <w:rPr>
          <w:rStyle w:val="StringTok"/>
        </w:rPr>
        <w:t>"%.4f"</w:t>
      </w:r>
      <w:r>
        <w:rPr>
          <w:rStyle w:val="NormalTok"/>
        </w:rPr>
        <w:t xml:space="preserve">, </w:t>
      </w:r>
      <w:r>
        <w:rPr>
          <w:rStyle w:val="FunctionTok"/>
        </w:rPr>
        <w:t>c</w:t>
      </w:r>
      <w:r>
        <w:rPr>
          <w:rStyle w:val="NormalTok"/>
        </w:rPr>
        <w:t>(test_pearson</w:t>
      </w:r>
      <w:r>
        <w:rPr>
          <w:rStyle w:val="SpecialCharTok"/>
        </w:rPr>
        <w:t>$</w:t>
      </w:r>
      <w:r>
        <w:rPr>
          <w:rStyle w:val="NormalTok"/>
        </w:rPr>
        <w:t>estimate, test_spearman</w:t>
      </w:r>
      <w:r>
        <w:rPr>
          <w:rStyle w:val="SpecialCharTok"/>
        </w:rPr>
        <w:t>$</w:t>
      </w:r>
      <w:r>
        <w:rPr>
          <w:rStyle w:val="NormalTok"/>
        </w:rPr>
        <w:t>estimate)),</w:t>
      </w:r>
      <w:r>
        <w:br/>
      </w:r>
      <w:r>
        <w:rPr>
          <w:rStyle w:val="NormalTok"/>
        </w:rPr>
        <w:t xml:space="preserve">  </w:t>
      </w:r>
      <w:r>
        <w:rPr>
          <w:rStyle w:val="AttributeTok"/>
        </w:rPr>
        <w:t>Statystyka =</w:t>
      </w:r>
      <w:r>
        <w:rPr>
          <w:rStyle w:val="NormalTok"/>
        </w:rPr>
        <w:t xml:space="preserve"> </w:t>
      </w:r>
      <w:r>
        <w:rPr>
          <w:rStyle w:val="FunctionTok"/>
        </w:rPr>
        <w:t>sprintf</w:t>
      </w:r>
      <w:r>
        <w:rPr>
          <w:rStyle w:val="NormalTok"/>
        </w:rPr>
        <w:t>(</w:t>
      </w:r>
      <w:r>
        <w:rPr>
          <w:rStyle w:val="StringTok"/>
        </w:rPr>
        <w:t>"%.2f"</w:t>
      </w:r>
      <w:r>
        <w:rPr>
          <w:rStyle w:val="NormalTok"/>
        </w:rPr>
        <w:t xml:space="preserve">, </w:t>
      </w:r>
      <w:r>
        <w:rPr>
          <w:rStyle w:val="FunctionTok"/>
        </w:rPr>
        <w:t>c</w:t>
      </w:r>
      <w:r>
        <w:rPr>
          <w:rStyle w:val="NormalTok"/>
        </w:rPr>
        <w:t>(test_pearson</w:t>
      </w:r>
      <w:r>
        <w:rPr>
          <w:rStyle w:val="SpecialCharTok"/>
        </w:rPr>
        <w:t>$</w:t>
      </w:r>
      <w:r>
        <w:rPr>
          <w:rStyle w:val="NormalTok"/>
        </w:rPr>
        <w:t>statistic, test_spearman</w:t>
      </w:r>
      <w:r>
        <w:rPr>
          <w:rStyle w:val="SpecialCharTok"/>
        </w:rPr>
        <w:t>$</w:t>
      </w:r>
      <w:r>
        <w:rPr>
          <w:rStyle w:val="NormalTok"/>
        </w:rPr>
        <w:t>statistic)),</w:t>
      </w:r>
      <w:r>
        <w:br/>
      </w:r>
      <w:r>
        <w:rPr>
          <w:rStyle w:val="NormalTok"/>
        </w:rPr>
        <w:t xml:space="preserve">  </w:t>
      </w:r>
      <w:r>
        <w:rPr>
          <w:rStyle w:val="AttributeTok"/>
        </w:rPr>
        <w:t>p_value =</w:t>
      </w:r>
      <w:r>
        <w:rPr>
          <w:rStyle w:val="NormalTok"/>
        </w:rPr>
        <w:t xml:space="preserve"> </w:t>
      </w:r>
      <w:r>
        <w:rPr>
          <w:rStyle w:val="FunctionTok"/>
        </w:rPr>
        <w:t>c</w:t>
      </w:r>
      <w:r>
        <w:rPr>
          <w:rStyle w:val="NormalTok"/>
        </w:rPr>
        <w:t>(</w:t>
      </w:r>
      <w:r>
        <w:rPr>
          <w:rStyle w:val="StringTok"/>
        </w:rPr>
        <w:t>"&lt; 2.2e-16"</w:t>
      </w:r>
      <w:r>
        <w:rPr>
          <w:rStyle w:val="NormalTok"/>
        </w:rPr>
        <w:t xml:space="preserve">, </w:t>
      </w:r>
      <w:r>
        <w:rPr>
          <w:rStyle w:val="StringTok"/>
        </w:rPr>
        <w:t>"&lt; 2.2e-16"</w:t>
      </w:r>
      <w:r>
        <w:rPr>
          <w:rStyle w:val="NormalTok"/>
        </w:rPr>
        <w:t>),</w:t>
      </w:r>
      <w:r>
        <w:br/>
      </w:r>
      <w:r>
        <w:rPr>
          <w:rStyle w:val="NormalTok"/>
        </w:rPr>
        <w:t xml:space="preserve">  </w:t>
      </w:r>
      <w:r>
        <w:rPr>
          <w:rStyle w:val="AttributeTok"/>
        </w:rPr>
        <w:t>Przedzial_Ufnosci_95 =</w:t>
      </w:r>
      <w:r>
        <w:rPr>
          <w:rStyle w:val="NormalTok"/>
        </w:rPr>
        <w:t xml:space="preserve"> </w:t>
      </w:r>
      <w:r>
        <w:rPr>
          <w:rStyle w:val="FunctionTok"/>
        </w:rPr>
        <w:t>c</w:t>
      </w:r>
      <w:r>
        <w:rPr>
          <w:rStyle w:val="NormalTok"/>
        </w:rPr>
        <w:t>(</w:t>
      </w:r>
      <w:r>
        <w:br/>
      </w:r>
      <w:r>
        <w:rPr>
          <w:rStyle w:val="NormalTok"/>
        </w:rPr>
        <w:t xml:space="preserve">    </w:t>
      </w:r>
      <w:r>
        <w:rPr>
          <w:rStyle w:val="FunctionTok"/>
        </w:rPr>
        <w:t>sprintf</w:t>
      </w:r>
      <w:r>
        <w:rPr>
          <w:rStyle w:val="NormalTok"/>
        </w:rPr>
        <w:t>(</w:t>
      </w:r>
      <w:r>
        <w:rPr>
          <w:rStyle w:val="StringTok"/>
        </w:rPr>
        <w:t>"[%.4f ; %.4f]"</w:t>
      </w:r>
      <w:r>
        <w:rPr>
          <w:rStyle w:val="NormalTok"/>
        </w:rPr>
        <w:t>, test_pearson</w:t>
      </w:r>
      <w:r>
        <w:rPr>
          <w:rStyle w:val="SpecialCharTok"/>
        </w:rPr>
        <w:t>$</w:t>
      </w:r>
      <w:r>
        <w:rPr>
          <w:rStyle w:val="NormalTok"/>
        </w:rPr>
        <w:t>conf.int[</w:t>
      </w:r>
      <w:r>
        <w:rPr>
          <w:rStyle w:val="DecValTok"/>
        </w:rPr>
        <w:t>1</w:t>
      </w:r>
      <w:r>
        <w:rPr>
          <w:rStyle w:val="NormalTok"/>
        </w:rPr>
        <w:t>], test_pearson</w:t>
      </w:r>
      <w:r>
        <w:rPr>
          <w:rStyle w:val="SpecialCharTok"/>
        </w:rPr>
        <w:t>$</w:t>
      </w:r>
      <w:r>
        <w:rPr>
          <w:rStyle w:val="NormalTok"/>
        </w:rPr>
        <w:t>conf.int[</w:t>
      </w:r>
      <w:r>
        <w:rPr>
          <w:rStyle w:val="DecValTok"/>
        </w:rPr>
        <w:t>2</w:t>
      </w:r>
      <w:r>
        <w:rPr>
          <w:rStyle w:val="NormalTok"/>
        </w:rPr>
        <w:t>]),</w:t>
      </w:r>
      <w:r>
        <w:br/>
      </w:r>
      <w:r>
        <w:rPr>
          <w:rStyle w:val="NormalTok"/>
        </w:rPr>
        <w:t xml:space="preserve">    </w:t>
      </w:r>
      <w:r>
        <w:rPr>
          <w:rStyle w:val="StringTok"/>
        </w:rPr>
        <w:t>"nie dotyczy"</w:t>
      </w:r>
      <w:r>
        <w:br/>
      </w:r>
      <w:r>
        <w:rPr>
          <w:rStyle w:val="NormalTok"/>
        </w:rPr>
        <w:t xml:space="preserve">  )</w:t>
      </w:r>
      <w:r>
        <w:br/>
      </w:r>
      <w:r>
        <w:rPr>
          <w:rStyle w:val="NormalTok"/>
        </w:rPr>
        <w:t>)</w:t>
      </w:r>
      <w:r>
        <w:br/>
      </w:r>
      <w:r>
        <w:rPr>
          <w:rStyle w:val="FunctionTok"/>
        </w:rPr>
        <w:t>colnames</w:t>
      </w:r>
      <w:r>
        <w:rPr>
          <w:rStyle w:val="NormalTok"/>
        </w:rPr>
        <w:t xml:space="preserve">(wyniki_korelacji) </w:t>
      </w:r>
      <w:r>
        <w:rPr>
          <w:rStyle w:val="OtherTok"/>
        </w:rPr>
        <w:t>&lt;-</w:t>
      </w:r>
      <w:r>
        <w:rPr>
          <w:rStyle w:val="NormalTok"/>
        </w:rPr>
        <w:t xml:space="preserve"> </w:t>
      </w:r>
      <w:r>
        <w:rPr>
          <w:rStyle w:val="FunctionTok"/>
        </w:rPr>
        <w:t>c</w:t>
      </w:r>
      <w:r>
        <w:rPr>
          <w:rStyle w:val="NormalTok"/>
        </w:rPr>
        <w:t>(</w:t>
      </w:r>
      <w:r>
        <w:rPr>
          <w:rStyle w:val="StringTok"/>
        </w:rPr>
        <w:t>"Metoda korelacji"</w:t>
      </w:r>
      <w:r>
        <w:rPr>
          <w:rStyle w:val="NormalTok"/>
        </w:rPr>
        <w:t xml:space="preserve">, </w:t>
      </w:r>
      <w:r>
        <w:rPr>
          <w:rStyle w:val="StringTok"/>
        </w:rPr>
        <w:t>"Współczynnik"</w:t>
      </w:r>
      <w:r>
        <w:rPr>
          <w:rStyle w:val="NormalTok"/>
        </w:rPr>
        <w:t xml:space="preserve">, </w:t>
      </w:r>
      <w:r>
        <w:rPr>
          <w:rStyle w:val="StringTok"/>
        </w:rPr>
        <w:t>"Statystyka testowa"</w:t>
      </w:r>
      <w:r>
        <w:rPr>
          <w:rStyle w:val="NormalTok"/>
        </w:rPr>
        <w:t xml:space="preserve">, </w:t>
      </w:r>
      <w:r>
        <w:rPr>
          <w:rStyle w:val="StringTok"/>
        </w:rPr>
        <w:t>"p-value"</w:t>
      </w:r>
      <w:r>
        <w:rPr>
          <w:rStyle w:val="NormalTok"/>
        </w:rPr>
        <w:t xml:space="preserve">, </w:t>
      </w:r>
      <w:r>
        <w:rPr>
          <w:rStyle w:val="StringTok"/>
        </w:rPr>
        <w:t>"95% Przedział ufności"</w:t>
      </w:r>
      <w:r>
        <w:rPr>
          <w:rStyle w:val="NormalTok"/>
        </w:rPr>
        <w:t>)</w:t>
      </w:r>
      <w:r>
        <w:br/>
      </w:r>
      <w:r>
        <w:br/>
      </w:r>
      <w:r>
        <w:rPr>
          <w:rStyle w:val="NormalTok"/>
        </w:rPr>
        <w:t>knitr</w:t>
      </w:r>
      <w:r>
        <w:rPr>
          <w:rStyle w:val="SpecialCharTok"/>
        </w:rPr>
        <w:t>::</w:t>
      </w:r>
      <w:r>
        <w:rPr>
          <w:rStyle w:val="FunctionTok"/>
        </w:rPr>
        <w:t>kable</w:t>
      </w:r>
      <w:r>
        <w:rPr>
          <w:rStyle w:val="NormalTok"/>
        </w:rPr>
        <w:t xml:space="preserve">(wyniki_korelacji, </w:t>
      </w:r>
      <w:r>
        <w:rPr>
          <w:rStyle w:val="AttributeTok"/>
        </w:rPr>
        <w:t>caption =</w:t>
      </w:r>
      <w:r>
        <w:rPr>
          <w:rStyle w:val="NormalTok"/>
        </w:rPr>
        <w:t xml:space="preserve"> </w:t>
      </w:r>
      <w:r>
        <w:rPr>
          <w:rStyle w:val="StringTok"/>
        </w:rPr>
        <w:t>"Tabela 3. Wyniki testu istotności współczynników korelacji"</w:t>
      </w:r>
      <w:r>
        <w:rPr>
          <w:rStyle w:val="NormalTok"/>
        </w:rPr>
        <w:t>)</w:t>
      </w:r>
    </w:p>
    <w:p w14:paraId="63661BDD" w14:textId="77777777" w:rsidR="005F7517" w:rsidRDefault="00927BF8">
      <w:pPr>
        <w:pStyle w:val="TableCaption"/>
      </w:pPr>
      <w:r>
        <w:t>Tabela 3. Wyniki testu istotności współczynników korelacji</w:t>
      </w:r>
    </w:p>
    <w:tbl>
      <w:tblPr>
        <w:tblStyle w:val="Table"/>
        <w:tblW w:w="5000" w:type="pct"/>
        <w:tblLayout w:type="fixed"/>
        <w:tblLook w:val="0020" w:firstRow="1" w:lastRow="0" w:firstColumn="0" w:lastColumn="0" w:noHBand="0" w:noVBand="0"/>
        <w:tblCaption w:val="Tabela 3. Wyniki testu istotności współczynników korelacji"/>
      </w:tblPr>
      <w:tblGrid>
        <w:gridCol w:w="3338"/>
        <w:gridCol w:w="1276"/>
        <w:gridCol w:w="1866"/>
        <w:gridCol w:w="982"/>
        <w:gridCol w:w="2160"/>
      </w:tblGrid>
      <w:tr w:rsidR="005F7517" w14:paraId="11C8E6CD" w14:textId="77777777" w:rsidTr="005F7517">
        <w:trPr>
          <w:cnfStyle w:val="100000000000" w:firstRow="1" w:lastRow="0" w:firstColumn="0" w:lastColumn="0" w:oddVBand="0" w:evenVBand="0" w:oddHBand="0" w:evenHBand="0" w:firstRowFirstColumn="0" w:firstRowLastColumn="0" w:lastRowFirstColumn="0" w:lastRowLastColumn="0"/>
          <w:tblHeader/>
        </w:trPr>
        <w:tc>
          <w:tcPr>
            <w:tcW w:w="2747" w:type="dxa"/>
          </w:tcPr>
          <w:p w14:paraId="5F47E3D2" w14:textId="77777777" w:rsidR="005F7517" w:rsidRDefault="00927BF8">
            <w:pPr>
              <w:pStyle w:val="Compact"/>
            </w:pPr>
            <w:r>
              <w:t>Metoda korelacji</w:t>
            </w:r>
          </w:p>
        </w:tc>
        <w:tc>
          <w:tcPr>
            <w:tcW w:w="1050" w:type="dxa"/>
          </w:tcPr>
          <w:p w14:paraId="63FBD6C3" w14:textId="77777777" w:rsidR="005F7517" w:rsidRDefault="00927BF8">
            <w:pPr>
              <w:pStyle w:val="Compact"/>
            </w:pPr>
            <w:r>
              <w:t>Współczynnik</w:t>
            </w:r>
          </w:p>
        </w:tc>
        <w:tc>
          <w:tcPr>
            <w:tcW w:w="1535" w:type="dxa"/>
          </w:tcPr>
          <w:p w14:paraId="4F6AF11F" w14:textId="77777777" w:rsidR="005F7517" w:rsidRDefault="00927BF8">
            <w:pPr>
              <w:pStyle w:val="Compact"/>
            </w:pPr>
            <w:r>
              <w:t>Statystyka testowa</w:t>
            </w:r>
          </w:p>
        </w:tc>
        <w:tc>
          <w:tcPr>
            <w:tcW w:w="808" w:type="dxa"/>
          </w:tcPr>
          <w:p w14:paraId="54B11CE2" w14:textId="77777777" w:rsidR="005F7517" w:rsidRDefault="00927BF8">
            <w:pPr>
              <w:pStyle w:val="Compact"/>
            </w:pPr>
            <w:r>
              <w:t>p-value</w:t>
            </w:r>
          </w:p>
        </w:tc>
        <w:tc>
          <w:tcPr>
            <w:tcW w:w="1777" w:type="dxa"/>
          </w:tcPr>
          <w:p w14:paraId="29ADF626" w14:textId="77777777" w:rsidR="005F7517" w:rsidRDefault="00927BF8">
            <w:pPr>
              <w:pStyle w:val="Compact"/>
            </w:pPr>
            <w:r>
              <w:t>95% Przedział ufności</w:t>
            </w:r>
          </w:p>
        </w:tc>
      </w:tr>
      <w:tr w:rsidR="005F7517" w14:paraId="3FEF436F" w14:textId="77777777">
        <w:tc>
          <w:tcPr>
            <w:tcW w:w="2747" w:type="dxa"/>
          </w:tcPr>
          <w:p w14:paraId="634AF587" w14:textId="77777777" w:rsidR="005F7517" w:rsidRDefault="00927BF8">
            <w:pPr>
              <w:pStyle w:val="Compact"/>
            </w:pPr>
            <w:r>
              <w:t>Korelacja liniowa Pearsona (r)</w:t>
            </w:r>
          </w:p>
        </w:tc>
        <w:tc>
          <w:tcPr>
            <w:tcW w:w="1050" w:type="dxa"/>
          </w:tcPr>
          <w:p w14:paraId="4DBA1894" w14:textId="77777777" w:rsidR="005F7517" w:rsidRDefault="00927BF8">
            <w:pPr>
              <w:pStyle w:val="Compact"/>
            </w:pPr>
            <w:r>
              <w:t>0.8630</w:t>
            </w:r>
          </w:p>
        </w:tc>
        <w:tc>
          <w:tcPr>
            <w:tcW w:w="1535" w:type="dxa"/>
          </w:tcPr>
          <w:p w14:paraId="774DCC1D" w14:textId="77777777" w:rsidR="005F7517" w:rsidRDefault="00927BF8">
            <w:pPr>
              <w:pStyle w:val="Compact"/>
            </w:pPr>
            <w:r>
              <w:t>23.97</w:t>
            </w:r>
          </w:p>
        </w:tc>
        <w:tc>
          <w:tcPr>
            <w:tcW w:w="808" w:type="dxa"/>
          </w:tcPr>
          <w:p w14:paraId="7E9C7961" w14:textId="77777777" w:rsidR="005F7517" w:rsidRDefault="00927BF8">
            <w:pPr>
              <w:pStyle w:val="Compact"/>
            </w:pPr>
            <w:r>
              <w:t>&lt; 2.2e-16</w:t>
            </w:r>
          </w:p>
        </w:tc>
        <w:tc>
          <w:tcPr>
            <w:tcW w:w="1777" w:type="dxa"/>
          </w:tcPr>
          <w:p w14:paraId="53E98063" w14:textId="77777777" w:rsidR="005F7517" w:rsidRDefault="00927BF8">
            <w:pPr>
              <w:pStyle w:val="Compact"/>
            </w:pPr>
            <w:r>
              <w:t>[0.8226 ; 0.8947]</w:t>
            </w:r>
          </w:p>
        </w:tc>
      </w:tr>
      <w:tr w:rsidR="005F7517" w14:paraId="3648BBD5" w14:textId="77777777">
        <w:tc>
          <w:tcPr>
            <w:tcW w:w="2747" w:type="dxa"/>
          </w:tcPr>
          <w:p w14:paraId="58FAE1A0" w14:textId="77777777" w:rsidR="005F7517" w:rsidRDefault="00927BF8">
            <w:pPr>
              <w:pStyle w:val="Compact"/>
            </w:pPr>
            <w:r>
              <w:t>Korelacja rangowa Spearmana (rho)</w:t>
            </w:r>
          </w:p>
        </w:tc>
        <w:tc>
          <w:tcPr>
            <w:tcW w:w="1050" w:type="dxa"/>
          </w:tcPr>
          <w:p w14:paraId="2BAE8AF9" w14:textId="77777777" w:rsidR="005F7517" w:rsidRDefault="00927BF8">
            <w:pPr>
              <w:pStyle w:val="Compact"/>
            </w:pPr>
            <w:r>
              <w:t>0.6149</w:t>
            </w:r>
          </w:p>
        </w:tc>
        <w:tc>
          <w:tcPr>
            <w:tcW w:w="1535" w:type="dxa"/>
          </w:tcPr>
          <w:p w14:paraId="62162FBF" w14:textId="77777777" w:rsidR="005F7517" w:rsidRDefault="00927BF8">
            <w:pPr>
              <w:pStyle w:val="Compact"/>
            </w:pPr>
            <w:r>
              <w:t>505744.39</w:t>
            </w:r>
          </w:p>
        </w:tc>
        <w:tc>
          <w:tcPr>
            <w:tcW w:w="808" w:type="dxa"/>
          </w:tcPr>
          <w:p w14:paraId="0832A28F" w14:textId="77777777" w:rsidR="005F7517" w:rsidRDefault="00927BF8">
            <w:pPr>
              <w:pStyle w:val="Compact"/>
            </w:pPr>
            <w:r>
              <w:t>&lt; 2.2e-16</w:t>
            </w:r>
          </w:p>
        </w:tc>
        <w:tc>
          <w:tcPr>
            <w:tcW w:w="1777" w:type="dxa"/>
          </w:tcPr>
          <w:p w14:paraId="1992F835" w14:textId="77777777" w:rsidR="005F7517" w:rsidRDefault="00927BF8">
            <w:pPr>
              <w:pStyle w:val="Compact"/>
            </w:pPr>
            <w:r>
              <w:t>nie dotyczy</w:t>
            </w:r>
          </w:p>
        </w:tc>
      </w:tr>
    </w:tbl>
    <w:p w14:paraId="1F5AA529" w14:textId="77777777" w:rsidR="005F7517" w:rsidRDefault="00927BF8">
      <w:pPr>
        <w:pStyle w:val="Tekstpodstawowy"/>
      </w:pPr>
      <w:r>
        <w:rPr>
          <w:b/>
          <w:bCs/>
        </w:rPr>
        <w:t>Interpretacja i decyzja statystyczna:</w:t>
      </w:r>
    </w:p>
    <w:p w14:paraId="737ED402" w14:textId="77777777" w:rsidR="005F7517" w:rsidRDefault="00927BF8">
      <w:pPr>
        <w:pStyle w:val="Compact"/>
        <w:numPr>
          <w:ilvl w:val="0"/>
          <w:numId w:val="9"/>
        </w:numPr>
      </w:pPr>
      <w:r>
        <w:t xml:space="preserve">Współczynnik korelacji Pearsona wynosi </w:t>
      </w:r>
      <m:oMath>
        <m:r>
          <w:rPr>
            <w:rFonts w:ascii="Cambria Math" w:hAnsi="Cambria Math"/>
          </w:rPr>
          <m:t>r</m:t>
        </m:r>
        <m:r>
          <m:rPr>
            <m:sty m:val="p"/>
          </m:rPr>
          <w:rPr>
            <w:rFonts w:ascii="Cambria Math" w:hAnsi="Cambria Math"/>
          </w:rPr>
          <m:t>=</m:t>
        </m:r>
        <m:r>
          <w:rPr>
            <w:rFonts w:ascii="Cambria Math" w:hAnsi="Cambria Math"/>
          </w:rPr>
          <m:t>0.8630</m:t>
        </m:r>
      </m:oMath>
      <w:r>
        <w:t xml:space="preserve">, a statystyka testowa </w:t>
      </w:r>
      <m:oMath>
        <m:r>
          <w:rPr>
            <w:rFonts w:ascii="Cambria Math" w:hAnsi="Cambria Math"/>
          </w:rPr>
          <m:t>t</m:t>
        </m:r>
        <m:r>
          <m:rPr>
            <m:sty m:val="p"/>
          </m:rPr>
          <w:rPr>
            <w:rFonts w:ascii="Cambria Math" w:hAnsi="Cambria Math"/>
          </w:rPr>
          <m:t>=</m:t>
        </m:r>
        <m:r>
          <w:rPr>
            <w:rFonts w:ascii="Cambria Math" w:hAnsi="Cambria Math"/>
          </w:rPr>
          <m:t>23.97</m:t>
        </m:r>
      </m:oMath>
      <w:r>
        <w:t xml:space="preserve"> przy </w:t>
      </w:r>
      <m:oMath>
        <m:r>
          <w:rPr>
            <w:rFonts w:ascii="Cambria Math" w:hAnsi="Cambria Math"/>
          </w:rPr>
          <m:t>p</m:t>
        </m:r>
        <m:r>
          <m:rPr>
            <m:nor/>
          </m:rPr>
          <m:t>-value</m:t>
        </m:r>
        <m:r>
          <m:rPr>
            <m:sty m:val="p"/>
          </m:rPr>
          <w:rPr>
            <w:rFonts w:ascii="Cambria Math" w:hAnsi="Cambria Math"/>
          </w:rPr>
          <m:t>&lt;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w:t>
      </w:r>
    </w:p>
    <w:p w14:paraId="639840D1" w14:textId="77777777" w:rsidR="005F7517" w:rsidRDefault="00927BF8">
      <w:pPr>
        <w:pStyle w:val="Compact"/>
        <w:numPr>
          <w:ilvl w:val="0"/>
          <w:numId w:val="9"/>
        </w:numPr>
      </w:pPr>
      <w:r>
        <w:t xml:space="preserve">Ponieważ uzyskana wartość </w:t>
      </w:r>
      <m:oMath>
        <m:r>
          <w:rPr>
            <w:rFonts w:ascii="Cambria Math" w:hAnsi="Cambria Math"/>
          </w:rPr>
          <m:t>p</m:t>
        </m:r>
        <m:r>
          <m:rPr>
            <m:nor/>
          </m:rPr>
          <m:t>-value</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05</m:t>
        </m:r>
      </m:oMath>
      <w:r>
        <w:t xml:space="preserve">, </w:t>
      </w:r>
      <w:r>
        <w:rPr>
          <w:b/>
          <w:bCs/>
        </w:rPr>
        <w:t>odrzucamy hipotezę zerową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b/>
          <w:bCs/>
        </w:rPr>
        <w:t>) na rzecz hipotezy alternatywnej (</w:t>
      </w:r>
      <m:oMath>
        <m:sSub>
          <m:sSubPr>
            <m:ctrlPr>
              <w:rPr>
                <w:rFonts w:ascii="Cambria Math" w:hAnsi="Cambria Math"/>
              </w:rPr>
            </m:ctrlPr>
          </m:sSubPr>
          <m:e>
            <m:r>
              <w:rPr>
                <w:rFonts w:ascii="Cambria Math" w:hAnsi="Cambria Math"/>
              </w:rPr>
              <m:t>H</m:t>
            </m:r>
          </m:e>
          <m:sub>
            <m:r>
              <w:rPr>
                <w:rFonts w:ascii="Cambria Math" w:hAnsi="Cambria Math"/>
              </w:rPr>
              <m:t>1</m:t>
            </m:r>
          </m:sub>
        </m:sSub>
      </m:oMath>
      <w:r>
        <w:rPr>
          <w:b/>
          <w:bCs/>
        </w:rPr>
        <w:t>)</w:t>
      </w:r>
      <w:r>
        <w:t>.</w:t>
      </w:r>
    </w:p>
    <w:p w14:paraId="62FB87F0" w14:textId="77777777" w:rsidR="005F7517" w:rsidRDefault="00927BF8">
      <w:pPr>
        <w:pStyle w:val="Compact"/>
        <w:numPr>
          <w:ilvl w:val="0"/>
          <w:numId w:val="9"/>
        </w:numPr>
      </w:pPr>
      <w:r>
        <w:rPr>
          <w:b/>
          <w:bCs/>
        </w:rPr>
        <w:t>Wniosek:</w:t>
      </w:r>
      <w:r>
        <w:t xml:space="preserve"> </w:t>
      </w:r>
      <w:r>
        <w:t>Istnieje statystycznie istotna, bardzo silna dodatnia korelacja liniowa między przeładunkami węgla i koksu a ogólnymi przeładunkami ładunków masowych suchych. Potwierdza to, że węgiel i koks stanowią fundamentalną składową determinującą całkowity wolumen suchej masy przeładowywanej na nabrzeżach polskich portów morskich.</w:t>
      </w:r>
    </w:p>
    <w:p w14:paraId="669ADF3F" w14:textId="77777777" w:rsidR="005F7517" w:rsidRDefault="00927BF8">
      <w:r>
        <w:br w:type="page"/>
      </w:r>
    </w:p>
    <w:p w14:paraId="5E7364A7" w14:textId="77777777" w:rsidR="005F7517" w:rsidRDefault="00927BF8">
      <w:pPr>
        <w:pStyle w:val="Nagwek2"/>
      </w:pPr>
      <w:bookmarkStart w:id="23" w:name="Xfdbc6997ffca0ee53e5821f415cfe43a2eac0b4"/>
      <w:bookmarkEnd w:id="22"/>
      <w:r>
        <w:t>Hipoteza 2: Porównanie dwóch populacji (okres stabilny vs okres kryzysu)</w:t>
      </w:r>
    </w:p>
    <w:p w14:paraId="0BE942AC" w14:textId="77777777" w:rsidR="005F7517" w:rsidRDefault="00927BF8">
      <w:pPr>
        <w:pStyle w:val="FirstParagraph"/>
      </w:pPr>
      <w:r>
        <w:t>W drugiej hipotezie badamy wpływ wstrząsu geopolitycznego z 2022 roku na poziom przeładunków węgla i koksu. Porównujemy dwa niezależne podzbiory czasowe:</w:t>
      </w:r>
    </w:p>
    <w:p w14:paraId="0EAF7876" w14:textId="77777777" w:rsidR="005F7517" w:rsidRDefault="00927BF8">
      <w:pPr>
        <w:pStyle w:val="Compact"/>
        <w:numPr>
          <w:ilvl w:val="0"/>
          <w:numId w:val="10"/>
        </w:numPr>
      </w:pPr>
      <w:r>
        <w:rPr>
          <w:b/>
          <w:bCs/>
        </w:rPr>
        <w:t xml:space="preserve">Próba A (okres 2010–2021, </w:t>
      </w:r>
      <m:oMath>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r>
          <w:rPr>
            <w:rFonts w:ascii="Cambria Math" w:hAnsi="Cambria Math"/>
          </w:rPr>
          <m:t>144</m:t>
        </m:r>
      </m:oMath>
      <w:r>
        <w:rPr>
          <w:b/>
          <w:bCs/>
        </w:rPr>
        <w:t>):</w:t>
      </w:r>
      <w:r>
        <w:t xml:space="preserve"> wielkości przeładunków przed kryzysem,</w:t>
      </w:r>
    </w:p>
    <w:p w14:paraId="7CACEE47" w14:textId="77777777" w:rsidR="005F7517" w:rsidRDefault="00927BF8">
      <w:pPr>
        <w:pStyle w:val="Compact"/>
        <w:numPr>
          <w:ilvl w:val="0"/>
          <w:numId w:val="10"/>
        </w:numPr>
      </w:pPr>
      <w:r>
        <w:rPr>
          <w:b/>
          <w:bCs/>
        </w:rPr>
        <w:t xml:space="preserve">Próba B (okres 2022–2026, </w:t>
      </w: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55</m:t>
        </m:r>
      </m:oMath>
      <w:r>
        <w:rPr>
          <w:b/>
          <w:bCs/>
        </w:rPr>
        <w:t>):</w:t>
      </w:r>
      <w:r>
        <w:t xml:space="preserve"> wielkości przeładunków w trakcie kryzysu surowcowego i reorientacji dostaw.</w:t>
      </w:r>
    </w:p>
    <w:p w14:paraId="113E0877" w14:textId="77777777" w:rsidR="005F7517" w:rsidRDefault="00927BF8">
      <w:pPr>
        <w:pStyle w:val="Nagwek3"/>
      </w:pPr>
      <w:bookmarkStart w:id="24" w:name="Xd737b17c96693016172037fa040c327a6bfe64e"/>
      <w:r>
        <w:t>Krok 1: Test równości wariancji Fishera-Snedecora (</w:t>
      </w:r>
      <w:r>
        <w:rPr>
          <w:rStyle w:val="VerbatimChar"/>
        </w:rPr>
        <w:t>var.test</w:t>
      </w:r>
      <w:r>
        <w:t>)</w:t>
      </w:r>
    </w:p>
    <w:p w14:paraId="13D77BA6" w14:textId="77777777" w:rsidR="005F7517" w:rsidRDefault="00927BF8">
      <w:pPr>
        <w:pStyle w:val="FirstParagraph"/>
      </w:pPr>
      <w:r>
        <w:t>Przed wykonaniem testu t-Studenta sprawdzono jednorodność wariancji w obu podokresach:</w:t>
      </w:r>
    </w:p>
    <w:p w14:paraId="4CAF4E8B" w14:textId="77777777" w:rsidR="005F7517" w:rsidRDefault="00927BF8">
      <w:pPr>
        <w:pStyle w:val="Compact"/>
        <w:numPr>
          <w:ilvl w:val="0"/>
          <w:numId w:val="11"/>
        </w:numPr>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oMath>
      <w:r>
        <w:t xml:space="preserve"> </w:t>
      </w:r>
      <w:r>
        <w:t>(wariancje w obu okresach są równe),</w:t>
      </w:r>
    </w:p>
    <w:p w14:paraId="7C651005" w14:textId="77777777" w:rsidR="005F7517" w:rsidRDefault="00927BF8">
      <w:pPr>
        <w:pStyle w:val="Compact"/>
        <w:numPr>
          <w:ilvl w:val="0"/>
          <w:numId w:val="11"/>
        </w:numPr>
      </w:pP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oMath>
      <w:r>
        <w:t xml:space="preserve"> (wariancje w obu okresach różnią się istotnie).</w:t>
      </w:r>
    </w:p>
    <w:p w14:paraId="4C2494BD" w14:textId="77777777" w:rsidR="005F7517" w:rsidRDefault="00927BF8">
      <w:pPr>
        <w:pStyle w:val="SourceCode"/>
      </w:pPr>
      <w:r>
        <w:rPr>
          <w:rStyle w:val="NormalTok"/>
        </w:rPr>
        <w:t xml:space="preserve">probka_A </w:t>
      </w:r>
      <w:r>
        <w:rPr>
          <w:rStyle w:val="OtherTok"/>
        </w:rPr>
        <w:t>&lt;-</w:t>
      </w:r>
      <w:r>
        <w:rPr>
          <w:rStyle w:val="NormalTok"/>
        </w:rPr>
        <w:t xml:space="preserve"> dane</w:t>
      </w:r>
      <w:r>
        <w:rPr>
          <w:rStyle w:val="SpecialCharTok"/>
        </w:rPr>
        <w:t>$</w:t>
      </w:r>
      <w:r>
        <w:rPr>
          <w:rStyle w:val="NormalTok"/>
        </w:rPr>
        <w:t>wegiel_koks_tys_ton[dane</w:t>
      </w:r>
      <w:r>
        <w:rPr>
          <w:rStyle w:val="SpecialCharTok"/>
        </w:rPr>
        <w:t>$</w:t>
      </w:r>
      <w:r>
        <w:rPr>
          <w:rStyle w:val="NormalTok"/>
        </w:rPr>
        <w:t xml:space="preserve">okres_badania </w:t>
      </w:r>
      <w:r>
        <w:rPr>
          <w:rStyle w:val="SpecialCharTok"/>
        </w:rPr>
        <w:t>==</w:t>
      </w:r>
      <w:r>
        <w:rPr>
          <w:rStyle w:val="NormalTok"/>
        </w:rPr>
        <w:t xml:space="preserve"> </w:t>
      </w:r>
      <w:r>
        <w:rPr>
          <w:rStyle w:val="StringTok"/>
        </w:rPr>
        <w:t>"2010-2021 (okres stabilny)"</w:t>
      </w:r>
      <w:r>
        <w:rPr>
          <w:rStyle w:val="NormalTok"/>
        </w:rPr>
        <w:t>]</w:t>
      </w:r>
      <w:r>
        <w:br/>
      </w:r>
      <w:r>
        <w:rPr>
          <w:rStyle w:val="NormalTok"/>
        </w:rPr>
        <w:t xml:space="preserve">probka_B </w:t>
      </w:r>
      <w:r>
        <w:rPr>
          <w:rStyle w:val="OtherTok"/>
        </w:rPr>
        <w:t>&lt;-</w:t>
      </w:r>
      <w:r>
        <w:rPr>
          <w:rStyle w:val="NormalTok"/>
        </w:rPr>
        <w:t xml:space="preserve"> dane</w:t>
      </w:r>
      <w:r>
        <w:rPr>
          <w:rStyle w:val="SpecialCharTok"/>
        </w:rPr>
        <w:t>$</w:t>
      </w:r>
      <w:r>
        <w:rPr>
          <w:rStyle w:val="NormalTok"/>
        </w:rPr>
        <w:t>wegiel_koks_tys_ton[dane</w:t>
      </w:r>
      <w:r>
        <w:rPr>
          <w:rStyle w:val="SpecialCharTok"/>
        </w:rPr>
        <w:t>$</w:t>
      </w:r>
      <w:r>
        <w:rPr>
          <w:rStyle w:val="NormalTok"/>
        </w:rPr>
        <w:t xml:space="preserve">okres_badania </w:t>
      </w:r>
      <w:r>
        <w:rPr>
          <w:rStyle w:val="SpecialCharTok"/>
        </w:rPr>
        <w:t>==</w:t>
      </w:r>
      <w:r>
        <w:rPr>
          <w:rStyle w:val="NormalTok"/>
        </w:rPr>
        <w:t xml:space="preserve"> </w:t>
      </w:r>
      <w:r>
        <w:rPr>
          <w:rStyle w:val="StringTok"/>
        </w:rPr>
        <w:t>"2022-2026 (kryzys energetyczny)"</w:t>
      </w:r>
      <w:r>
        <w:rPr>
          <w:rStyle w:val="NormalTok"/>
        </w:rPr>
        <w:t>]</w:t>
      </w:r>
      <w:r>
        <w:br/>
      </w:r>
      <w:r>
        <w:br/>
      </w:r>
      <w:r>
        <w:rPr>
          <w:rStyle w:val="NormalTok"/>
        </w:rPr>
        <w:t xml:space="preserve">test_var </w:t>
      </w:r>
      <w:r>
        <w:rPr>
          <w:rStyle w:val="OtherTok"/>
        </w:rPr>
        <w:t>&lt;-</w:t>
      </w:r>
      <w:r>
        <w:rPr>
          <w:rStyle w:val="NormalTok"/>
        </w:rPr>
        <w:t xml:space="preserve"> </w:t>
      </w:r>
      <w:r>
        <w:rPr>
          <w:rStyle w:val="FunctionTok"/>
        </w:rPr>
        <w:t>var.test</w:t>
      </w:r>
      <w:r>
        <w:rPr>
          <w:rStyle w:val="NormalTok"/>
        </w:rPr>
        <w:t>(probka_A, probka_B)</w:t>
      </w:r>
      <w:r>
        <w:br/>
      </w:r>
      <w:r>
        <w:rPr>
          <w:rStyle w:val="FunctionTok"/>
        </w:rPr>
        <w:t>cat</w:t>
      </w:r>
      <w:r>
        <w:rPr>
          <w:rStyle w:val="NormalTok"/>
        </w:rPr>
        <w:t>(</w:t>
      </w:r>
      <w:r>
        <w:rPr>
          <w:rStyle w:val="StringTok"/>
        </w:rPr>
        <w:t>"Statystyka F:"</w:t>
      </w:r>
      <w:r>
        <w:rPr>
          <w:rStyle w:val="NormalTok"/>
        </w:rPr>
        <w:t xml:space="preserve">, </w:t>
      </w:r>
      <w:r>
        <w:rPr>
          <w:rStyle w:val="FunctionTok"/>
        </w:rPr>
        <w:t>sprintf</w:t>
      </w:r>
      <w:r>
        <w:rPr>
          <w:rStyle w:val="NormalTok"/>
        </w:rPr>
        <w:t>(</w:t>
      </w:r>
      <w:r>
        <w:rPr>
          <w:rStyle w:val="StringTok"/>
        </w:rPr>
        <w:t>"%.4f"</w:t>
      </w:r>
      <w:r>
        <w:rPr>
          <w:rStyle w:val="NormalTok"/>
        </w:rPr>
        <w:t>, test_var</w:t>
      </w:r>
      <w:r>
        <w:rPr>
          <w:rStyle w:val="SpecialCharTok"/>
        </w:rPr>
        <w:t>$</w:t>
      </w:r>
      <w:r>
        <w:rPr>
          <w:rStyle w:val="NormalTok"/>
        </w:rPr>
        <w:t xml:space="preserve">statistic), </w:t>
      </w:r>
      <w:r>
        <w:rPr>
          <w:rStyle w:val="StringTok"/>
        </w:rPr>
        <w:t>"p-value:"</w:t>
      </w:r>
      <w:r>
        <w:rPr>
          <w:rStyle w:val="NormalTok"/>
        </w:rPr>
        <w:t xml:space="preserve">, </w:t>
      </w:r>
      <w:r>
        <w:rPr>
          <w:rStyle w:val="FunctionTok"/>
        </w:rPr>
        <w:t>sprintf</w:t>
      </w:r>
      <w:r>
        <w:rPr>
          <w:rStyle w:val="NormalTok"/>
        </w:rPr>
        <w:t>(</w:t>
      </w:r>
      <w:r>
        <w:rPr>
          <w:rStyle w:val="StringTok"/>
        </w:rPr>
        <w:t>"%.4e"</w:t>
      </w:r>
      <w:r>
        <w:rPr>
          <w:rStyle w:val="NormalTok"/>
        </w:rPr>
        <w:t>, test_var</w:t>
      </w:r>
      <w:r>
        <w:rPr>
          <w:rStyle w:val="SpecialCharTok"/>
        </w:rPr>
        <w:t>$</w:t>
      </w:r>
      <w:r>
        <w:rPr>
          <w:rStyle w:val="NormalTok"/>
        </w:rPr>
        <w:t xml:space="preserve">p.value), </w:t>
      </w:r>
      <w:r>
        <w:rPr>
          <w:rStyle w:val="StringTok"/>
        </w:rPr>
        <w:t>"</w:t>
      </w:r>
      <w:r>
        <w:rPr>
          <w:rStyle w:val="SpecialCharTok"/>
        </w:rPr>
        <w:t>\n</w:t>
      </w:r>
      <w:r>
        <w:rPr>
          <w:rStyle w:val="StringTok"/>
        </w:rPr>
        <w:t>"</w:t>
      </w:r>
      <w:r>
        <w:rPr>
          <w:rStyle w:val="NormalTok"/>
        </w:rPr>
        <w:t>)</w:t>
      </w:r>
    </w:p>
    <w:p w14:paraId="326AF97E" w14:textId="77777777" w:rsidR="005F7517" w:rsidRDefault="00927BF8">
      <w:pPr>
        <w:pStyle w:val="SourceCode"/>
      </w:pPr>
      <w:r>
        <w:rPr>
          <w:rStyle w:val="VerbatimChar"/>
        </w:rPr>
        <w:t>## Statystyka F: 0.0956 p-value: 4.4035e-29</w:t>
      </w:r>
    </w:p>
    <w:p w14:paraId="4CF220A7" w14:textId="77777777" w:rsidR="005F7517" w:rsidRDefault="00927BF8">
      <w:pPr>
        <w:pStyle w:val="FirstParagraph"/>
      </w:pPr>
      <w:r>
        <w:t xml:space="preserve">Wartość </w:t>
      </w:r>
      <m:oMath>
        <m:r>
          <w:rPr>
            <w:rFonts w:ascii="Cambria Math" w:hAnsi="Cambria Math"/>
          </w:rPr>
          <m:t>p</m:t>
        </m:r>
        <m:r>
          <m:rPr>
            <m:nor/>
          </m:rPr>
          <m:t>-value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oMath>
      <w:r>
        <w:t xml:space="preserve">. Odrzucamy hipotezę zerową o jednorodności wariancji. Z tego względu zastosowano </w:t>
      </w:r>
      <w:r>
        <w:rPr>
          <w:b/>
          <w:bCs/>
        </w:rPr>
        <w:t>dwupróbowy test t-Studenta z korektą Welcha</w:t>
      </w:r>
      <w:r>
        <w:t xml:space="preserve"> dla wariancji niejednorodnych.</w:t>
      </w:r>
    </w:p>
    <w:p w14:paraId="7FDB8440" w14:textId="77777777" w:rsidR="005F7517" w:rsidRDefault="00927BF8">
      <w:pPr>
        <w:pStyle w:val="Nagwek3"/>
      </w:pPr>
      <w:bookmarkStart w:id="25" w:name="X19ff53010c2946b806a6b4351a8195edd528df1"/>
      <w:bookmarkEnd w:id="24"/>
      <w:r>
        <w:t>Krok 2: Dwupróbowy test t-Studenta dla prób niezależnych (</w:t>
      </w:r>
      <w:r>
        <w:rPr>
          <w:rStyle w:val="VerbatimChar"/>
        </w:rPr>
        <w:t>t.test</w:t>
      </w:r>
      <w:r>
        <w:t>)</w:t>
      </w:r>
    </w:p>
    <w:p w14:paraId="236D866F" w14:textId="77777777" w:rsidR="005F7517" w:rsidRDefault="00927BF8">
      <w:pPr>
        <w:pStyle w:val="Compact"/>
        <w:numPr>
          <w:ilvl w:val="0"/>
          <w:numId w:val="12"/>
        </w:numPr>
      </w:pPr>
      <w:r>
        <w:rPr>
          <w:b/>
          <w:bCs/>
        </w:rPr>
        <w:t>Hipoteza zerowa (</w:t>
      </w:r>
      <m:oMath>
        <m:sSub>
          <m:sSubPr>
            <m:ctrlPr>
              <w:rPr>
                <w:rFonts w:ascii="Cambria Math" w:hAnsi="Cambria Math"/>
              </w:rPr>
            </m:ctrlPr>
          </m:sSubPr>
          <m:e>
            <m:r>
              <w:rPr>
                <w:rFonts w:ascii="Cambria Math" w:hAnsi="Cambria Math"/>
              </w:rPr>
              <m:t>H</m:t>
            </m:r>
          </m:e>
          <m:sub>
            <m:r>
              <w:rPr>
                <w:rFonts w:ascii="Cambria Math" w:hAnsi="Cambria Math"/>
              </w:rPr>
              <m:t>0</m:t>
            </m:r>
          </m:sub>
        </m:sSub>
      </m:oMath>
      <w:r>
        <w:rPr>
          <w:b/>
          <w:bCs/>
        </w:rPr>
        <w:t>):</w:t>
      </w:r>
      <w:r>
        <w:t xml:space="preserve"> </w:t>
      </w:r>
      <m:oMath>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m:t>
            </m:r>
          </m:sub>
        </m:sSub>
        <m:r>
          <m:rPr>
            <m:sty m:val="p"/>
          </m:rPr>
          <w:rPr>
            <w:rFonts w:ascii="Cambria Math" w:hAnsi="Cambria Math"/>
          </w:rPr>
          <m:t>=</m:t>
        </m:r>
        <m:r>
          <w:rPr>
            <w:rFonts w:ascii="Cambria Math" w:hAnsi="Cambria Math"/>
          </w:rPr>
          <m:t>0</m:t>
        </m:r>
      </m:oMath>
      <w:r>
        <w:t xml:space="preserve"> (średnie miesięczne przeładunki węgla i koksu w okresie stabilnym 2010–2021 oraz w okresie kryzysowym 2022–2026 </w:t>
      </w:r>
      <w:r>
        <w:rPr>
          <w:b/>
          <w:bCs/>
        </w:rPr>
        <w:t>nie różnią się statystycznie istotnie</w:t>
      </w:r>
      <w:r>
        <w:t>).</w:t>
      </w:r>
    </w:p>
    <w:p w14:paraId="3BCB1B7A" w14:textId="77777777" w:rsidR="005F7517" w:rsidRDefault="00927BF8">
      <w:pPr>
        <w:pStyle w:val="Compact"/>
        <w:numPr>
          <w:ilvl w:val="0"/>
          <w:numId w:val="12"/>
        </w:numPr>
      </w:pPr>
      <w:r>
        <w:rPr>
          <w:b/>
          <w:bCs/>
        </w:rPr>
        <w:t>Hipoteza alternatywna (</w:t>
      </w:r>
      <m:oMath>
        <m:sSub>
          <m:sSubPr>
            <m:ctrlPr>
              <w:rPr>
                <w:rFonts w:ascii="Cambria Math" w:hAnsi="Cambria Math"/>
              </w:rPr>
            </m:ctrlPr>
          </m:sSubPr>
          <m:e>
            <m:r>
              <w:rPr>
                <w:rFonts w:ascii="Cambria Math" w:hAnsi="Cambria Math"/>
              </w:rPr>
              <m:t>H</m:t>
            </m:r>
          </m:e>
          <m:sub>
            <m:r>
              <w:rPr>
                <w:rFonts w:ascii="Cambria Math" w:hAnsi="Cambria Math"/>
              </w:rPr>
              <m:t>1</m:t>
            </m:r>
          </m:sub>
        </m:sSub>
      </m:oMath>
      <w:r>
        <w:rPr>
          <w:b/>
          <w:bCs/>
        </w:rPr>
        <w:t>):</w:t>
      </w:r>
      <w:r>
        <w:t xml:space="preserve"> </w:t>
      </w:r>
      <m:oMath>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m:t>
            </m:r>
          </m:sub>
        </m:sSub>
        <m:r>
          <m:rPr>
            <m:sty m:val="p"/>
          </m:rPr>
          <w:rPr>
            <w:rFonts w:ascii="Cambria Math" w:hAnsi="Cambria Math"/>
          </w:rPr>
          <m:t>≠</m:t>
        </m:r>
        <m:r>
          <w:rPr>
            <w:rFonts w:ascii="Cambria Math" w:hAnsi="Cambria Math"/>
          </w:rPr>
          <m:t>0</m:t>
        </m:r>
      </m:oMath>
      <w:r>
        <w:t xml:space="preserve"> </w:t>
      </w:r>
      <w:r>
        <w:t xml:space="preserve">(średnie miesięczne przeładunki węgla i koksu w obu analizowanych okresach </w:t>
      </w:r>
      <w:r>
        <w:rPr>
          <w:b/>
          <w:bCs/>
        </w:rPr>
        <w:t>różnią się statystycznie istotnie</w:t>
      </w:r>
      <w:r>
        <w:t xml:space="preserve"> – wystąpił istotny wpływ kryzysu).</w:t>
      </w:r>
    </w:p>
    <w:p w14:paraId="79E9F846" w14:textId="77777777" w:rsidR="005F7517" w:rsidRDefault="00927BF8">
      <w:pPr>
        <w:pStyle w:val="SourceCode"/>
      </w:pPr>
      <w:r>
        <w:rPr>
          <w:rStyle w:val="NormalTok"/>
        </w:rPr>
        <w:t xml:space="preserve">test_t </w:t>
      </w:r>
      <w:r>
        <w:rPr>
          <w:rStyle w:val="OtherTok"/>
        </w:rPr>
        <w:t>&lt;-</w:t>
      </w:r>
      <w:r>
        <w:rPr>
          <w:rStyle w:val="NormalTok"/>
        </w:rPr>
        <w:t xml:space="preserve"> </w:t>
      </w:r>
      <w:r>
        <w:rPr>
          <w:rStyle w:val="FunctionTok"/>
        </w:rPr>
        <w:t>t.test</w:t>
      </w:r>
      <w:r>
        <w:rPr>
          <w:rStyle w:val="NormalTok"/>
        </w:rPr>
        <w:t xml:space="preserve">(probka_A, probka_B, </w:t>
      </w:r>
      <w:r>
        <w:rPr>
          <w:rStyle w:val="AttributeTok"/>
        </w:rPr>
        <w:t>alternative =</w:t>
      </w:r>
      <w:r>
        <w:rPr>
          <w:rStyle w:val="NormalTok"/>
        </w:rPr>
        <w:t xml:space="preserve"> </w:t>
      </w:r>
      <w:r>
        <w:rPr>
          <w:rStyle w:val="StringTok"/>
        </w:rPr>
        <w:t>"two.sided"</w:t>
      </w:r>
      <w:r>
        <w:rPr>
          <w:rStyle w:val="NormalTok"/>
        </w:rPr>
        <w:t xml:space="preserve">, </w:t>
      </w:r>
      <w:r>
        <w:rPr>
          <w:rStyle w:val="AttributeTok"/>
        </w:rPr>
        <w:t>var.equal =</w:t>
      </w:r>
      <w:r>
        <w:rPr>
          <w:rStyle w:val="NormalTok"/>
        </w:rPr>
        <w:t xml:space="preserve"> </w:t>
      </w:r>
      <w:r>
        <w:rPr>
          <w:rStyle w:val="ConstantTok"/>
        </w:rPr>
        <w:t>FALSE</w:t>
      </w:r>
      <w:r>
        <w:rPr>
          <w:rStyle w:val="NormalTok"/>
        </w:rPr>
        <w:t>)</w:t>
      </w:r>
      <w:r>
        <w:br/>
      </w:r>
      <w:r>
        <w:br/>
      </w:r>
      <w:r>
        <w:rPr>
          <w:rStyle w:val="NormalTok"/>
        </w:rPr>
        <w:t xml:space="preserve">tabela_test_t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Okres =</w:t>
      </w:r>
      <w:r>
        <w:rPr>
          <w:rStyle w:val="NormalTok"/>
        </w:rPr>
        <w:t xml:space="preserve"> </w:t>
      </w:r>
      <w:r>
        <w:rPr>
          <w:rStyle w:val="FunctionTok"/>
        </w:rPr>
        <w:t>c</w:t>
      </w:r>
      <w:r>
        <w:rPr>
          <w:rStyle w:val="NormalTok"/>
        </w:rPr>
        <w:t>(</w:t>
      </w:r>
      <w:r>
        <w:rPr>
          <w:rStyle w:val="StringTok"/>
        </w:rPr>
        <w:t>"2010–2021 (przed kryzysem)"</w:t>
      </w:r>
      <w:r>
        <w:rPr>
          <w:rStyle w:val="NormalTok"/>
        </w:rPr>
        <w:t xml:space="preserve">, </w:t>
      </w:r>
      <w:r>
        <w:rPr>
          <w:rStyle w:val="StringTok"/>
        </w:rPr>
        <w:t>"2022–2026 (po kryzysie)"</w:t>
      </w:r>
      <w:r>
        <w:rPr>
          <w:rStyle w:val="NormalTok"/>
        </w:rPr>
        <w:t xml:space="preserve">, </w:t>
      </w:r>
      <w:r>
        <w:rPr>
          <w:rStyle w:val="StringTok"/>
        </w:rPr>
        <w:t>"Różnica (A - B)"</w:t>
      </w:r>
      <w:r>
        <w:rPr>
          <w:rStyle w:val="NormalTok"/>
        </w:rPr>
        <w:t>),</w:t>
      </w:r>
      <w:r>
        <w:br/>
      </w:r>
      <w:r>
        <w:rPr>
          <w:rStyle w:val="NormalTok"/>
        </w:rPr>
        <w:t xml:space="preserve">  </w:t>
      </w:r>
      <w:r>
        <w:rPr>
          <w:rStyle w:val="AttributeTok"/>
        </w:rPr>
        <w:t>n =</w:t>
      </w:r>
      <w:r>
        <w:rPr>
          <w:rStyle w:val="NormalTok"/>
        </w:rPr>
        <w:t xml:space="preserve"> </w:t>
      </w:r>
      <w:r>
        <w:rPr>
          <w:rStyle w:val="FunctionTok"/>
        </w:rPr>
        <w:t>c</w:t>
      </w:r>
      <w:r>
        <w:rPr>
          <w:rStyle w:val="NormalTok"/>
        </w:rPr>
        <w:t>(</w:t>
      </w:r>
      <w:r>
        <w:rPr>
          <w:rStyle w:val="FunctionTok"/>
        </w:rPr>
        <w:t>as.character</w:t>
      </w:r>
      <w:r>
        <w:rPr>
          <w:rStyle w:val="NormalTok"/>
        </w:rPr>
        <w:t>(</w:t>
      </w:r>
      <w:r>
        <w:rPr>
          <w:rStyle w:val="FunctionTok"/>
        </w:rPr>
        <w:t>length</w:t>
      </w:r>
      <w:r>
        <w:rPr>
          <w:rStyle w:val="NormalTok"/>
        </w:rPr>
        <w:t xml:space="preserve">(probka_A)), </w:t>
      </w:r>
      <w:r>
        <w:rPr>
          <w:rStyle w:val="FunctionTok"/>
        </w:rPr>
        <w:t>as.character</w:t>
      </w:r>
      <w:r>
        <w:rPr>
          <w:rStyle w:val="NormalTok"/>
        </w:rPr>
        <w:t>(</w:t>
      </w:r>
      <w:r>
        <w:rPr>
          <w:rStyle w:val="FunctionTok"/>
        </w:rPr>
        <w:t>length</w:t>
      </w:r>
      <w:r>
        <w:rPr>
          <w:rStyle w:val="NormalTok"/>
        </w:rPr>
        <w:t xml:space="preserve">(probka_B)), </w:t>
      </w:r>
      <w:r>
        <w:rPr>
          <w:rStyle w:val="StringTok"/>
        </w:rPr>
        <w:t>"-"</w:t>
      </w:r>
      <w:r>
        <w:rPr>
          <w:rStyle w:val="NormalTok"/>
        </w:rPr>
        <w:t>),</w:t>
      </w:r>
      <w:r>
        <w:br/>
      </w:r>
      <w:r>
        <w:rPr>
          <w:rStyle w:val="NormalTok"/>
        </w:rPr>
        <w:t xml:space="preserve">  </w:t>
      </w:r>
      <w:r>
        <w:rPr>
          <w:rStyle w:val="AttributeTok"/>
        </w:rPr>
        <w:t>Srednia =</w:t>
      </w:r>
      <w:r>
        <w:rPr>
          <w:rStyle w:val="NormalTok"/>
        </w:rPr>
        <w:t xml:space="preserve"> </w:t>
      </w:r>
      <w:r>
        <w:rPr>
          <w:rStyle w:val="FunctionTok"/>
        </w:rPr>
        <w:t>c</w:t>
      </w:r>
      <w:r>
        <w:rPr>
          <w:rStyle w:val="NormalTok"/>
        </w:rPr>
        <w:t>(</w:t>
      </w:r>
      <w:r>
        <w:br/>
      </w:r>
      <w:r>
        <w:rPr>
          <w:rStyle w:val="NormalTok"/>
        </w:rPr>
        <w:t xml:space="preserve">    </w:t>
      </w:r>
      <w:r>
        <w:rPr>
          <w:rStyle w:val="FunctionTok"/>
        </w:rPr>
        <w:t>sprintf</w:t>
      </w:r>
      <w:r>
        <w:rPr>
          <w:rStyle w:val="NormalTok"/>
        </w:rPr>
        <w:t>(</w:t>
      </w:r>
      <w:r>
        <w:rPr>
          <w:rStyle w:val="StringTok"/>
        </w:rPr>
        <w:t>"%.2f tys. t"</w:t>
      </w:r>
      <w:r>
        <w:rPr>
          <w:rStyle w:val="NormalTok"/>
        </w:rPr>
        <w:t xml:space="preserve">, </w:t>
      </w:r>
      <w:r>
        <w:rPr>
          <w:rStyle w:val="FunctionTok"/>
        </w:rPr>
        <w:t>mean</w:t>
      </w:r>
      <w:r>
        <w:rPr>
          <w:rStyle w:val="NormalTok"/>
        </w:rPr>
        <w:t>(probka_A)),</w:t>
      </w:r>
      <w:r>
        <w:br/>
      </w:r>
      <w:r>
        <w:rPr>
          <w:rStyle w:val="NormalTok"/>
        </w:rPr>
        <w:t xml:space="preserve">    </w:t>
      </w:r>
      <w:r>
        <w:rPr>
          <w:rStyle w:val="FunctionTok"/>
        </w:rPr>
        <w:t>sprintf</w:t>
      </w:r>
      <w:r>
        <w:rPr>
          <w:rStyle w:val="NormalTok"/>
        </w:rPr>
        <w:t>(</w:t>
      </w:r>
      <w:r>
        <w:rPr>
          <w:rStyle w:val="StringTok"/>
        </w:rPr>
        <w:t>"%.2f tys. t"</w:t>
      </w:r>
      <w:r>
        <w:rPr>
          <w:rStyle w:val="NormalTok"/>
        </w:rPr>
        <w:t xml:space="preserve">, </w:t>
      </w:r>
      <w:r>
        <w:rPr>
          <w:rStyle w:val="FunctionTok"/>
        </w:rPr>
        <w:t>mean</w:t>
      </w:r>
      <w:r>
        <w:rPr>
          <w:rStyle w:val="NormalTok"/>
        </w:rPr>
        <w:t>(probka_B)),</w:t>
      </w:r>
      <w:r>
        <w:br/>
      </w:r>
      <w:r>
        <w:rPr>
          <w:rStyle w:val="NormalTok"/>
        </w:rPr>
        <w:t xml:space="preserve">    </w:t>
      </w:r>
      <w:r>
        <w:rPr>
          <w:rStyle w:val="FunctionTok"/>
        </w:rPr>
        <w:t>sprintf</w:t>
      </w:r>
      <w:r>
        <w:rPr>
          <w:rStyle w:val="NormalTok"/>
        </w:rPr>
        <w:t>(</w:t>
      </w:r>
      <w:r>
        <w:rPr>
          <w:rStyle w:val="StringTok"/>
        </w:rPr>
        <w:t>"%.2f tys. t"</w:t>
      </w:r>
      <w:r>
        <w:rPr>
          <w:rStyle w:val="NormalTok"/>
        </w:rPr>
        <w:t xml:space="preserve">, </w:t>
      </w:r>
      <w:r>
        <w:rPr>
          <w:rStyle w:val="FunctionTok"/>
        </w:rPr>
        <w:t>mean</w:t>
      </w:r>
      <w:r>
        <w:rPr>
          <w:rStyle w:val="NormalTok"/>
        </w:rPr>
        <w:t xml:space="preserve">(probka_A) </w:t>
      </w:r>
      <w:r>
        <w:rPr>
          <w:rStyle w:val="SpecialCharTok"/>
        </w:rPr>
        <w:t>-</w:t>
      </w:r>
      <w:r>
        <w:rPr>
          <w:rStyle w:val="NormalTok"/>
        </w:rPr>
        <w:t xml:space="preserve"> </w:t>
      </w:r>
      <w:r>
        <w:rPr>
          <w:rStyle w:val="FunctionTok"/>
        </w:rPr>
        <w:t>mean</w:t>
      </w:r>
      <w:r>
        <w:rPr>
          <w:rStyle w:val="NormalTok"/>
        </w:rPr>
        <w:t>(probka_B))</w:t>
      </w:r>
      <w:r>
        <w:br/>
      </w:r>
      <w:r>
        <w:rPr>
          <w:rStyle w:val="NormalTok"/>
        </w:rPr>
        <w:t xml:space="preserve">  ),</w:t>
      </w:r>
      <w:r>
        <w:br/>
      </w:r>
      <w:r>
        <w:rPr>
          <w:rStyle w:val="NormalTok"/>
        </w:rPr>
        <w:t xml:space="preserve">  </w:t>
      </w:r>
      <w:r>
        <w:rPr>
          <w:rStyle w:val="AttributeTok"/>
        </w:rPr>
        <w:t>Odch_Std =</w:t>
      </w:r>
      <w:r>
        <w:rPr>
          <w:rStyle w:val="NormalTok"/>
        </w:rPr>
        <w:t xml:space="preserve"> </w:t>
      </w:r>
      <w:r>
        <w:rPr>
          <w:rStyle w:val="FunctionTok"/>
        </w:rPr>
        <w:t>c</w:t>
      </w:r>
      <w:r>
        <w:rPr>
          <w:rStyle w:val="NormalTok"/>
        </w:rPr>
        <w:t>(</w:t>
      </w:r>
      <w:r>
        <w:br/>
      </w:r>
      <w:r>
        <w:rPr>
          <w:rStyle w:val="NormalTok"/>
        </w:rPr>
        <w:t xml:space="preserve">    </w:t>
      </w:r>
      <w:r>
        <w:rPr>
          <w:rStyle w:val="FunctionTok"/>
        </w:rPr>
        <w:t>sprintf</w:t>
      </w:r>
      <w:r>
        <w:rPr>
          <w:rStyle w:val="NormalTok"/>
        </w:rPr>
        <w:t>(</w:t>
      </w:r>
      <w:r>
        <w:rPr>
          <w:rStyle w:val="StringTok"/>
        </w:rPr>
        <w:t>"%.2f tys. t"</w:t>
      </w:r>
      <w:r>
        <w:rPr>
          <w:rStyle w:val="NormalTok"/>
        </w:rPr>
        <w:t xml:space="preserve">, </w:t>
      </w:r>
      <w:r>
        <w:rPr>
          <w:rStyle w:val="FunctionTok"/>
        </w:rPr>
        <w:t>sd</w:t>
      </w:r>
      <w:r>
        <w:rPr>
          <w:rStyle w:val="NormalTok"/>
        </w:rPr>
        <w:t>(probka_A)),</w:t>
      </w:r>
      <w:r>
        <w:br/>
      </w:r>
      <w:r>
        <w:rPr>
          <w:rStyle w:val="NormalTok"/>
        </w:rPr>
        <w:t xml:space="preserve">    </w:t>
      </w:r>
      <w:r>
        <w:rPr>
          <w:rStyle w:val="FunctionTok"/>
        </w:rPr>
        <w:t>sprintf</w:t>
      </w:r>
      <w:r>
        <w:rPr>
          <w:rStyle w:val="NormalTok"/>
        </w:rPr>
        <w:t>(</w:t>
      </w:r>
      <w:r>
        <w:rPr>
          <w:rStyle w:val="StringTok"/>
        </w:rPr>
        <w:t>"%.2f tys. t"</w:t>
      </w:r>
      <w:r>
        <w:rPr>
          <w:rStyle w:val="NormalTok"/>
        </w:rPr>
        <w:t xml:space="preserve">, </w:t>
      </w:r>
      <w:r>
        <w:rPr>
          <w:rStyle w:val="FunctionTok"/>
        </w:rPr>
        <w:t>sd</w:t>
      </w:r>
      <w:r>
        <w:rPr>
          <w:rStyle w:val="NormalTok"/>
        </w:rPr>
        <w:t>(probka_B)),</w:t>
      </w:r>
      <w:r>
        <w:br/>
      </w:r>
      <w:r>
        <w:rPr>
          <w:rStyle w:val="NormalTok"/>
        </w:rPr>
        <w:t xml:space="preserve">    </w:t>
      </w:r>
      <w:r>
        <w:rPr>
          <w:rStyle w:val="StringTok"/>
        </w:rPr>
        <w:t>"-"</w:t>
      </w:r>
      <w:r>
        <w:br/>
      </w:r>
      <w:r>
        <w:rPr>
          <w:rStyle w:val="NormalTok"/>
        </w:rPr>
        <w:t xml:space="preserve">  ),</w:t>
      </w:r>
      <w:r>
        <w:br/>
      </w:r>
      <w:r>
        <w:rPr>
          <w:rStyle w:val="NormalTok"/>
        </w:rPr>
        <w:t xml:space="preserve">  </w:t>
      </w:r>
      <w:r>
        <w:rPr>
          <w:rStyle w:val="AttributeTok"/>
        </w:rPr>
        <w:t>t =</w:t>
      </w:r>
      <w:r>
        <w:rPr>
          <w:rStyle w:val="NormalTok"/>
        </w:rPr>
        <w:t xml:space="preserve"> </w:t>
      </w:r>
      <w:r>
        <w:rPr>
          <w:rStyle w:val="FunctionTok"/>
        </w:rPr>
        <w:t>c</w:t>
      </w:r>
      <w:r>
        <w:rPr>
          <w:rStyle w:val="NormalTok"/>
        </w:rPr>
        <w:t>(</w:t>
      </w:r>
      <w:r>
        <w:rPr>
          <w:rStyle w:val="StringTok"/>
        </w:rPr>
        <w:t>"-"</w:t>
      </w:r>
      <w:r>
        <w:rPr>
          <w:rStyle w:val="NormalTok"/>
        </w:rPr>
        <w:t xml:space="preserve">, </w:t>
      </w:r>
      <w:r>
        <w:rPr>
          <w:rStyle w:val="StringTok"/>
        </w:rPr>
        <w:t>"-"</w:t>
      </w:r>
      <w:r>
        <w:rPr>
          <w:rStyle w:val="NormalTok"/>
        </w:rPr>
        <w:t xml:space="preserve">, </w:t>
      </w:r>
      <w:r>
        <w:rPr>
          <w:rStyle w:val="FunctionTok"/>
        </w:rPr>
        <w:t>sprintf</w:t>
      </w:r>
      <w:r>
        <w:rPr>
          <w:rStyle w:val="NormalTok"/>
        </w:rPr>
        <w:t>(</w:t>
      </w:r>
      <w:r>
        <w:rPr>
          <w:rStyle w:val="StringTok"/>
        </w:rPr>
        <w:t>"%.4f"</w:t>
      </w:r>
      <w:r>
        <w:rPr>
          <w:rStyle w:val="NormalTok"/>
        </w:rPr>
        <w:t>, test_t</w:t>
      </w:r>
      <w:r>
        <w:rPr>
          <w:rStyle w:val="SpecialCharTok"/>
        </w:rPr>
        <w:t>$</w:t>
      </w:r>
      <w:r>
        <w:rPr>
          <w:rStyle w:val="NormalTok"/>
        </w:rPr>
        <w:t>statistic)),</w:t>
      </w:r>
      <w:r>
        <w:br/>
      </w:r>
      <w:r>
        <w:rPr>
          <w:rStyle w:val="NormalTok"/>
        </w:rPr>
        <w:t xml:space="preserve">  </w:t>
      </w:r>
      <w:r>
        <w:rPr>
          <w:rStyle w:val="AttributeTok"/>
        </w:rPr>
        <w:t>df =</w:t>
      </w:r>
      <w:r>
        <w:rPr>
          <w:rStyle w:val="NormalTok"/>
        </w:rPr>
        <w:t xml:space="preserve"> </w:t>
      </w:r>
      <w:r>
        <w:rPr>
          <w:rStyle w:val="FunctionTok"/>
        </w:rPr>
        <w:t>c</w:t>
      </w:r>
      <w:r>
        <w:rPr>
          <w:rStyle w:val="NormalTok"/>
        </w:rPr>
        <w:t>(</w:t>
      </w:r>
      <w:r>
        <w:rPr>
          <w:rStyle w:val="StringTok"/>
        </w:rPr>
        <w:t>"-"</w:t>
      </w:r>
      <w:r>
        <w:rPr>
          <w:rStyle w:val="NormalTok"/>
        </w:rPr>
        <w:t xml:space="preserve">, </w:t>
      </w:r>
      <w:r>
        <w:rPr>
          <w:rStyle w:val="StringTok"/>
        </w:rPr>
        <w:t>"-"</w:t>
      </w:r>
      <w:r>
        <w:rPr>
          <w:rStyle w:val="NormalTok"/>
        </w:rPr>
        <w:t xml:space="preserve">, </w:t>
      </w:r>
      <w:r>
        <w:rPr>
          <w:rStyle w:val="FunctionTok"/>
        </w:rPr>
        <w:t>sprintf</w:t>
      </w:r>
      <w:r>
        <w:rPr>
          <w:rStyle w:val="NormalTok"/>
        </w:rPr>
        <w:t>(</w:t>
      </w:r>
      <w:r>
        <w:rPr>
          <w:rStyle w:val="StringTok"/>
        </w:rPr>
        <w:t>"%.2f"</w:t>
      </w:r>
      <w:r>
        <w:rPr>
          <w:rStyle w:val="NormalTok"/>
        </w:rPr>
        <w:t>, test_t</w:t>
      </w:r>
      <w:r>
        <w:rPr>
          <w:rStyle w:val="SpecialCharTok"/>
        </w:rPr>
        <w:t>$</w:t>
      </w:r>
      <w:r>
        <w:rPr>
          <w:rStyle w:val="NormalTok"/>
        </w:rPr>
        <w:t>parameter)),</w:t>
      </w:r>
      <w:r>
        <w:br/>
      </w:r>
      <w:r>
        <w:rPr>
          <w:rStyle w:val="NormalTok"/>
        </w:rPr>
        <w:t xml:space="preserve">  </w:t>
      </w:r>
      <w:r>
        <w:rPr>
          <w:rStyle w:val="AttributeTok"/>
        </w:rPr>
        <w:t>p_val =</w:t>
      </w:r>
      <w:r>
        <w:rPr>
          <w:rStyle w:val="NormalTok"/>
        </w:rPr>
        <w:t xml:space="preserve"> </w:t>
      </w:r>
      <w:r>
        <w:rPr>
          <w:rStyle w:val="FunctionTok"/>
        </w:rPr>
        <w:t>c</w:t>
      </w:r>
      <w:r>
        <w:rPr>
          <w:rStyle w:val="NormalTok"/>
        </w:rPr>
        <w:t>(</w:t>
      </w:r>
      <w:r>
        <w:rPr>
          <w:rStyle w:val="StringTok"/>
        </w:rPr>
        <w:t>"-"</w:t>
      </w:r>
      <w:r>
        <w:rPr>
          <w:rStyle w:val="NormalTok"/>
        </w:rPr>
        <w:t xml:space="preserve">, </w:t>
      </w:r>
      <w:r>
        <w:rPr>
          <w:rStyle w:val="StringTok"/>
        </w:rPr>
        <w:t>"-"</w:t>
      </w:r>
      <w:r>
        <w:rPr>
          <w:rStyle w:val="NormalTok"/>
        </w:rPr>
        <w:t xml:space="preserve">, </w:t>
      </w:r>
      <w:r>
        <w:rPr>
          <w:rStyle w:val="FunctionTok"/>
        </w:rPr>
        <w:t>sprintf</w:t>
      </w:r>
      <w:r>
        <w:rPr>
          <w:rStyle w:val="NormalTok"/>
        </w:rPr>
        <w:t>(</w:t>
      </w:r>
      <w:r>
        <w:rPr>
          <w:rStyle w:val="StringTok"/>
        </w:rPr>
        <w:t>"%.6f"</w:t>
      </w:r>
      <w:r>
        <w:rPr>
          <w:rStyle w:val="NormalTok"/>
        </w:rPr>
        <w:t>, test_t</w:t>
      </w:r>
      <w:r>
        <w:rPr>
          <w:rStyle w:val="SpecialCharTok"/>
        </w:rPr>
        <w:t>$</w:t>
      </w:r>
      <w:r>
        <w:rPr>
          <w:rStyle w:val="NormalTok"/>
        </w:rPr>
        <w:t>p.value)),</w:t>
      </w:r>
      <w:r>
        <w:br/>
      </w:r>
      <w:r>
        <w:rPr>
          <w:rStyle w:val="NormalTok"/>
        </w:rPr>
        <w:t xml:space="preserve">  </w:t>
      </w:r>
      <w:r>
        <w:rPr>
          <w:rStyle w:val="AttributeTok"/>
        </w:rPr>
        <w:t>CI_95 =</w:t>
      </w:r>
      <w:r>
        <w:rPr>
          <w:rStyle w:val="NormalTok"/>
        </w:rPr>
        <w:t xml:space="preserve"> </w:t>
      </w:r>
      <w:r>
        <w:rPr>
          <w:rStyle w:val="FunctionTok"/>
        </w:rPr>
        <w:t>c</w:t>
      </w:r>
      <w:r>
        <w:rPr>
          <w:rStyle w:val="NormalTok"/>
        </w:rPr>
        <w:t>(</w:t>
      </w:r>
      <w:r>
        <w:br/>
      </w:r>
      <w:r>
        <w:rPr>
          <w:rStyle w:val="NormalTok"/>
        </w:rPr>
        <w:t xml:space="preserve">    </w:t>
      </w:r>
      <w:r>
        <w:rPr>
          <w:rStyle w:val="StringTok"/>
        </w:rPr>
        <w:t>"-"</w:t>
      </w:r>
      <w:r>
        <w:rPr>
          <w:rStyle w:val="NormalTok"/>
        </w:rPr>
        <w:t xml:space="preserve">, </w:t>
      </w:r>
      <w:r>
        <w:rPr>
          <w:rStyle w:val="StringTok"/>
        </w:rPr>
        <w:t>"-"</w:t>
      </w:r>
      <w:r>
        <w:rPr>
          <w:rStyle w:val="NormalTok"/>
        </w:rPr>
        <w:t xml:space="preserve">, </w:t>
      </w:r>
      <w:r>
        <w:br/>
      </w:r>
      <w:r>
        <w:rPr>
          <w:rStyle w:val="NormalTok"/>
        </w:rPr>
        <w:t xml:space="preserve">    </w:t>
      </w:r>
      <w:r>
        <w:rPr>
          <w:rStyle w:val="FunctionTok"/>
        </w:rPr>
        <w:t>sprintf</w:t>
      </w:r>
      <w:r>
        <w:rPr>
          <w:rStyle w:val="NormalTok"/>
        </w:rPr>
        <w:t>(</w:t>
      </w:r>
      <w:r>
        <w:rPr>
          <w:rStyle w:val="StringTok"/>
        </w:rPr>
        <w:t>"[%.2f ; %.2f]"</w:t>
      </w:r>
      <w:r>
        <w:rPr>
          <w:rStyle w:val="NormalTok"/>
        </w:rPr>
        <w:t>, test_t</w:t>
      </w:r>
      <w:r>
        <w:rPr>
          <w:rStyle w:val="SpecialCharTok"/>
        </w:rPr>
        <w:t>$</w:t>
      </w:r>
      <w:r>
        <w:rPr>
          <w:rStyle w:val="NormalTok"/>
        </w:rPr>
        <w:t>conf.int[</w:t>
      </w:r>
      <w:r>
        <w:rPr>
          <w:rStyle w:val="DecValTok"/>
        </w:rPr>
        <w:t>1</w:t>
      </w:r>
      <w:r>
        <w:rPr>
          <w:rStyle w:val="NormalTok"/>
        </w:rPr>
        <w:t>], test_t</w:t>
      </w:r>
      <w:r>
        <w:rPr>
          <w:rStyle w:val="SpecialCharTok"/>
        </w:rPr>
        <w:t>$</w:t>
      </w:r>
      <w:r>
        <w:rPr>
          <w:rStyle w:val="NormalTok"/>
        </w:rPr>
        <w:t>conf.int[</w:t>
      </w:r>
      <w:r>
        <w:rPr>
          <w:rStyle w:val="DecValTok"/>
        </w:rPr>
        <w:t>2</w:t>
      </w:r>
      <w:r>
        <w:rPr>
          <w:rStyle w:val="NormalTok"/>
        </w:rPr>
        <w:t>])</w:t>
      </w:r>
      <w:r>
        <w:br/>
      </w:r>
      <w:r>
        <w:rPr>
          <w:rStyle w:val="NormalTok"/>
        </w:rPr>
        <w:t xml:space="preserve">  )</w:t>
      </w:r>
      <w:r>
        <w:br/>
      </w:r>
      <w:r>
        <w:rPr>
          <w:rStyle w:val="NormalTok"/>
        </w:rPr>
        <w:t>)</w:t>
      </w:r>
      <w:r>
        <w:br/>
      </w:r>
      <w:r>
        <w:rPr>
          <w:rStyle w:val="FunctionTok"/>
        </w:rPr>
        <w:t>colnames</w:t>
      </w:r>
      <w:r>
        <w:rPr>
          <w:rStyle w:val="NormalTok"/>
        </w:rPr>
        <w:t xml:space="preserve">(tabela_test_t) </w:t>
      </w:r>
      <w:r>
        <w:rPr>
          <w:rStyle w:val="OtherTok"/>
        </w:rPr>
        <w:t>&lt;-</w:t>
      </w:r>
      <w:r>
        <w:rPr>
          <w:rStyle w:val="NormalTok"/>
        </w:rPr>
        <w:t xml:space="preserve"> </w:t>
      </w:r>
      <w:r>
        <w:rPr>
          <w:rStyle w:val="FunctionTok"/>
        </w:rPr>
        <w:t>c</w:t>
      </w:r>
      <w:r>
        <w:rPr>
          <w:rStyle w:val="NormalTok"/>
        </w:rPr>
        <w:t>(</w:t>
      </w:r>
      <w:r>
        <w:rPr>
          <w:rStyle w:val="StringTok"/>
        </w:rPr>
        <w:t>"Okres"</w:t>
      </w:r>
      <w:r>
        <w:rPr>
          <w:rStyle w:val="NormalTok"/>
        </w:rPr>
        <w:t xml:space="preserve">, </w:t>
      </w:r>
      <w:r>
        <w:rPr>
          <w:rStyle w:val="StringTok"/>
        </w:rPr>
        <w:t>"n"</w:t>
      </w:r>
      <w:r>
        <w:rPr>
          <w:rStyle w:val="NormalTok"/>
        </w:rPr>
        <w:t xml:space="preserve">, </w:t>
      </w:r>
      <w:r>
        <w:rPr>
          <w:rStyle w:val="StringTok"/>
        </w:rPr>
        <w:t>"Średnia"</w:t>
      </w:r>
      <w:r>
        <w:rPr>
          <w:rStyle w:val="NormalTok"/>
        </w:rPr>
        <w:t xml:space="preserve">, </w:t>
      </w:r>
      <w:r>
        <w:rPr>
          <w:rStyle w:val="StringTok"/>
        </w:rPr>
        <w:t>"Odch. std."</w:t>
      </w:r>
      <w:r>
        <w:rPr>
          <w:rStyle w:val="NormalTok"/>
        </w:rPr>
        <w:t xml:space="preserve">, </w:t>
      </w:r>
      <w:r>
        <w:rPr>
          <w:rStyle w:val="StringTok"/>
        </w:rPr>
        <w:t>"Statystyka t"</w:t>
      </w:r>
      <w:r>
        <w:rPr>
          <w:rStyle w:val="NormalTok"/>
        </w:rPr>
        <w:t xml:space="preserve">, </w:t>
      </w:r>
      <w:r>
        <w:rPr>
          <w:rStyle w:val="StringTok"/>
        </w:rPr>
        <w:t>"df"</w:t>
      </w:r>
      <w:r>
        <w:rPr>
          <w:rStyle w:val="NormalTok"/>
        </w:rPr>
        <w:t xml:space="preserve">, </w:t>
      </w:r>
      <w:r>
        <w:rPr>
          <w:rStyle w:val="StringTok"/>
        </w:rPr>
        <w:t>"p-value"</w:t>
      </w:r>
      <w:r>
        <w:rPr>
          <w:rStyle w:val="NormalTok"/>
        </w:rPr>
        <w:t xml:space="preserve">, </w:t>
      </w:r>
      <w:r>
        <w:rPr>
          <w:rStyle w:val="StringTok"/>
        </w:rPr>
        <w:t>"95% CI dla różnicy"</w:t>
      </w:r>
      <w:r>
        <w:rPr>
          <w:rStyle w:val="NormalTok"/>
        </w:rPr>
        <w:t>)</w:t>
      </w:r>
      <w:r>
        <w:br/>
      </w:r>
      <w:r>
        <w:br/>
      </w:r>
      <w:r>
        <w:rPr>
          <w:rStyle w:val="NormalTok"/>
        </w:rPr>
        <w:t>knitr</w:t>
      </w:r>
      <w:r>
        <w:rPr>
          <w:rStyle w:val="SpecialCharTok"/>
        </w:rPr>
        <w:t>::</w:t>
      </w:r>
      <w:r>
        <w:rPr>
          <w:rStyle w:val="FunctionTok"/>
        </w:rPr>
        <w:t>kable</w:t>
      </w:r>
      <w:r>
        <w:rPr>
          <w:rStyle w:val="NormalTok"/>
        </w:rPr>
        <w:t xml:space="preserve">(tabela_test_t, </w:t>
      </w:r>
      <w:r>
        <w:rPr>
          <w:rStyle w:val="AttributeTok"/>
        </w:rPr>
        <w:t>caption =</w:t>
      </w:r>
      <w:r>
        <w:rPr>
          <w:rStyle w:val="NormalTok"/>
        </w:rPr>
        <w:t xml:space="preserve"> </w:t>
      </w:r>
      <w:r>
        <w:rPr>
          <w:rStyle w:val="StringTok"/>
        </w:rPr>
        <w:t>"Tabela 4. Wyniki dwupróbowego testu t-Studenta dla średnich miesięcznych przeładunków"</w:t>
      </w:r>
      <w:r>
        <w:rPr>
          <w:rStyle w:val="NormalTok"/>
        </w:rPr>
        <w:t>)</w:t>
      </w:r>
    </w:p>
    <w:p w14:paraId="1FE69748" w14:textId="77777777" w:rsidR="005F7517" w:rsidRDefault="00927BF8">
      <w:pPr>
        <w:pStyle w:val="TableCaption"/>
      </w:pPr>
      <w:r>
        <w:t>Tabela 4. Wyniki dwupróbowego testu t-Studenta dla średnich miesięcznych przeładunków</w:t>
      </w:r>
    </w:p>
    <w:tbl>
      <w:tblPr>
        <w:tblStyle w:val="Table"/>
        <w:tblW w:w="5000" w:type="pct"/>
        <w:tblLayout w:type="fixed"/>
        <w:tblLook w:val="0020" w:firstRow="1" w:lastRow="0" w:firstColumn="0" w:lastColumn="0" w:noHBand="0" w:noVBand="0"/>
        <w:tblCaption w:val="Tabela 4. Wyniki dwupróbowego testu t-Studenta dla średnich miesięcznych przeładunków"/>
      </w:tblPr>
      <w:tblGrid>
        <w:gridCol w:w="2406"/>
        <w:gridCol w:w="356"/>
        <w:gridCol w:w="1337"/>
        <w:gridCol w:w="1247"/>
        <w:gridCol w:w="1158"/>
        <w:gridCol w:w="535"/>
        <w:gridCol w:w="802"/>
        <w:gridCol w:w="1781"/>
      </w:tblGrid>
      <w:tr w:rsidR="005F7517" w14:paraId="11440D0A" w14:textId="77777777" w:rsidTr="005F7517">
        <w:trPr>
          <w:cnfStyle w:val="100000000000" w:firstRow="1" w:lastRow="0" w:firstColumn="0" w:lastColumn="0" w:oddVBand="0" w:evenVBand="0" w:oddHBand="0" w:evenHBand="0" w:firstRowFirstColumn="0" w:firstRowLastColumn="0" w:lastRowFirstColumn="0" w:lastRowLastColumn="0"/>
          <w:tblHeader/>
        </w:trPr>
        <w:tc>
          <w:tcPr>
            <w:tcW w:w="1980" w:type="dxa"/>
          </w:tcPr>
          <w:p w14:paraId="6C4676C0" w14:textId="77777777" w:rsidR="005F7517" w:rsidRDefault="00927BF8">
            <w:pPr>
              <w:pStyle w:val="Compact"/>
            </w:pPr>
            <w:r>
              <w:t>Okres</w:t>
            </w:r>
          </w:p>
        </w:tc>
        <w:tc>
          <w:tcPr>
            <w:tcW w:w="293" w:type="dxa"/>
          </w:tcPr>
          <w:p w14:paraId="66469C88" w14:textId="77777777" w:rsidR="005F7517" w:rsidRDefault="00927BF8">
            <w:pPr>
              <w:pStyle w:val="Compact"/>
            </w:pPr>
            <w:r>
              <w:t>n</w:t>
            </w:r>
          </w:p>
        </w:tc>
        <w:tc>
          <w:tcPr>
            <w:tcW w:w="1100" w:type="dxa"/>
          </w:tcPr>
          <w:p w14:paraId="3DF0061E" w14:textId="77777777" w:rsidR="005F7517" w:rsidRDefault="00927BF8">
            <w:pPr>
              <w:pStyle w:val="Compact"/>
            </w:pPr>
            <w:r>
              <w:t>Średnia</w:t>
            </w:r>
          </w:p>
        </w:tc>
        <w:tc>
          <w:tcPr>
            <w:tcW w:w="1026" w:type="dxa"/>
          </w:tcPr>
          <w:p w14:paraId="3C277847" w14:textId="77777777" w:rsidR="005F7517" w:rsidRDefault="00927BF8">
            <w:pPr>
              <w:pStyle w:val="Compact"/>
            </w:pPr>
            <w:r>
              <w:t>Odch. std.</w:t>
            </w:r>
          </w:p>
        </w:tc>
        <w:tc>
          <w:tcPr>
            <w:tcW w:w="953" w:type="dxa"/>
          </w:tcPr>
          <w:p w14:paraId="513E0B4B" w14:textId="77777777" w:rsidR="005F7517" w:rsidRDefault="00927BF8">
            <w:pPr>
              <w:pStyle w:val="Compact"/>
            </w:pPr>
            <w:r>
              <w:t>Statystyka t</w:t>
            </w:r>
          </w:p>
        </w:tc>
        <w:tc>
          <w:tcPr>
            <w:tcW w:w="440" w:type="dxa"/>
          </w:tcPr>
          <w:p w14:paraId="54440B5F" w14:textId="77777777" w:rsidR="005F7517" w:rsidRDefault="00927BF8">
            <w:pPr>
              <w:pStyle w:val="Compact"/>
            </w:pPr>
            <w:r>
              <w:t>df</w:t>
            </w:r>
          </w:p>
        </w:tc>
        <w:tc>
          <w:tcPr>
            <w:tcW w:w="660" w:type="dxa"/>
          </w:tcPr>
          <w:p w14:paraId="51750E28" w14:textId="77777777" w:rsidR="005F7517" w:rsidRDefault="00927BF8">
            <w:pPr>
              <w:pStyle w:val="Compact"/>
            </w:pPr>
            <w:r>
              <w:t>p-value</w:t>
            </w:r>
          </w:p>
        </w:tc>
        <w:tc>
          <w:tcPr>
            <w:tcW w:w="1466" w:type="dxa"/>
          </w:tcPr>
          <w:p w14:paraId="12ACFBC9" w14:textId="77777777" w:rsidR="005F7517" w:rsidRDefault="00927BF8">
            <w:pPr>
              <w:pStyle w:val="Compact"/>
            </w:pPr>
            <w:r>
              <w:t>95% CI dla różnicy</w:t>
            </w:r>
          </w:p>
        </w:tc>
      </w:tr>
      <w:tr w:rsidR="005F7517" w14:paraId="0E7AE7CC" w14:textId="77777777">
        <w:tc>
          <w:tcPr>
            <w:tcW w:w="1980" w:type="dxa"/>
          </w:tcPr>
          <w:p w14:paraId="7AB4E2E4" w14:textId="77777777" w:rsidR="005F7517" w:rsidRDefault="00927BF8">
            <w:pPr>
              <w:pStyle w:val="Compact"/>
            </w:pPr>
            <w:r>
              <w:t>2010–2021 (przed kryzysem)</w:t>
            </w:r>
          </w:p>
        </w:tc>
        <w:tc>
          <w:tcPr>
            <w:tcW w:w="293" w:type="dxa"/>
          </w:tcPr>
          <w:p w14:paraId="08712FC1" w14:textId="77777777" w:rsidR="005F7517" w:rsidRDefault="00927BF8">
            <w:pPr>
              <w:pStyle w:val="Compact"/>
            </w:pPr>
            <w:r>
              <w:t>144</w:t>
            </w:r>
          </w:p>
        </w:tc>
        <w:tc>
          <w:tcPr>
            <w:tcW w:w="1100" w:type="dxa"/>
          </w:tcPr>
          <w:p w14:paraId="7941BA61" w14:textId="77777777" w:rsidR="005F7517" w:rsidRDefault="00927BF8">
            <w:pPr>
              <w:pStyle w:val="Compact"/>
            </w:pPr>
            <w:r>
              <w:t>836.92 tys. t</w:t>
            </w:r>
          </w:p>
        </w:tc>
        <w:tc>
          <w:tcPr>
            <w:tcW w:w="1026" w:type="dxa"/>
          </w:tcPr>
          <w:p w14:paraId="69980F13" w14:textId="77777777" w:rsidR="005F7517" w:rsidRDefault="00927BF8">
            <w:pPr>
              <w:pStyle w:val="Compact"/>
            </w:pPr>
            <w:r>
              <w:t>226.12 tys. t</w:t>
            </w:r>
          </w:p>
        </w:tc>
        <w:tc>
          <w:tcPr>
            <w:tcW w:w="953" w:type="dxa"/>
          </w:tcPr>
          <w:p w14:paraId="09874537" w14:textId="77777777" w:rsidR="005F7517" w:rsidRDefault="00927BF8">
            <w:pPr>
              <w:pStyle w:val="Compact"/>
            </w:pPr>
            <w:r>
              <w:t>-</w:t>
            </w:r>
          </w:p>
        </w:tc>
        <w:tc>
          <w:tcPr>
            <w:tcW w:w="440" w:type="dxa"/>
          </w:tcPr>
          <w:p w14:paraId="25770561" w14:textId="77777777" w:rsidR="005F7517" w:rsidRDefault="00927BF8">
            <w:pPr>
              <w:pStyle w:val="Compact"/>
            </w:pPr>
            <w:r>
              <w:t>-</w:t>
            </w:r>
          </w:p>
        </w:tc>
        <w:tc>
          <w:tcPr>
            <w:tcW w:w="660" w:type="dxa"/>
          </w:tcPr>
          <w:p w14:paraId="62162F21" w14:textId="77777777" w:rsidR="005F7517" w:rsidRDefault="00927BF8">
            <w:pPr>
              <w:pStyle w:val="Compact"/>
            </w:pPr>
            <w:r>
              <w:t>-</w:t>
            </w:r>
          </w:p>
        </w:tc>
        <w:tc>
          <w:tcPr>
            <w:tcW w:w="1466" w:type="dxa"/>
          </w:tcPr>
          <w:p w14:paraId="081AFD7A" w14:textId="77777777" w:rsidR="005F7517" w:rsidRDefault="00927BF8">
            <w:pPr>
              <w:pStyle w:val="Compact"/>
            </w:pPr>
            <w:r>
              <w:t>-</w:t>
            </w:r>
          </w:p>
        </w:tc>
      </w:tr>
      <w:tr w:rsidR="005F7517" w14:paraId="2C151F4E" w14:textId="77777777">
        <w:tc>
          <w:tcPr>
            <w:tcW w:w="1980" w:type="dxa"/>
          </w:tcPr>
          <w:p w14:paraId="1C1B329C" w14:textId="77777777" w:rsidR="005F7517" w:rsidRDefault="00927BF8">
            <w:pPr>
              <w:pStyle w:val="Compact"/>
            </w:pPr>
            <w:r>
              <w:t>2022–2026 (po kryzysie)</w:t>
            </w:r>
          </w:p>
        </w:tc>
        <w:tc>
          <w:tcPr>
            <w:tcW w:w="293" w:type="dxa"/>
          </w:tcPr>
          <w:p w14:paraId="5A7158AC" w14:textId="77777777" w:rsidR="005F7517" w:rsidRDefault="00927BF8">
            <w:pPr>
              <w:pStyle w:val="Compact"/>
            </w:pPr>
            <w:r>
              <w:t>55</w:t>
            </w:r>
          </w:p>
        </w:tc>
        <w:tc>
          <w:tcPr>
            <w:tcW w:w="1100" w:type="dxa"/>
          </w:tcPr>
          <w:p w14:paraId="49639BB2" w14:textId="77777777" w:rsidR="005F7517" w:rsidRDefault="00927BF8">
            <w:pPr>
              <w:pStyle w:val="Compact"/>
            </w:pPr>
            <w:r>
              <w:t>1219.36 tys. t</w:t>
            </w:r>
          </w:p>
        </w:tc>
        <w:tc>
          <w:tcPr>
            <w:tcW w:w="1026" w:type="dxa"/>
          </w:tcPr>
          <w:p w14:paraId="0D58D402" w14:textId="77777777" w:rsidR="005F7517" w:rsidRDefault="00927BF8">
            <w:pPr>
              <w:pStyle w:val="Compact"/>
            </w:pPr>
            <w:r>
              <w:t>731.34 tys. t</w:t>
            </w:r>
          </w:p>
        </w:tc>
        <w:tc>
          <w:tcPr>
            <w:tcW w:w="953" w:type="dxa"/>
          </w:tcPr>
          <w:p w14:paraId="23CA0A20" w14:textId="77777777" w:rsidR="005F7517" w:rsidRDefault="00927BF8">
            <w:pPr>
              <w:pStyle w:val="Compact"/>
            </w:pPr>
            <w:r>
              <w:t>-</w:t>
            </w:r>
          </w:p>
        </w:tc>
        <w:tc>
          <w:tcPr>
            <w:tcW w:w="440" w:type="dxa"/>
          </w:tcPr>
          <w:p w14:paraId="18F32659" w14:textId="77777777" w:rsidR="005F7517" w:rsidRDefault="00927BF8">
            <w:pPr>
              <w:pStyle w:val="Compact"/>
            </w:pPr>
            <w:r>
              <w:t>-</w:t>
            </w:r>
          </w:p>
        </w:tc>
        <w:tc>
          <w:tcPr>
            <w:tcW w:w="660" w:type="dxa"/>
          </w:tcPr>
          <w:p w14:paraId="4312EB11" w14:textId="77777777" w:rsidR="005F7517" w:rsidRDefault="00927BF8">
            <w:pPr>
              <w:pStyle w:val="Compact"/>
            </w:pPr>
            <w:r>
              <w:t>-</w:t>
            </w:r>
          </w:p>
        </w:tc>
        <w:tc>
          <w:tcPr>
            <w:tcW w:w="1466" w:type="dxa"/>
          </w:tcPr>
          <w:p w14:paraId="47D0B0A2" w14:textId="77777777" w:rsidR="005F7517" w:rsidRDefault="00927BF8">
            <w:pPr>
              <w:pStyle w:val="Compact"/>
            </w:pPr>
            <w:r>
              <w:t>-</w:t>
            </w:r>
          </w:p>
        </w:tc>
      </w:tr>
      <w:tr w:rsidR="005F7517" w14:paraId="2C1853CF" w14:textId="77777777">
        <w:tc>
          <w:tcPr>
            <w:tcW w:w="1980" w:type="dxa"/>
          </w:tcPr>
          <w:p w14:paraId="415EAEC1" w14:textId="77777777" w:rsidR="005F7517" w:rsidRDefault="00927BF8">
            <w:pPr>
              <w:pStyle w:val="Compact"/>
            </w:pPr>
            <w:r>
              <w:t>Różnica (A - B)</w:t>
            </w:r>
          </w:p>
        </w:tc>
        <w:tc>
          <w:tcPr>
            <w:tcW w:w="293" w:type="dxa"/>
          </w:tcPr>
          <w:p w14:paraId="6862FD86" w14:textId="77777777" w:rsidR="005F7517" w:rsidRDefault="00927BF8">
            <w:pPr>
              <w:pStyle w:val="Compact"/>
            </w:pPr>
            <w:r>
              <w:t>-</w:t>
            </w:r>
          </w:p>
        </w:tc>
        <w:tc>
          <w:tcPr>
            <w:tcW w:w="1100" w:type="dxa"/>
          </w:tcPr>
          <w:p w14:paraId="38A4EE99" w14:textId="77777777" w:rsidR="005F7517" w:rsidRDefault="00927BF8">
            <w:pPr>
              <w:pStyle w:val="Compact"/>
            </w:pPr>
            <w:r>
              <w:t>-382.44 tys. t</w:t>
            </w:r>
          </w:p>
        </w:tc>
        <w:tc>
          <w:tcPr>
            <w:tcW w:w="1026" w:type="dxa"/>
          </w:tcPr>
          <w:p w14:paraId="2A623328" w14:textId="77777777" w:rsidR="005F7517" w:rsidRDefault="00927BF8">
            <w:pPr>
              <w:pStyle w:val="Compact"/>
            </w:pPr>
            <w:r>
              <w:t>-</w:t>
            </w:r>
          </w:p>
        </w:tc>
        <w:tc>
          <w:tcPr>
            <w:tcW w:w="953" w:type="dxa"/>
          </w:tcPr>
          <w:p w14:paraId="14515BA0" w14:textId="77777777" w:rsidR="005F7517" w:rsidRDefault="00927BF8">
            <w:pPr>
              <w:pStyle w:val="Compact"/>
            </w:pPr>
            <w:r>
              <w:t>-3.8093</w:t>
            </w:r>
          </w:p>
        </w:tc>
        <w:tc>
          <w:tcPr>
            <w:tcW w:w="440" w:type="dxa"/>
          </w:tcPr>
          <w:p w14:paraId="1034D7A7" w14:textId="77777777" w:rsidR="005F7517" w:rsidRDefault="00927BF8">
            <w:pPr>
              <w:pStyle w:val="Compact"/>
            </w:pPr>
            <w:r>
              <w:t>57.99</w:t>
            </w:r>
          </w:p>
        </w:tc>
        <w:tc>
          <w:tcPr>
            <w:tcW w:w="660" w:type="dxa"/>
          </w:tcPr>
          <w:p w14:paraId="5641E2EE" w14:textId="77777777" w:rsidR="005F7517" w:rsidRDefault="00927BF8">
            <w:pPr>
              <w:pStyle w:val="Compact"/>
            </w:pPr>
            <w:r>
              <w:t>0.000339</w:t>
            </w:r>
          </w:p>
        </w:tc>
        <w:tc>
          <w:tcPr>
            <w:tcW w:w="1466" w:type="dxa"/>
          </w:tcPr>
          <w:p w14:paraId="38ABA651" w14:textId="77777777" w:rsidR="005F7517" w:rsidRDefault="00927BF8">
            <w:pPr>
              <w:pStyle w:val="Compact"/>
            </w:pPr>
            <w:r>
              <w:t>[-583.41 ; -181.47]</w:t>
            </w:r>
          </w:p>
        </w:tc>
      </w:tr>
    </w:tbl>
    <w:p w14:paraId="3C53F2A2" w14:textId="77777777" w:rsidR="005F7517" w:rsidRDefault="00927BF8">
      <w:pPr>
        <w:pStyle w:val="Tekstpodstawowy"/>
      </w:pPr>
      <w:r>
        <w:rPr>
          <w:b/>
          <w:bCs/>
        </w:rPr>
        <w:t>Interpretacja i decyzja statystyczna:</w:t>
      </w:r>
    </w:p>
    <w:p w14:paraId="7B9000CC" w14:textId="77777777" w:rsidR="005F7517" w:rsidRDefault="00927BF8">
      <w:pPr>
        <w:pStyle w:val="Compact"/>
        <w:numPr>
          <w:ilvl w:val="0"/>
          <w:numId w:val="13"/>
        </w:numPr>
      </w:pPr>
      <w:r>
        <w:t xml:space="preserve">Średnia miesięczna przed 2022 r. wynosiła </w:t>
      </w:r>
      <m:oMath>
        <m:r>
          <w:rPr>
            <w:rFonts w:ascii="Cambria Math" w:hAnsi="Cambria Math"/>
          </w:rPr>
          <m:t>836</m:t>
        </m:r>
        <m:r>
          <m:rPr>
            <m:sty m:val="p"/>
          </m:rPr>
          <w:rPr>
            <w:rFonts w:ascii="Cambria Math" w:hAnsi="Cambria Math"/>
          </w:rPr>
          <m:t>,</m:t>
        </m:r>
        <m:r>
          <w:rPr>
            <w:rFonts w:ascii="Cambria Math" w:hAnsi="Cambria Math"/>
          </w:rPr>
          <m:t>92</m:t>
        </m:r>
      </m:oMath>
      <w:r>
        <w:t xml:space="preserve"> tys. ton, natomiast po wybuchu kryzysu wzrosła do </w:t>
      </w:r>
      <m:oMath>
        <m:r>
          <w:rPr>
            <w:rFonts w:ascii="Cambria Math" w:hAnsi="Cambria Math"/>
          </w:rPr>
          <m:t>1219</m:t>
        </m:r>
        <m:r>
          <m:rPr>
            <m:sty m:val="p"/>
          </m:rPr>
          <w:rPr>
            <w:rFonts w:ascii="Cambria Math" w:hAnsi="Cambria Math"/>
          </w:rPr>
          <m:t>,</m:t>
        </m:r>
        <m:r>
          <w:rPr>
            <w:rFonts w:ascii="Cambria Math" w:hAnsi="Cambria Math"/>
          </w:rPr>
          <m:t>36</m:t>
        </m:r>
      </m:oMath>
      <w:r>
        <w:t xml:space="preserve"> tys. ton (wzrost średnich obrotów o ponad </w:t>
      </w:r>
      <m:oMath>
        <m:r>
          <w:rPr>
            <w:rFonts w:ascii="Cambria Math" w:hAnsi="Cambria Math"/>
          </w:rPr>
          <m:t>382</m:t>
        </m:r>
        <m:r>
          <m:rPr>
            <m:sty m:val="p"/>
          </m:rPr>
          <w:rPr>
            <w:rFonts w:ascii="Cambria Math" w:hAnsi="Cambria Math"/>
          </w:rPr>
          <m:t>,</m:t>
        </m:r>
        <m:r>
          <w:rPr>
            <w:rFonts w:ascii="Cambria Math" w:hAnsi="Cambria Math"/>
          </w:rPr>
          <m:t>44</m:t>
        </m:r>
      </m:oMath>
      <w:r>
        <w:t xml:space="preserve"> tys. ton miesięcznie!).</w:t>
      </w:r>
    </w:p>
    <w:p w14:paraId="5E7B8B0B" w14:textId="77777777" w:rsidR="005F7517" w:rsidRDefault="00927BF8">
      <w:pPr>
        <w:pStyle w:val="Compact"/>
        <w:numPr>
          <w:ilvl w:val="0"/>
          <w:numId w:val="13"/>
        </w:numPr>
      </w:pPr>
      <w:r>
        <w:t xml:space="preserve">Statystyka testowa wynosi </w:t>
      </w:r>
      <m:oMath>
        <m:r>
          <w:rPr>
            <w:rFonts w:ascii="Cambria Math" w:hAnsi="Cambria Math"/>
          </w:rPr>
          <m:t>t</m:t>
        </m:r>
        <m:r>
          <m:rPr>
            <m:sty m:val="p"/>
          </m:rPr>
          <w:rPr>
            <w:rFonts w:ascii="Cambria Math" w:hAnsi="Cambria Math"/>
          </w:rPr>
          <m:t>=-</m:t>
        </m:r>
        <m:r>
          <w:rPr>
            <w:rFonts w:ascii="Cambria Math" w:hAnsi="Cambria Math"/>
          </w:rPr>
          <m:t>3.8093</m:t>
        </m:r>
      </m:oMath>
      <w:r>
        <w:t xml:space="preserve"> przy </w:t>
      </w:r>
      <m:oMath>
        <m:r>
          <w:rPr>
            <w:rFonts w:ascii="Cambria Math" w:hAnsi="Cambria Math"/>
          </w:rPr>
          <m:t>df</m:t>
        </m:r>
        <m:r>
          <m:rPr>
            <m:sty m:val="p"/>
          </m:rPr>
          <w:rPr>
            <w:rFonts w:ascii="Cambria Math" w:hAnsi="Cambria Math"/>
          </w:rPr>
          <m:t>≈</m:t>
        </m:r>
        <m:r>
          <w:rPr>
            <w:rFonts w:ascii="Cambria Math" w:hAnsi="Cambria Math"/>
          </w:rPr>
          <m:t>58</m:t>
        </m:r>
      </m:oMath>
      <w:r>
        <w:t xml:space="preserve"> stopniach swobody oraz wartości </w:t>
      </w:r>
      <m:oMath>
        <m:r>
          <w:rPr>
            <w:rFonts w:ascii="Cambria Math" w:hAnsi="Cambria Math"/>
          </w:rPr>
          <m:t>p</m:t>
        </m:r>
        <m:r>
          <m:rPr>
            <m:nor/>
          </m:rPr>
          <m:t>-value</m:t>
        </m:r>
        <m:r>
          <m:rPr>
            <m:sty m:val="p"/>
          </m:rPr>
          <w:rPr>
            <w:rFonts w:ascii="Cambria Math" w:hAnsi="Cambria Math"/>
          </w:rPr>
          <m:t>=</m:t>
        </m:r>
        <m:r>
          <w:rPr>
            <w:rFonts w:ascii="Cambria Math" w:hAnsi="Cambria Math"/>
          </w:rPr>
          <m:t>0.000339</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05</m:t>
        </m:r>
      </m:oMath>
      <w:r>
        <w:t>.</w:t>
      </w:r>
    </w:p>
    <w:p w14:paraId="4492056E" w14:textId="77777777" w:rsidR="005F7517" w:rsidRDefault="00927BF8">
      <w:pPr>
        <w:pStyle w:val="Compact"/>
        <w:numPr>
          <w:ilvl w:val="0"/>
          <w:numId w:val="13"/>
        </w:numPr>
      </w:pPr>
      <w:r>
        <w:rPr>
          <w:b/>
          <w:bCs/>
        </w:rPr>
        <w:t>Decyzja:</w:t>
      </w:r>
      <w:r>
        <w:t xml:space="preserve"> Odrzucamy hipotezę zerową (</w:t>
      </w:r>
      <m:oMath>
        <m:sSub>
          <m:sSubPr>
            <m:ctrlPr>
              <w:rPr>
                <w:rFonts w:ascii="Cambria Math" w:hAnsi="Cambria Math"/>
              </w:rPr>
            </m:ctrlPr>
          </m:sSubPr>
          <m:e>
            <m:r>
              <w:rPr>
                <w:rFonts w:ascii="Cambria Math" w:hAnsi="Cambria Math"/>
              </w:rPr>
              <m:t>H</m:t>
            </m:r>
          </m:e>
          <m:sub>
            <m:r>
              <w:rPr>
                <w:rFonts w:ascii="Cambria Math" w:hAnsi="Cambria Math"/>
              </w:rPr>
              <m:t>0</m:t>
            </m:r>
          </m:sub>
        </m:sSub>
      </m:oMath>
      <w:r>
        <w:t>) na rzecz hipotezy alternatywnej (</w:t>
      </w:r>
      <m:oMath>
        <m:sSub>
          <m:sSubPr>
            <m:ctrlPr>
              <w:rPr>
                <w:rFonts w:ascii="Cambria Math" w:hAnsi="Cambria Math"/>
              </w:rPr>
            </m:ctrlPr>
          </m:sSubPr>
          <m:e>
            <m:r>
              <w:rPr>
                <w:rFonts w:ascii="Cambria Math" w:hAnsi="Cambria Math"/>
              </w:rPr>
              <m:t>H</m:t>
            </m:r>
          </m:e>
          <m:sub>
            <m:r>
              <w:rPr>
                <w:rFonts w:ascii="Cambria Math" w:hAnsi="Cambria Math"/>
              </w:rPr>
              <m:t>1</m:t>
            </m:r>
          </m:sub>
        </m:sSub>
      </m:oMath>
      <w:r>
        <w:t>).</w:t>
      </w:r>
    </w:p>
    <w:p w14:paraId="30E71E09" w14:textId="77777777" w:rsidR="005F7517" w:rsidRDefault="00927BF8">
      <w:pPr>
        <w:pStyle w:val="Compact"/>
        <w:numPr>
          <w:ilvl w:val="0"/>
          <w:numId w:val="13"/>
        </w:numPr>
      </w:pPr>
      <w:r>
        <w:rPr>
          <w:b/>
          <w:bCs/>
        </w:rPr>
        <w:t>Wniosek:</w:t>
      </w:r>
      <w:r>
        <w:t xml:space="preserve"> </w:t>
      </w:r>
      <w:r>
        <w:t xml:space="preserve">Istnieje statystycznie istotna różnica między średnimi miesięcznymi przeładunkami węgla i koksu w okresie 2010–2021 a okresem 2022–2026. Z 95% pewnością różnica średnich mieści się w przedziale </w:t>
      </w:r>
      <m:oMath>
        <m:d>
          <m:dPr>
            <m:begChr m:val="["/>
            <m:endChr m:val="]"/>
            <m:ctrlPr>
              <w:rPr>
                <w:rFonts w:ascii="Cambria Math" w:hAnsi="Cambria Math"/>
              </w:rPr>
            </m:ctrlPr>
          </m:dPr>
          <m:e>
            <m:r>
              <m:rPr>
                <m:sty m:val="p"/>
              </m:rPr>
              <w:rPr>
                <w:rFonts w:ascii="Cambria Math" w:hAnsi="Cambria Math"/>
              </w:rPr>
              <m:t>-</m:t>
            </m:r>
            <m:r>
              <w:rPr>
                <w:rFonts w:ascii="Cambria Math" w:hAnsi="Cambria Math"/>
              </w:rPr>
              <m:t>583</m:t>
            </m:r>
            <m:r>
              <m:rPr>
                <m:sty m:val="p"/>
              </m:rPr>
              <w:rPr>
                <w:rFonts w:ascii="Cambria Math" w:hAnsi="Cambria Math"/>
              </w:rPr>
              <m:t>,</m:t>
            </m:r>
            <m:r>
              <w:rPr>
                <w:rFonts w:ascii="Cambria Math" w:hAnsi="Cambria Math"/>
              </w:rPr>
              <m:t>41</m:t>
            </m:r>
            <m:r>
              <m:rPr>
                <m:sty m:val="p"/>
              </m:rPr>
              <w:rPr>
                <w:rFonts w:ascii="Cambria Math" w:hAnsi="Cambria Math"/>
              </w:rPr>
              <m:t>;-</m:t>
            </m:r>
            <m:r>
              <w:rPr>
                <w:rFonts w:ascii="Cambria Math" w:hAnsi="Cambria Math"/>
              </w:rPr>
              <m:t>181</m:t>
            </m:r>
            <m:r>
              <m:rPr>
                <m:sty m:val="p"/>
              </m:rPr>
              <w:rPr>
                <w:rFonts w:ascii="Cambria Math" w:hAnsi="Cambria Math"/>
              </w:rPr>
              <m:t>,</m:t>
            </m:r>
            <m:r>
              <w:rPr>
                <w:rFonts w:ascii="Cambria Math" w:hAnsi="Cambria Math"/>
              </w:rPr>
              <m:t>47</m:t>
            </m:r>
          </m:e>
        </m:d>
      </m:oMath>
      <w:r>
        <w:t xml:space="preserve"> tys. ton. Kryzys geopolityczny i embargo radykalnie i trwale wpłynęły na przeciętny poziom obrotów w portach morskich.</w:t>
      </w:r>
    </w:p>
    <w:p w14:paraId="2D780747" w14:textId="77777777" w:rsidR="005F7517" w:rsidRDefault="00927BF8">
      <w:r>
        <w:br w:type="page"/>
      </w:r>
    </w:p>
    <w:p w14:paraId="70BBF79F" w14:textId="77777777" w:rsidR="005F7517" w:rsidRDefault="00927BF8">
      <w:pPr>
        <w:pStyle w:val="Nagwek3"/>
      </w:pPr>
      <w:bookmarkStart w:id="26" w:name="X0cf607c3f2af8fad5687632ac358cfa8532e90a"/>
      <w:bookmarkEnd w:id="25"/>
      <w:r>
        <w:t>Rozszerzenie: Porównanie nachyleń trendów liniowych przed i po kryzysie</w:t>
      </w:r>
    </w:p>
    <w:p w14:paraId="76177DE1" w14:textId="77777777" w:rsidR="005F7517" w:rsidRDefault="00927BF8">
      <w:pPr>
        <w:pStyle w:val="FirstParagraph"/>
      </w:pPr>
      <w:r>
        <w:t xml:space="preserve">W celu pogłębienia analizy oszacowano parametry funkcji trendu liniowego osobno dla okresu przed kryzysem i po wybuchu kryzysu, a następnie zweryfikowano hipotezę o istotności różnicy współczynników kierunkowych nachylenia </w:t>
      </w:r>
      <m:oMath>
        <m:sSub>
          <m:sSubPr>
            <m:ctrlPr>
              <w:rPr>
                <w:rFonts w:ascii="Cambria Math" w:hAnsi="Cambria Math"/>
              </w:rPr>
            </m:ctrlPr>
          </m:sSubPr>
          <m:e>
            <m:r>
              <w:rPr>
                <w:rFonts w:ascii="Cambria Math" w:hAnsi="Cambria Math"/>
              </w:rPr>
              <m:t>β</m:t>
            </m:r>
          </m:e>
          <m:sub>
            <m:r>
              <w:rPr>
                <w:rFonts w:ascii="Cambria Math" w:hAnsi="Cambria Math"/>
              </w:rPr>
              <m:t>1</m:t>
            </m:r>
          </m:sub>
        </m:sSub>
      </m:oMath>
      <w:r>
        <w:t>:</w:t>
      </w:r>
    </w:p>
    <w:p w14:paraId="7E4508F6" w14:textId="77777777" w:rsidR="005F7517" w:rsidRDefault="00927BF8">
      <w:pPr>
        <w:pStyle w:val="Compact"/>
        <w:numPr>
          <w:ilvl w:val="0"/>
          <w:numId w:val="14"/>
        </w:numPr>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po</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przed</m:t>
            </m:r>
          </m:sub>
        </m:sSub>
        <m:r>
          <m:rPr>
            <m:sty m:val="p"/>
          </m:rPr>
          <w:rPr>
            <w:rFonts w:ascii="Cambria Math" w:hAnsi="Cambria Math"/>
          </w:rPr>
          <m:t>=</m:t>
        </m:r>
        <m:r>
          <w:rPr>
            <w:rFonts w:ascii="Cambria Math" w:hAnsi="Cambria Math"/>
          </w:rPr>
          <m:t>0</m:t>
        </m:r>
      </m:oMath>
      <w:r>
        <w:t xml:space="preserve"> (tempo zmian przeładunków w obu okresach nie różniło się istotnie),</w:t>
      </w:r>
    </w:p>
    <w:p w14:paraId="3975B8AF" w14:textId="77777777" w:rsidR="005F7517" w:rsidRDefault="00927BF8">
      <w:pPr>
        <w:pStyle w:val="Compact"/>
        <w:numPr>
          <w:ilvl w:val="0"/>
          <w:numId w:val="14"/>
        </w:numPr>
      </w:pP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po</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przed</m:t>
            </m:r>
          </m:sub>
        </m:sSub>
        <m:r>
          <m:rPr>
            <m:sty m:val="p"/>
          </m:rPr>
          <w:rPr>
            <w:rFonts w:ascii="Cambria Math" w:hAnsi="Cambria Math"/>
          </w:rPr>
          <m:t>≠</m:t>
        </m:r>
        <m:r>
          <w:rPr>
            <w:rFonts w:ascii="Cambria Math" w:hAnsi="Cambria Math"/>
          </w:rPr>
          <m:t>0</m:t>
        </m:r>
      </m:oMath>
      <w:r>
        <w:t xml:space="preserve"> (wystąpiła statystycznie istotna zmiana tempa / trendu).</w:t>
      </w:r>
    </w:p>
    <w:p w14:paraId="743ADA07" w14:textId="77777777" w:rsidR="005F7517" w:rsidRDefault="00927BF8">
      <w:pPr>
        <w:pStyle w:val="SourceCode"/>
      </w:pPr>
      <w:r>
        <w:rPr>
          <w:rStyle w:val="CommentTok"/>
        </w:rPr>
        <w:t># Indeksy czasowe t dla obu okresów</w:t>
      </w:r>
      <w:r>
        <w:br/>
      </w:r>
      <w:r>
        <w:rPr>
          <w:rStyle w:val="NormalTok"/>
        </w:rPr>
        <w:t xml:space="preserve">t_A </w:t>
      </w:r>
      <w:r>
        <w:rPr>
          <w:rStyle w:val="OtherTok"/>
        </w:rPr>
        <w:t>&lt;-</w:t>
      </w:r>
      <w:r>
        <w:rPr>
          <w:rStyle w:val="NormalTok"/>
        </w:rPr>
        <w:t xml:space="preserve"> </w:t>
      </w:r>
      <w:r>
        <w:rPr>
          <w:rStyle w:val="DecValTok"/>
        </w:rPr>
        <w:t>1</w:t>
      </w:r>
      <w:r>
        <w:rPr>
          <w:rStyle w:val="SpecialCharTok"/>
        </w:rPr>
        <w:t>:</w:t>
      </w:r>
      <w:r>
        <w:rPr>
          <w:rStyle w:val="FunctionTok"/>
        </w:rPr>
        <w:t>length</w:t>
      </w:r>
      <w:r>
        <w:rPr>
          <w:rStyle w:val="NormalTok"/>
        </w:rPr>
        <w:t>(probka_A)</w:t>
      </w:r>
      <w:r>
        <w:br/>
      </w:r>
      <w:r>
        <w:rPr>
          <w:rStyle w:val="NormalTok"/>
        </w:rPr>
        <w:t xml:space="preserve">t_B </w:t>
      </w:r>
      <w:r>
        <w:rPr>
          <w:rStyle w:val="OtherTok"/>
        </w:rPr>
        <w:t>&lt;-</w:t>
      </w:r>
      <w:r>
        <w:rPr>
          <w:rStyle w:val="NormalTok"/>
        </w:rPr>
        <w:t xml:space="preserve"> (</w:t>
      </w:r>
      <w:r>
        <w:rPr>
          <w:rStyle w:val="FunctionTok"/>
        </w:rPr>
        <w:t>length</w:t>
      </w:r>
      <w:r>
        <w:rPr>
          <w:rStyle w:val="NormalTok"/>
        </w:rPr>
        <w:t xml:space="preserve">(probka_A) </w:t>
      </w:r>
      <w:r>
        <w:rPr>
          <w:rStyle w:val="SpecialCharTok"/>
        </w:rPr>
        <w:t>+</w:t>
      </w:r>
      <w:r>
        <w:rPr>
          <w:rStyle w:val="NormalTok"/>
        </w:rPr>
        <w:t xml:space="preserve"> </w:t>
      </w:r>
      <w:r>
        <w:rPr>
          <w:rStyle w:val="DecValTok"/>
        </w:rPr>
        <w:t>1</w:t>
      </w:r>
      <w:r>
        <w:rPr>
          <w:rStyle w:val="NormalTok"/>
        </w:rPr>
        <w:t>)</w:t>
      </w:r>
      <w:r>
        <w:rPr>
          <w:rStyle w:val="SpecialCharTok"/>
        </w:rPr>
        <w:t>:</w:t>
      </w:r>
      <w:r>
        <w:rPr>
          <w:rStyle w:val="FunctionTok"/>
        </w:rPr>
        <w:t>nrow</w:t>
      </w:r>
      <w:r>
        <w:rPr>
          <w:rStyle w:val="NormalTok"/>
        </w:rPr>
        <w:t>(dane)</w:t>
      </w:r>
      <w:r>
        <w:br/>
      </w:r>
      <w:r>
        <w:br/>
      </w:r>
      <w:r>
        <w:rPr>
          <w:rStyle w:val="NormalTok"/>
        </w:rPr>
        <w:t xml:space="preserve">model_A </w:t>
      </w:r>
      <w:r>
        <w:rPr>
          <w:rStyle w:val="OtherTok"/>
        </w:rPr>
        <w:t>&lt;-</w:t>
      </w:r>
      <w:r>
        <w:rPr>
          <w:rStyle w:val="NormalTok"/>
        </w:rPr>
        <w:t xml:space="preserve"> </w:t>
      </w:r>
      <w:r>
        <w:rPr>
          <w:rStyle w:val="FunctionTok"/>
        </w:rPr>
        <w:t>lm</w:t>
      </w:r>
      <w:r>
        <w:rPr>
          <w:rStyle w:val="NormalTok"/>
        </w:rPr>
        <w:t xml:space="preserve">(probka_A </w:t>
      </w:r>
      <w:r>
        <w:rPr>
          <w:rStyle w:val="SpecialCharTok"/>
        </w:rPr>
        <w:t>~</w:t>
      </w:r>
      <w:r>
        <w:rPr>
          <w:rStyle w:val="NormalTok"/>
        </w:rPr>
        <w:t xml:space="preserve"> t_A)</w:t>
      </w:r>
      <w:r>
        <w:br/>
      </w:r>
      <w:r>
        <w:rPr>
          <w:rStyle w:val="NormalTok"/>
        </w:rPr>
        <w:t xml:space="preserve">model_B </w:t>
      </w:r>
      <w:r>
        <w:rPr>
          <w:rStyle w:val="OtherTok"/>
        </w:rPr>
        <w:t>&lt;-</w:t>
      </w:r>
      <w:r>
        <w:rPr>
          <w:rStyle w:val="NormalTok"/>
        </w:rPr>
        <w:t xml:space="preserve"> </w:t>
      </w:r>
      <w:r>
        <w:rPr>
          <w:rStyle w:val="FunctionTok"/>
        </w:rPr>
        <w:t>lm</w:t>
      </w:r>
      <w:r>
        <w:rPr>
          <w:rStyle w:val="NormalTok"/>
        </w:rPr>
        <w:t xml:space="preserve">(probka_B </w:t>
      </w:r>
      <w:r>
        <w:rPr>
          <w:rStyle w:val="SpecialCharTok"/>
        </w:rPr>
        <w:t>~</w:t>
      </w:r>
      <w:r>
        <w:rPr>
          <w:rStyle w:val="NormalTok"/>
        </w:rPr>
        <w:t xml:space="preserve"> t_B)</w:t>
      </w:r>
      <w:r>
        <w:br/>
      </w:r>
      <w:r>
        <w:br/>
      </w:r>
      <w:r>
        <w:rPr>
          <w:rStyle w:val="NormalTok"/>
        </w:rPr>
        <w:t xml:space="preserve">b1_A </w:t>
      </w:r>
      <w:r>
        <w:rPr>
          <w:rStyle w:val="OtherTok"/>
        </w:rPr>
        <w:t>&lt;-</w:t>
      </w:r>
      <w:r>
        <w:rPr>
          <w:rStyle w:val="NormalTok"/>
        </w:rPr>
        <w:t xml:space="preserve"> </w:t>
      </w:r>
      <w:r>
        <w:rPr>
          <w:rStyle w:val="FunctionTok"/>
        </w:rPr>
        <w:t>coef</w:t>
      </w:r>
      <w:r>
        <w:rPr>
          <w:rStyle w:val="NormalTok"/>
        </w:rPr>
        <w:t>(model_A)[</w:t>
      </w:r>
      <w:r>
        <w:rPr>
          <w:rStyle w:val="DecValTok"/>
        </w:rPr>
        <w:t>2</w:t>
      </w:r>
      <w:r>
        <w:rPr>
          <w:rStyle w:val="NormalTok"/>
        </w:rPr>
        <w:t>]</w:t>
      </w:r>
      <w:r>
        <w:br/>
      </w:r>
      <w:r>
        <w:rPr>
          <w:rStyle w:val="NormalTok"/>
        </w:rPr>
        <w:t xml:space="preserve">b1_B </w:t>
      </w:r>
      <w:r>
        <w:rPr>
          <w:rStyle w:val="OtherTok"/>
        </w:rPr>
        <w:t>&lt;-</w:t>
      </w:r>
      <w:r>
        <w:rPr>
          <w:rStyle w:val="NormalTok"/>
        </w:rPr>
        <w:t xml:space="preserve"> </w:t>
      </w:r>
      <w:r>
        <w:rPr>
          <w:rStyle w:val="FunctionTok"/>
        </w:rPr>
        <w:t>coef</w:t>
      </w:r>
      <w:r>
        <w:rPr>
          <w:rStyle w:val="NormalTok"/>
        </w:rPr>
        <w:t>(model_B)[</w:t>
      </w:r>
      <w:r>
        <w:rPr>
          <w:rStyle w:val="DecValTok"/>
        </w:rPr>
        <w:t>2</w:t>
      </w:r>
      <w:r>
        <w:rPr>
          <w:rStyle w:val="NormalTok"/>
        </w:rPr>
        <w:t>]</w:t>
      </w:r>
      <w:r>
        <w:br/>
      </w:r>
      <w:r>
        <w:br/>
      </w:r>
      <w:r>
        <w:rPr>
          <w:rStyle w:val="NormalTok"/>
        </w:rPr>
        <w:t xml:space="preserve">se_A </w:t>
      </w:r>
      <w:r>
        <w:rPr>
          <w:rStyle w:val="OtherTok"/>
        </w:rPr>
        <w:t>&lt;-</w:t>
      </w:r>
      <w:r>
        <w:rPr>
          <w:rStyle w:val="NormalTok"/>
        </w:rPr>
        <w:t xml:space="preserve"> </w:t>
      </w:r>
      <w:r>
        <w:rPr>
          <w:rStyle w:val="FunctionTok"/>
        </w:rPr>
        <w:t>summary</w:t>
      </w:r>
      <w:r>
        <w:rPr>
          <w:rStyle w:val="NormalTok"/>
        </w:rPr>
        <w:t>(model_A)</w:t>
      </w:r>
      <w:r>
        <w:rPr>
          <w:rStyle w:val="SpecialCharTok"/>
        </w:rPr>
        <w:t>$</w:t>
      </w:r>
      <w:r>
        <w:rPr>
          <w:rStyle w:val="NormalTok"/>
        </w:rPr>
        <w:t>coefficients[</w:t>
      </w:r>
      <w:r>
        <w:rPr>
          <w:rStyle w:val="DecValTok"/>
        </w:rPr>
        <w:t>2</w:t>
      </w:r>
      <w:r>
        <w:rPr>
          <w:rStyle w:val="NormalTok"/>
        </w:rPr>
        <w:t xml:space="preserve">, </w:t>
      </w:r>
      <w:r>
        <w:rPr>
          <w:rStyle w:val="DecValTok"/>
        </w:rPr>
        <w:t>2</w:t>
      </w:r>
      <w:r>
        <w:rPr>
          <w:rStyle w:val="NormalTok"/>
        </w:rPr>
        <w:t>]</w:t>
      </w:r>
      <w:r>
        <w:br/>
      </w:r>
      <w:r>
        <w:rPr>
          <w:rStyle w:val="NormalTok"/>
        </w:rPr>
        <w:t xml:space="preserve">se_B </w:t>
      </w:r>
      <w:r>
        <w:rPr>
          <w:rStyle w:val="OtherTok"/>
        </w:rPr>
        <w:t>&lt;-</w:t>
      </w:r>
      <w:r>
        <w:rPr>
          <w:rStyle w:val="NormalTok"/>
        </w:rPr>
        <w:t xml:space="preserve"> </w:t>
      </w:r>
      <w:r>
        <w:rPr>
          <w:rStyle w:val="FunctionTok"/>
        </w:rPr>
        <w:t>summary</w:t>
      </w:r>
      <w:r>
        <w:rPr>
          <w:rStyle w:val="NormalTok"/>
        </w:rPr>
        <w:t>(model_B)</w:t>
      </w:r>
      <w:r>
        <w:rPr>
          <w:rStyle w:val="SpecialCharTok"/>
        </w:rPr>
        <w:t>$</w:t>
      </w:r>
      <w:r>
        <w:rPr>
          <w:rStyle w:val="NormalTok"/>
        </w:rPr>
        <w:t>coefficients[</w:t>
      </w:r>
      <w:r>
        <w:rPr>
          <w:rStyle w:val="DecValTok"/>
        </w:rPr>
        <w:t>2</w:t>
      </w:r>
      <w:r>
        <w:rPr>
          <w:rStyle w:val="NormalTok"/>
        </w:rPr>
        <w:t xml:space="preserve">, </w:t>
      </w:r>
      <w:r>
        <w:rPr>
          <w:rStyle w:val="DecValTok"/>
        </w:rPr>
        <w:t>2</w:t>
      </w:r>
      <w:r>
        <w:rPr>
          <w:rStyle w:val="NormalTok"/>
        </w:rPr>
        <w:t>]</w:t>
      </w:r>
      <w:r>
        <w:br/>
      </w:r>
      <w:r>
        <w:br/>
      </w:r>
      <w:r>
        <w:rPr>
          <w:rStyle w:val="CommentTok"/>
        </w:rPr>
        <w:t># Różnica współczynników i łączny błąd standardowy</w:t>
      </w:r>
      <w:r>
        <w:br/>
      </w:r>
      <w:r>
        <w:rPr>
          <w:rStyle w:val="NormalTok"/>
        </w:rPr>
        <w:t xml:space="preserve">delta_beta </w:t>
      </w:r>
      <w:r>
        <w:rPr>
          <w:rStyle w:val="OtherTok"/>
        </w:rPr>
        <w:t>&lt;-</w:t>
      </w:r>
      <w:r>
        <w:rPr>
          <w:rStyle w:val="NormalTok"/>
        </w:rPr>
        <w:t xml:space="preserve"> b1_B </w:t>
      </w:r>
      <w:r>
        <w:rPr>
          <w:rStyle w:val="SpecialCharTok"/>
        </w:rPr>
        <w:t>-</w:t>
      </w:r>
      <w:r>
        <w:rPr>
          <w:rStyle w:val="NormalTok"/>
        </w:rPr>
        <w:t xml:space="preserve"> b1_A</w:t>
      </w:r>
      <w:r>
        <w:br/>
      </w:r>
      <w:r>
        <w:rPr>
          <w:rStyle w:val="NormalTok"/>
        </w:rPr>
        <w:t xml:space="preserve">se_diff </w:t>
      </w:r>
      <w:r>
        <w:rPr>
          <w:rStyle w:val="OtherTok"/>
        </w:rPr>
        <w:t>&lt;-</w:t>
      </w:r>
      <w:r>
        <w:rPr>
          <w:rStyle w:val="NormalTok"/>
        </w:rPr>
        <w:t xml:space="preserve"> </w:t>
      </w:r>
      <w:r>
        <w:rPr>
          <w:rStyle w:val="FunctionTok"/>
        </w:rPr>
        <w:t>sqrt</w:t>
      </w:r>
      <w:r>
        <w:rPr>
          <w:rStyle w:val="NormalTok"/>
        </w:rPr>
        <w:t>(se_A</w:t>
      </w:r>
      <w:r>
        <w:rPr>
          <w:rStyle w:val="SpecialCharTok"/>
        </w:rPr>
        <w:t>^</w:t>
      </w:r>
      <w:r>
        <w:rPr>
          <w:rStyle w:val="DecValTok"/>
        </w:rPr>
        <w:t>2</w:t>
      </w:r>
      <w:r>
        <w:rPr>
          <w:rStyle w:val="NormalTok"/>
        </w:rPr>
        <w:t xml:space="preserve"> </w:t>
      </w:r>
      <w:r>
        <w:rPr>
          <w:rStyle w:val="SpecialCharTok"/>
        </w:rPr>
        <w:t>+</w:t>
      </w:r>
      <w:r>
        <w:rPr>
          <w:rStyle w:val="NormalTok"/>
        </w:rPr>
        <w:t xml:space="preserve"> se_B</w:t>
      </w:r>
      <w:r>
        <w:rPr>
          <w:rStyle w:val="SpecialCharTok"/>
        </w:rPr>
        <w:t>^</w:t>
      </w:r>
      <w:r>
        <w:rPr>
          <w:rStyle w:val="DecValTok"/>
        </w:rPr>
        <w:t>2</w:t>
      </w:r>
      <w:r>
        <w:rPr>
          <w:rStyle w:val="NormalTok"/>
        </w:rPr>
        <w:t>)</w:t>
      </w:r>
      <w:r>
        <w:br/>
      </w:r>
      <w:r>
        <w:rPr>
          <w:rStyle w:val="NormalTok"/>
        </w:rPr>
        <w:t xml:space="preserve">t_stat_beta </w:t>
      </w:r>
      <w:r>
        <w:rPr>
          <w:rStyle w:val="OtherTok"/>
        </w:rPr>
        <w:t>&lt;-</w:t>
      </w:r>
      <w:r>
        <w:rPr>
          <w:rStyle w:val="NormalTok"/>
        </w:rPr>
        <w:t xml:space="preserve"> delta_beta </w:t>
      </w:r>
      <w:r>
        <w:rPr>
          <w:rStyle w:val="SpecialCharTok"/>
        </w:rPr>
        <w:t>/</w:t>
      </w:r>
      <w:r>
        <w:rPr>
          <w:rStyle w:val="NormalTok"/>
        </w:rPr>
        <w:t xml:space="preserve"> se_diff</w:t>
      </w:r>
      <w:r>
        <w:br/>
      </w:r>
      <w:r>
        <w:rPr>
          <w:rStyle w:val="NormalTok"/>
        </w:rPr>
        <w:t xml:space="preserve">df_beta </w:t>
      </w:r>
      <w:r>
        <w:rPr>
          <w:rStyle w:val="OtherTok"/>
        </w:rPr>
        <w:t>&lt;-</w:t>
      </w:r>
      <w:r>
        <w:rPr>
          <w:rStyle w:val="NormalTok"/>
        </w:rPr>
        <w:t xml:space="preserve"> </w:t>
      </w:r>
      <w:r>
        <w:rPr>
          <w:rStyle w:val="FunctionTok"/>
        </w:rPr>
        <w:t>min</w:t>
      </w:r>
      <w:r>
        <w:rPr>
          <w:rStyle w:val="NormalTok"/>
        </w:rPr>
        <w:t>(</w:t>
      </w:r>
      <w:r>
        <w:rPr>
          <w:rStyle w:val="FunctionTok"/>
        </w:rPr>
        <w:t>length</w:t>
      </w:r>
      <w:r>
        <w:rPr>
          <w:rStyle w:val="NormalTok"/>
        </w:rPr>
        <w:t xml:space="preserve">(probka_A) </w:t>
      </w:r>
      <w:r>
        <w:rPr>
          <w:rStyle w:val="SpecialCharTok"/>
        </w:rPr>
        <w:t>-</w:t>
      </w:r>
      <w:r>
        <w:rPr>
          <w:rStyle w:val="NormalTok"/>
        </w:rPr>
        <w:t xml:space="preserve"> </w:t>
      </w:r>
      <w:r>
        <w:rPr>
          <w:rStyle w:val="DecValTok"/>
        </w:rPr>
        <w:t>2</w:t>
      </w:r>
      <w:r>
        <w:rPr>
          <w:rStyle w:val="NormalTok"/>
        </w:rPr>
        <w:t xml:space="preserve">, </w:t>
      </w:r>
      <w:r>
        <w:rPr>
          <w:rStyle w:val="FunctionTok"/>
        </w:rPr>
        <w:t>length</w:t>
      </w:r>
      <w:r>
        <w:rPr>
          <w:rStyle w:val="NormalTok"/>
        </w:rPr>
        <w:t xml:space="preserve">(probka_B) </w:t>
      </w:r>
      <w:r>
        <w:rPr>
          <w:rStyle w:val="SpecialCharTok"/>
        </w:rPr>
        <w:t>-</w:t>
      </w:r>
      <w:r>
        <w:rPr>
          <w:rStyle w:val="NormalTok"/>
        </w:rPr>
        <w:t xml:space="preserve"> </w:t>
      </w:r>
      <w:r>
        <w:rPr>
          <w:rStyle w:val="DecValTok"/>
        </w:rPr>
        <w:t>2</w:t>
      </w:r>
      <w:r>
        <w:rPr>
          <w:rStyle w:val="NormalTok"/>
        </w:rPr>
        <w:t>)</w:t>
      </w:r>
      <w:r>
        <w:br/>
      </w:r>
      <w:r>
        <w:rPr>
          <w:rStyle w:val="NormalTok"/>
        </w:rPr>
        <w:t xml:space="preserve">p_val_beta </w:t>
      </w:r>
      <w:r>
        <w:rPr>
          <w:rStyle w:val="OtherTok"/>
        </w:rPr>
        <w:t>&lt;-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unctionTok"/>
        </w:rPr>
        <w:t>pt</w:t>
      </w:r>
      <w:r>
        <w:rPr>
          <w:rStyle w:val="NormalTok"/>
        </w:rPr>
        <w:t>(</w:t>
      </w:r>
      <w:r>
        <w:rPr>
          <w:rStyle w:val="SpecialCharTok"/>
        </w:rPr>
        <w:t>-</w:t>
      </w:r>
      <w:r>
        <w:rPr>
          <w:rStyle w:val="FunctionTok"/>
        </w:rPr>
        <w:t>abs</w:t>
      </w:r>
      <w:r>
        <w:rPr>
          <w:rStyle w:val="NormalTok"/>
        </w:rPr>
        <w:t xml:space="preserve">(t_stat_beta), </w:t>
      </w:r>
      <w:r>
        <w:rPr>
          <w:rStyle w:val="AttributeTok"/>
        </w:rPr>
        <w:t>df =</w:t>
      </w:r>
      <w:r>
        <w:rPr>
          <w:rStyle w:val="NormalTok"/>
        </w:rPr>
        <w:t xml:space="preserve"> df_beta)</w:t>
      </w:r>
      <w:r>
        <w:br/>
      </w:r>
      <w:r>
        <w:br/>
      </w:r>
      <w:r>
        <w:rPr>
          <w:rStyle w:val="NormalTok"/>
        </w:rPr>
        <w:t xml:space="preserve">wyniki_trendow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Parametr =</w:t>
      </w:r>
      <w:r>
        <w:rPr>
          <w:rStyle w:val="NormalTok"/>
        </w:rPr>
        <w:t xml:space="preserve"> </w:t>
      </w:r>
      <w:r>
        <w:rPr>
          <w:rStyle w:val="FunctionTok"/>
        </w:rPr>
        <w:t>c</w:t>
      </w:r>
      <w:r>
        <w:rPr>
          <w:rStyle w:val="NormalTok"/>
        </w:rPr>
        <w:t>(</w:t>
      </w:r>
      <w:r>
        <w:rPr>
          <w:rStyle w:val="StringTok"/>
        </w:rPr>
        <w:t>"Trend przed 2022 (beta_1A)"</w:t>
      </w:r>
      <w:r>
        <w:rPr>
          <w:rStyle w:val="NormalTok"/>
        </w:rPr>
        <w:t xml:space="preserve">, </w:t>
      </w:r>
      <w:r>
        <w:br/>
      </w:r>
      <w:r>
        <w:rPr>
          <w:rStyle w:val="NormalTok"/>
        </w:rPr>
        <w:t xml:space="preserve">               </w:t>
      </w:r>
      <w:r>
        <w:rPr>
          <w:rStyle w:val="StringTok"/>
        </w:rPr>
        <w:t>"Trend po 2022 (beta_1B)"</w:t>
      </w:r>
      <w:r>
        <w:rPr>
          <w:rStyle w:val="NormalTok"/>
        </w:rPr>
        <w:t xml:space="preserve">, </w:t>
      </w:r>
      <w:r>
        <w:br/>
      </w:r>
      <w:r>
        <w:rPr>
          <w:rStyle w:val="NormalTok"/>
        </w:rPr>
        <w:t xml:space="preserve">               </w:t>
      </w:r>
      <w:r>
        <w:rPr>
          <w:rStyle w:val="StringTok"/>
        </w:rPr>
        <w:t>"Różnica nachyleń (beta_1B - beta_1A)"</w:t>
      </w:r>
      <w:r>
        <w:rPr>
          <w:rStyle w:val="NormalTok"/>
        </w:rPr>
        <w:t>),</w:t>
      </w:r>
      <w:r>
        <w:br/>
      </w:r>
      <w:r>
        <w:rPr>
          <w:rStyle w:val="NormalTok"/>
        </w:rPr>
        <w:t xml:space="preserve">  </w:t>
      </w:r>
      <w:r>
        <w:rPr>
          <w:rStyle w:val="AttributeTok"/>
        </w:rPr>
        <w:t>Wartosc =</w:t>
      </w:r>
      <w:r>
        <w:rPr>
          <w:rStyle w:val="NormalTok"/>
        </w:rPr>
        <w:t xml:space="preserve"> </w:t>
      </w:r>
      <w:r>
        <w:rPr>
          <w:rStyle w:val="FunctionTok"/>
        </w:rPr>
        <w:t>c</w:t>
      </w:r>
      <w:r>
        <w:rPr>
          <w:rStyle w:val="NormalTok"/>
        </w:rPr>
        <w:t>(</w:t>
      </w:r>
      <w:r>
        <w:rPr>
          <w:rStyle w:val="FunctionTok"/>
        </w:rPr>
        <w:t>sprintf</w:t>
      </w:r>
      <w:r>
        <w:rPr>
          <w:rStyle w:val="NormalTok"/>
        </w:rPr>
        <w:t>(</w:t>
      </w:r>
      <w:r>
        <w:rPr>
          <w:rStyle w:val="StringTok"/>
        </w:rPr>
        <w:t>"%.4f tys. t/miesiąc"</w:t>
      </w:r>
      <w:r>
        <w:rPr>
          <w:rStyle w:val="NormalTok"/>
        </w:rPr>
        <w:t>, b1_A),</w:t>
      </w:r>
      <w:r>
        <w:br/>
      </w:r>
      <w:r>
        <w:rPr>
          <w:rStyle w:val="NormalTok"/>
        </w:rPr>
        <w:t xml:space="preserve">              </w:t>
      </w:r>
      <w:r>
        <w:rPr>
          <w:rStyle w:val="FunctionTok"/>
        </w:rPr>
        <w:t>sprintf</w:t>
      </w:r>
      <w:r>
        <w:rPr>
          <w:rStyle w:val="NormalTok"/>
        </w:rPr>
        <w:t>(</w:t>
      </w:r>
      <w:r>
        <w:rPr>
          <w:rStyle w:val="StringTok"/>
        </w:rPr>
        <w:t>"%.4f tys. t/miesiąc"</w:t>
      </w:r>
      <w:r>
        <w:rPr>
          <w:rStyle w:val="NormalTok"/>
        </w:rPr>
        <w:t>, b1_B),</w:t>
      </w:r>
      <w:r>
        <w:br/>
      </w:r>
      <w:r>
        <w:rPr>
          <w:rStyle w:val="NormalTok"/>
        </w:rPr>
        <w:t xml:space="preserve">              </w:t>
      </w:r>
      <w:r>
        <w:rPr>
          <w:rStyle w:val="FunctionTok"/>
        </w:rPr>
        <w:t>sprintf</w:t>
      </w:r>
      <w:r>
        <w:rPr>
          <w:rStyle w:val="NormalTok"/>
        </w:rPr>
        <w:t>(</w:t>
      </w:r>
      <w:r>
        <w:rPr>
          <w:rStyle w:val="StringTok"/>
        </w:rPr>
        <w:t>"%.4f"</w:t>
      </w:r>
      <w:r>
        <w:rPr>
          <w:rStyle w:val="NormalTok"/>
        </w:rPr>
        <w:t>, delta_beta)),</w:t>
      </w:r>
      <w:r>
        <w:br/>
      </w:r>
      <w:r>
        <w:rPr>
          <w:rStyle w:val="NormalTok"/>
        </w:rPr>
        <w:t xml:space="preserve">  </w:t>
      </w:r>
      <w:r>
        <w:rPr>
          <w:rStyle w:val="AttributeTok"/>
        </w:rPr>
        <w:t>SE =</w:t>
      </w:r>
      <w:r>
        <w:rPr>
          <w:rStyle w:val="NormalTok"/>
        </w:rPr>
        <w:t xml:space="preserve"> </w:t>
      </w:r>
      <w:r>
        <w:rPr>
          <w:rStyle w:val="FunctionTok"/>
        </w:rPr>
        <w:t>c</w:t>
      </w:r>
      <w:r>
        <w:rPr>
          <w:rStyle w:val="NormalTok"/>
        </w:rPr>
        <w:t>(</w:t>
      </w:r>
      <w:r>
        <w:rPr>
          <w:rStyle w:val="FunctionTok"/>
        </w:rPr>
        <w:t>sprintf</w:t>
      </w:r>
      <w:r>
        <w:rPr>
          <w:rStyle w:val="NormalTok"/>
        </w:rPr>
        <w:t>(</w:t>
      </w:r>
      <w:r>
        <w:rPr>
          <w:rStyle w:val="StringTok"/>
        </w:rPr>
        <w:t>"%.4f"</w:t>
      </w:r>
      <w:r>
        <w:rPr>
          <w:rStyle w:val="NormalTok"/>
        </w:rPr>
        <w:t xml:space="preserve">, se_A), </w:t>
      </w:r>
      <w:r>
        <w:rPr>
          <w:rStyle w:val="FunctionTok"/>
        </w:rPr>
        <w:t>sprintf</w:t>
      </w:r>
      <w:r>
        <w:rPr>
          <w:rStyle w:val="NormalTok"/>
        </w:rPr>
        <w:t>(</w:t>
      </w:r>
      <w:r>
        <w:rPr>
          <w:rStyle w:val="StringTok"/>
        </w:rPr>
        <w:t>"%.4f"</w:t>
      </w:r>
      <w:r>
        <w:rPr>
          <w:rStyle w:val="NormalTok"/>
        </w:rPr>
        <w:t xml:space="preserve">, se_B), </w:t>
      </w:r>
      <w:r>
        <w:rPr>
          <w:rStyle w:val="FunctionTok"/>
        </w:rPr>
        <w:t>sprintf</w:t>
      </w:r>
      <w:r>
        <w:rPr>
          <w:rStyle w:val="NormalTok"/>
        </w:rPr>
        <w:t>(</w:t>
      </w:r>
      <w:r>
        <w:rPr>
          <w:rStyle w:val="StringTok"/>
        </w:rPr>
        <w:t>"%.4f"</w:t>
      </w:r>
      <w:r>
        <w:rPr>
          <w:rStyle w:val="NormalTok"/>
        </w:rPr>
        <w:t>, se_diff)),</w:t>
      </w:r>
      <w:r>
        <w:br/>
      </w:r>
      <w:r>
        <w:rPr>
          <w:rStyle w:val="NormalTok"/>
        </w:rPr>
        <w:t xml:space="preserve">  </w:t>
      </w:r>
      <w:r>
        <w:rPr>
          <w:rStyle w:val="AttributeTok"/>
        </w:rPr>
        <w:t>t =</w:t>
      </w:r>
      <w:r>
        <w:rPr>
          <w:rStyle w:val="NormalTok"/>
        </w:rPr>
        <w:t xml:space="preserve"> </w:t>
      </w:r>
      <w:r>
        <w:rPr>
          <w:rStyle w:val="FunctionTok"/>
        </w:rPr>
        <w:t>c</w:t>
      </w:r>
      <w:r>
        <w:rPr>
          <w:rStyle w:val="NormalTok"/>
        </w:rPr>
        <w:t>(</w:t>
      </w:r>
      <w:r>
        <w:rPr>
          <w:rStyle w:val="StringTok"/>
        </w:rPr>
        <w:t>"-"</w:t>
      </w:r>
      <w:r>
        <w:rPr>
          <w:rStyle w:val="NormalTok"/>
        </w:rPr>
        <w:t xml:space="preserve">, </w:t>
      </w:r>
      <w:r>
        <w:rPr>
          <w:rStyle w:val="StringTok"/>
        </w:rPr>
        <w:t>"-"</w:t>
      </w:r>
      <w:r>
        <w:rPr>
          <w:rStyle w:val="NormalTok"/>
        </w:rPr>
        <w:t xml:space="preserve">, </w:t>
      </w:r>
      <w:r>
        <w:rPr>
          <w:rStyle w:val="FunctionTok"/>
        </w:rPr>
        <w:t>sprintf</w:t>
      </w:r>
      <w:r>
        <w:rPr>
          <w:rStyle w:val="NormalTok"/>
        </w:rPr>
        <w:t>(</w:t>
      </w:r>
      <w:r>
        <w:rPr>
          <w:rStyle w:val="StringTok"/>
        </w:rPr>
        <w:t>"%.4f"</w:t>
      </w:r>
      <w:r>
        <w:rPr>
          <w:rStyle w:val="NormalTok"/>
        </w:rPr>
        <w:t>, t_stat_beta)),</w:t>
      </w:r>
      <w:r>
        <w:br/>
      </w:r>
      <w:r>
        <w:rPr>
          <w:rStyle w:val="NormalTok"/>
        </w:rPr>
        <w:t xml:space="preserve">  </w:t>
      </w:r>
      <w:r>
        <w:rPr>
          <w:rStyle w:val="AttributeTok"/>
        </w:rPr>
        <w:t>p_val =</w:t>
      </w:r>
      <w:r>
        <w:rPr>
          <w:rStyle w:val="NormalTok"/>
        </w:rPr>
        <w:t xml:space="preserve"> </w:t>
      </w:r>
      <w:r>
        <w:rPr>
          <w:rStyle w:val="FunctionTok"/>
        </w:rPr>
        <w:t>c</w:t>
      </w:r>
      <w:r>
        <w:rPr>
          <w:rStyle w:val="NormalTok"/>
        </w:rPr>
        <w:t>(</w:t>
      </w:r>
      <w:r>
        <w:rPr>
          <w:rStyle w:val="StringTok"/>
        </w:rPr>
        <w:t>"-"</w:t>
      </w:r>
      <w:r>
        <w:rPr>
          <w:rStyle w:val="NormalTok"/>
        </w:rPr>
        <w:t xml:space="preserve">, </w:t>
      </w:r>
      <w:r>
        <w:rPr>
          <w:rStyle w:val="StringTok"/>
        </w:rPr>
        <w:t>"-"</w:t>
      </w:r>
      <w:r>
        <w:rPr>
          <w:rStyle w:val="NormalTok"/>
        </w:rPr>
        <w:t xml:space="preserve">, </w:t>
      </w:r>
      <w:r>
        <w:rPr>
          <w:rStyle w:val="FunctionTok"/>
        </w:rPr>
        <w:t>sprintf</w:t>
      </w:r>
      <w:r>
        <w:rPr>
          <w:rStyle w:val="NormalTok"/>
        </w:rPr>
        <w:t>(</w:t>
      </w:r>
      <w:r>
        <w:rPr>
          <w:rStyle w:val="StringTok"/>
        </w:rPr>
        <w:t>"%.4e"</w:t>
      </w:r>
      <w:r>
        <w:rPr>
          <w:rStyle w:val="NormalTok"/>
        </w:rPr>
        <w:t>, p_val_beta)),</w:t>
      </w:r>
      <w:r>
        <w:br/>
      </w:r>
      <w:r>
        <w:rPr>
          <w:rStyle w:val="NormalTok"/>
        </w:rPr>
        <w:t xml:space="preserve">  </w:t>
      </w:r>
      <w:r>
        <w:rPr>
          <w:rStyle w:val="AttributeTok"/>
        </w:rPr>
        <w:t>Decyzja =</w:t>
      </w:r>
      <w:r>
        <w:rPr>
          <w:rStyle w:val="NormalTok"/>
        </w:rPr>
        <w:t xml:space="preserve"> </w:t>
      </w:r>
      <w:r>
        <w:rPr>
          <w:rStyle w:val="FunctionTok"/>
        </w:rPr>
        <w:t>c</w:t>
      </w:r>
      <w:r>
        <w:rPr>
          <w:rStyle w:val="NormalTok"/>
        </w:rPr>
        <w:t>(</w:t>
      </w:r>
      <w:r>
        <w:rPr>
          <w:rStyle w:val="StringTok"/>
        </w:rPr>
        <w:t>"-"</w:t>
      </w:r>
      <w:r>
        <w:rPr>
          <w:rStyle w:val="NormalTok"/>
        </w:rPr>
        <w:t xml:space="preserve">, </w:t>
      </w:r>
      <w:r>
        <w:rPr>
          <w:rStyle w:val="StringTok"/>
        </w:rPr>
        <w:t>"-"</w:t>
      </w:r>
      <w:r>
        <w:rPr>
          <w:rStyle w:val="NormalTok"/>
        </w:rPr>
        <w:t xml:space="preserve">, </w:t>
      </w:r>
      <w:r>
        <w:rPr>
          <w:rStyle w:val="StringTok"/>
        </w:rPr>
        <w:t>"Odrzucenie H0 (p &lt; 0.05)"</w:t>
      </w:r>
      <w:r>
        <w:rPr>
          <w:rStyle w:val="NormalTok"/>
        </w:rPr>
        <w:t>)</w:t>
      </w:r>
      <w:r>
        <w:br/>
      </w:r>
      <w:r>
        <w:rPr>
          <w:rStyle w:val="NormalTok"/>
        </w:rPr>
        <w:t>)</w:t>
      </w:r>
      <w:r>
        <w:br/>
      </w:r>
      <w:r>
        <w:rPr>
          <w:rStyle w:val="FunctionTok"/>
        </w:rPr>
        <w:t>colnames</w:t>
      </w:r>
      <w:r>
        <w:rPr>
          <w:rStyle w:val="NormalTok"/>
        </w:rPr>
        <w:t xml:space="preserve">(wyniki_trendow) </w:t>
      </w:r>
      <w:r>
        <w:rPr>
          <w:rStyle w:val="OtherTok"/>
        </w:rPr>
        <w:t>&lt;-</w:t>
      </w:r>
      <w:r>
        <w:rPr>
          <w:rStyle w:val="NormalTok"/>
        </w:rPr>
        <w:t xml:space="preserve"> </w:t>
      </w:r>
      <w:r>
        <w:rPr>
          <w:rStyle w:val="FunctionTok"/>
        </w:rPr>
        <w:t>c</w:t>
      </w:r>
      <w:r>
        <w:rPr>
          <w:rStyle w:val="NormalTok"/>
        </w:rPr>
        <w:t>(</w:t>
      </w:r>
      <w:r>
        <w:rPr>
          <w:rStyle w:val="StringTok"/>
        </w:rPr>
        <w:t>"Parametr trendu"</w:t>
      </w:r>
      <w:r>
        <w:rPr>
          <w:rStyle w:val="NormalTok"/>
        </w:rPr>
        <w:t xml:space="preserve">, </w:t>
      </w:r>
      <w:r>
        <w:rPr>
          <w:rStyle w:val="StringTok"/>
        </w:rPr>
        <w:t>"Wartość oszacowana"</w:t>
      </w:r>
      <w:r>
        <w:rPr>
          <w:rStyle w:val="NormalTok"/>
        </w:rPr>
        <w:t xml:space="preserve">, </w:t>
      </w:r>
      <w:r>
        <w:rPr>
          <w:rStyle w:val="StringTok"/>
        </w:rPr>
        <w:t>"Błąd std. (SE)"</w:t>
      </w:r>
      <w:r>
        <w:rPr>
          <w:rStyle w:val="NormalTok"/>
        </w:rPr>
        <w:t xml:space="preserve">, </w:t>
      </w:r>
      <w:r>
        <w:rPr>
          <w:rStyle w:val="StringTok"/>
        </w:rPr>
        <w:t>"Statystyka t"</w:t>
      </w:r>
      <w:r>
        <w:rPr>
          <w:rStyle w:val="NormalTok"/>
        </w:rPr>
        <w:t xml:space="preserve">, </w:t>
      </w:r>
      <w:r>
        <w:rPr>
          <w:rStyle w:val="StringTok"/>
        </w:rPr>
        <w:t>"p-value"</w:t>
      </w:r>
      <w:r>
        <w:rPr>
          <w:rStyle w:val="NormalTok"/>
        </w:rPr>
        <w:t xml:space="preserve">, </w:t>
      </w:r>
      <w:r>
        <w:rPr>
          <w:rStyle w:val="StringTok"/>
        </w:rPr>
        <w:t>"Decyzja"</w:t>
      </w:r>
      <w:r>
        <w:rPr>
          <w:rStyle w:val="NormalTok"/>
        </w:rPr>
        <w:t>)</w:t>
      </w:r>
      <w:r>
        <w:br/>
      </w:r>
      <w:r>
        <w:br/>
      </w:r>
      <w:r>
        <w:rPr>
          <w:rStyle w:val="NormalTok"/>
        </w:rPr>
        <w:t>knitr</w:t>
      </w:r>
      <w:r>
        <w:rPr>
          <w:rStyle w:val="SpecialCharTok"/>
        </w:rPr>
        <w:t>::</w:t>
      </w:r>
      <w:r>
        <w:rPr>
          <w:rStyle w:val="FunctionTok"/>
        </w:rPr>
        <w:t>kable</w:t>
      </w:r>
      <w:r>
        <w:rPr>
          <w:rStyle w:val="NormalTok"/>
        </w:rPr>
        <w:t xml:space="preserve">(wyniki_trendow, </w:t>
      </w:r>
      <w:r>
        <w:rPr>
          <w:rStyle w:val="AttributeTok"/>
        </w:rPr>
        <w:t>caption =</w:t>
      </w:r>
      <w:r>
        <w:rPr>
          <w:rStyle w:val="NormalTok"/>
        </w:rPr>
        <w:t xml:space="preserve"> </w:t>
      </w:r>
      <w:r>
        <w:rPr>
          <w:rStyle w:val="StringTok"/>
        </w:rPr>
        <w:t>"Tabela 5. Porównanie nachyleń linii regresji liniowej przed i po 2022 r."</w:t>
      </w:r>
      <w:r>
        <w:rPr>
          <w:rStyle w:val="NormalTok"/>
        </w:rPr>
        <w:t>)</w:t>
      </w:r>
    </w:p>
    <w:p w14:paraId="10CB3130" w14:textId="77777777" w:rsidR="005F7517" w:rsidRDefault="00927BF8">
      <w:pPr>
        <w:pStyle w:val="TableCaption"/>
      </w:pPr>
      <w:r>
        <w:t>Tabela 5. Porównanie nachyleń linii regresji liniowej przed i po 2022 r.</w:t>
      </w:r>
    </w:p>
    <w:tbl>
      <w:tblPr>
        <w:tblStyle w:val="Table"/>
        <w:tblW w:w="5000" w:type="pct"/>
        <w:tblLayout w:type="fixed"/>
        <w:tblLook w:val="0020" w:firstRow="1" w:lastRow="0" w:firstColumn="0" w:lastColumn="0" w:noHBand="0" w:noVBand="0"/>
        <w:tblCaption w:val="Tabela 5. Porównanie nachyleń linii regresji liniowej przed i po 2022 r."/>
      </w:tblPr>
      <w:tblGrid>
        <w:gridCol w:w="2849"/>
        <w:gridCol w:w="1847"/>
        <w:gridCol w:w="1155"/>
        <w:gridCol w:w="1000"/>
        <w:gridCol w:w="846"/>
        <w:gridCol w:w="1925"/>
      </w:tblGrid>
      <w:tr w:rsidR="005F7517" w14:paraId="4D8D814D" w14:textId="77777777" w:rsidTr="005F7517">
        <w:trPr>
          <w:cnfStyle w:val="100000000000" w:firstRow="1" w:lastRow="0" w:firstColumn="0" w:lastColumn="0" w:oddVBand="0" w:evenVBand="0" w:oddHBand="0" w:evenHBand="0" w:firstRowFirstColumn="0" w:firstRowLastColumn="0" w:lastRowFirstColumn="0" w:lastRowLastColumn="0"/>
          <w:tblHeader/>
        </w:trPr>
        <w:tc>
          <w:tcPr>
            <w:tcW w:w="2344" w:type="dxa"/>
          </w:tcPr>
          <w:p w14:paraId="5E2AAE9D" w14:textId="77777777" w:rsidR="005F7517" w:rsidRDefault="00927BF8">
            <w:pPr>
              <w:pStyle w:val="Compact"/>
            </w:pPr>
            <w:r>
              <w:t>Parametr trendu</w:t>
            </w:r>
          </w:p>
        </w:tc>
        <w:tc>
          <w:tcPr>
            <w:tcW w:w="1520" w:type="dxa"/>
          </w:tcPr>
          <w:p w14:paraId="2679B55F" w14:textId="77777777" w:rsidR="005F7517" w:rsidRDefault="00927BF8">
            <w:pPr>
              <w:pStyle w:val="Compact"/>
            </w:pPr>
            <w:r>
              <w:t>Wartość oszacowana</w:t>
            </w:r>
          </w:p>
        </w:tc>
        <w:tc>
          <w:tcPr>
            <w:tcW w:w="950" w:type="dxa"/>
          </w:tcPr>
          <w:p w14:paraId="262FCC6A" w14:textId="77777777" w:rsidR="005F7517" w:rsidRDefault="00927BF8">
            <w:pPr>
              <w:pStyle w:val="Compact"/>
            </w:pPr>
            <w:r>
              <w:t>Błąd std. (SE)</w:t>
            </w:r>
          </w:p>
        </w:tc>
        <w:tc>
          <w:tcPr>
            <w:tcW w:w="823" w:type="dxa"/>
          </w:tcPr>
          <w:p w14:paraId="12C1BC40" w14:textId="77777777" w:rsidR="005F7517" w:rsidRDefault="00927BF8">
            <w:pPr>
              <w:pStyle w:val="Compact"/>
            </w:pPr>
            <w:r>
              <w:t>Statystyka t</w:t>
            </w:r>
          </w:p>
        </w:tc>
        <w:tc>
          <w:tcPr>
            <w:tcW w:w="696" w:type="dxa"/>
          </w:tcPr>
          <w:p w14:paraId="2D5FB081" w14:textId="77777777" w:rsidR="005F7517" w:rsidRDefault="00927BF8">
            <w:pPr>
              <w:pStyle w:val="Compact"/>
            </w:pPr>
            <w:r>
              <w:t>p-value</w:t>
            </w:r>
          </w:p>
        </w:tc>
        <w:tc>
          <w:tcPr>
            <w:tcW w:w="1584" w:type="dxa"/>
          </w:tcPr>
          <w:p w14:paraId="4B0302C1" w14:textId="77777777" w:rsidR="005F7517" w:rsidRDefault="00927BF8">
            <w:pPr>
              <w:pStyle w:val="Compact"/>
            </w:pPr>
            <w:r>
              <w:t>Decyzja</w:t>
            </w:r>
          </w:p>
        </w:tc>
      </w:tr>
      <w:tr w:rsidR="005F7517" w14:paraId="3622210A" w14:textId="77777777">
        <w:tc>
          <w:tcPr>
            <w:tcW w:w="2344" w:type="dxa"/>
          </w:tcPr>
          <w:p w14:paraId="48A642FC" w14:textId="77777777" w:rsidR="005F7517" w:rsidRDefault="00927BF8">
            <w:pPr>
              <w:pStyle w:val="Compact"/>
            </w:pPr>
            <w:r>
              <w:t>Trend przed 2022 (beta_1A)</w:t>
            </w:r>
          </w:p>
        </w:tc>
        <w:tc>
          <w:tcPr>
            <w:tcW w:w="1520" w:type="dxa"/>
          </w:tcPr>
          <w:p w14:paraId="2D64997C" w14:textId="77777777" w:rsidR="005F7517" w:rsidRDefault="00927BF8">
            <w:pPr>
              <w:pStyle w:val="Compact"/>
            </w:pPr>
            <w:r>
              <w:t>0.3840 tys. t/miesiąc</w:t>
            </w:r>
          </w:p>
        </w:tc>
        <w:tc>
          <w:tcPr>
            <w:tcW w:w="950" w:type="dxa"/>
          </w:tcPr>
          <w:p w14:paraId="0760FF05" w14:textId="77777777" w:rsidR="005F7517" w:rsidRDefault="00927BF8">
            <w:pPr>
              <w:pStyle w:val="Compact"/>
            </w:pPr>
            <w:r>
              <w:t>0.4538</w:t>
            </w:r>
          </w:p>
        </w:tc>
        <w:tc>
          <w:tcPr>
            <w:tcW w:w="823" w:type="dxa"/>
          </w:tcPr>
          <w:p w14:paraId="2F24158B" w14:textId="77777777" w:rsidR="005F7517" w:rsidRDefault="00927BF8">
            <w:pPr>
              <w:pStyle w:val="Compact"/>
            </w:pPr>
            <w:r>
              <w:t>-</w:t>
            </w:r>
          </w:p>
        </w:tc>
        <w:tc>
          <w:tcPr>
            <w:tcW w:w="696" w:type="dxa"/>
          </w:tcPr>
          <w:p w14:paraId="165B4E37" w14:textId="77777777" w:rsidR="005F7517" w:rsidRDefault="00927BF8">
            <w:pPr>
              <w:pStyle w:val="Compact"/>
            </w:pPr>
            <w:r>
              <w:t>-</w:t>
            </w:r>
          </w:p>
        </w:tc>
        <w:tc>
          <w:tcPr>
            <w:tcW w:w="1584" w:type="dxa"/>
          </w:tcPr>
          <w:p w14:paraId="47D449DB" w14:textId="77777777" w:rsidR="005F7517" w:rsidRDefault="00927BF8">
            <w:pPr>
              <w:pStyle w:val="Compact"/>
            </w:pPr>
            <w:r>
              <w:t>-</w:t>
            </w:r>
          </w:p>
        </w:tc>
      </w:tr>
      <w:tr w:rsidR="005F7517" w14:paraId="45202689" w14:textId="77777777">
        <w:tc>
          <w:tcPr>
            <w:tcW w:w="2344" w:type="dxa"/>
          </w:tcPr>
          <w:p w14:paraId="565A453D" w14:textId="77777777" w:rsidR="005F7517" w:rsidRDefault="00927BF8">
            <w:pPr>
              <w:pStyle w:val="Compact"/>
            </w:pPr>
            <w:r>
              <w:t>Trend po 2022 (beta_1B)</w:t>
            </w:r>
          </w:p>
        </w:tc>
        <w:tc>
          <w:tcPr>
            <w:tcW w:w="1520" w:type="dxa"/>
          </w:tcPr>
          <w:p w14:paraId="601F0F5F" w14:textId="77777777" w:rsidR="005F7517" w:rsidRDefault="00927BF8">
            <w:pPr>
              <w:pStyle w:val="Compact"/>
            </w:pPr>
            <w:r>
              <w:t>-26.7026 tys. t/miesiąc</w:t>
            </w:r>
          </w:p>
        </w:tc>
        <w:tc>
          <w:tcPr>
            <w:tcW w:w="950" w:type="dxa"/>
          </w:tcPr>
          <w:p w14:paraId="229DA407" w14:textId="77777777" w:rsidR="005F7517" w:rsidRDefault="00927BF8">
            <w:pPr>
              <w:pStyle w:val="Compact"/>
            </w:pPr>
            <w:r>
              <w:t>5.0857</w:t>
            </w:r>
          </w:p>
        </w:tc>
        <w:tc>
          <w:tcPr>
            <w:tcW w:w="823" w:type="dxa"/>
          </w:tcPr>
          <w:p w14:paraId="14AA6555" w14:textId="77777777" w:rsidR="005F7517" w:rsidRDefault="00927BF8">
            <w:pPr>
              <w:pStyle w:val="Compact"/>
            </w:pPr>
            <w:r>
              <w:t>-</w:t>
            </w:r>
          </w:p>
        </w:tc>
        <w:tc>
          <w:tcPr>
            <w:tcW w:w="696" w:type="dxa"/>
          </w:tcPr>
          <w:p w14:paraId="67FE179D" w14:textId="77777777" w:rsidR="005F7517" w:rsidRDefault="00927BF8">
            <w:pPr>
              <w:pStyle w:val="Compact"/>
            </w:pPr>
            <w:r>
              <w:t>-</w:t>
            </w:r>
          </w:p>
        </w:tc>
        <w:tc>
          <w:tcPr>
            <w:tcW w:w="1584" w:type="dxa"/>
          </w:tcPr>
          <w:p w14:paraId="19DCC28C" w14:textId="77777777" w:rsidR="005F7517" w:rsidRDefault="00927BF8">
            <w:pPr>
              <w:pStyle w:val="Compact"/>
            </w:pPr>
            <w:r>
              <w:t>-</w:t>
            </w:r>
          </w:p>
        </w:tc>
      </w:tr>
      <w:tr w:rsidR="005F7517" w14:paraId="602EA7AC" w14:textId="77777777">
        <w:tc>
          <w:tcPr>
            <w:tcW w:w="2344" w:type="dxa"/>
          </w:tcPr>
          <w:p w14:paraId="7D734004" w14:textId="77777777" w:rsidR="005F7517" w:rsidRDefault="00927BF8">
            <w:pPr>
              <w:pStyle w:val="Compact"/>
            </w:pPr>
            <w:r>
              <w:t>Różnica nachyleń (beta_1B - beta_1A)</w:t>
            </w:r>
          </w:p>
        </w:tc>
        <w:tc>
          <w:tcPr>
            <w:tcW w:w="1520" w:type="dxa"/>
          </w:tcPr>
          <w:p w14:paraId="496BC905" w14:textId="77777777" w:rsidR="005F7517" w:rsidRDefault="00927BF8">
            <w:pPr>
              <w:pStyle w:val="Compact"/>
            </w:pPr>
            <w:r>
              <w:t>-27.0866</w:t>
            </w:r>
          </w:p>
        </w:tc>
        <w:tc>
          <w:tcPr>
            <w:tcW w:w="950" w:type="dxa"/>
          </w:tcPr>
          <w:p w14:paraId="470BB07D" w14:textId="77777777" w:rsidR="005F7517" w:rsidRDefault="00927BF8">
            <w:pPr>
              <w:pStyle w:val="Compact"/>
            </w:pPr>
            <w:r>
              <w:t>5.1059</w:t>
            </w:r>
          </w:p>
        </w:tc>
        <w:tc>
          <w:tcPr>
            <w:tcW w:w="823" w:type="dxa"/>
          </w:tcPr>
          <w:p w14:paraId="267E85ED" w14:textId="77777777" w:rsidR="005F7517" w:rsidRDefault="00927BF8">
            <w:pPr>
              <w:pStyle w:val="Compact"/>
            </w:pPr>
            <w:r>
              <w:t>-5.3049</w:t>
            </w:r>
          </w:p>
        </w:tc>
        <w:tc>
          <w:tcPr>
            <w:tcW w:w="696" w:type="dxa"/>
          </w:tcPr>
          <w:p w14:paraId="5EE498C2" w14:textId="77777777" w:rsidR="005F7517" w:rsidRDefault="00927BF8">
            <w:pPr>
              <w:pStyle w:val="Compact"/>
            </w:pPr>
            <w:r>
              <w:t>2.2498e-06</w:t>
            </w:r>
          </w:p>
        </w:tc>
        <w:tc>
          <w:tcPr>
            <w:tcW w:w="1584" w:type="dxa"/>
          </w:tcPr>
          <w:p w14:paraId="02C52525" w14:textId="77777777" w:rsidR="005F7517" w:rsidRDefault="00927BF8">
            <w:pPr>
              <w:pStyle w:val="Compact"/>
            </w:pPr>
            <w:r>
              <w:t>Odrzucenie H0 (p &lt; 0.05)</w:t>
            </w:r>
          </w:p>
        </w:tc>
      </w:tr>
    </w:tbl>
    <w:p w14:paraId="78E36A45" w14:textId="77777777" w:rsidR="005F7517" w:rsidRDefault="00927BF8">
      <w:pPr>
        <w:pStyle w:val="Tekstpodstawowy"/>
      </w:pPr>
      <w:r>
        <w:rPr>
          <w:b/>
          <w:bCs/>
        </w:rPr>
        <w:t>Wniosek:</w:t>
      </w:r>
      <w:r>
        <w:t xml:space="preserve"> Różnica między nachyleniami linii regresji jest statystycznie wysoce istotna (</w:t>
      </w:r>
      <m:oMath>
        <m:r>
          <w:rPr>
            <w:rFonts w:ascii="Cambria Math" w:hAnsi="Cambria Math"/>
          </w:rPr>
          <m:t>t</m:t>
        </m:r>
        <m:r>
          <m:rPr>
            <m:sty m:val="p"/>
          </m:rPr>
          <w:rPr>
            <w:rFonts w:ascii="Cambria Math" w:hAnsi="Cambria Math"/>
          </w:rPr>
          <m:t>=-</m:t>
        </m:r>
        <m:r>
          <w:rPr>
            <w:rFonts w:ascii="Cambria Math" w:hAnsi="Cambria Math"/>
          </w:rPr>
          <m:t>5.3049</m:t>
        </m:r>
      </m:oMath>
      <w:r>
        <w:t xml:space="preserve">,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001</m:t>
        </m:r>
      </m:oMath>
      <w:r>
        <w:t>). O ile w latach 2010–2021 trend był lekko dodatni (</w:t>
      </w:r>
      <m:oMath>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38</m:t>
        </m:r>
      </m:oMath>
      <w:r>
        <w:t>), o tyle po 2022 roku – po gwałtownym skoku na początku wojny – trend uległ odwróceniu i stał się silnie spadkowy (</w:t>
      </w:r>
      <m:oMath>
        <m:sSub>
          <m:sSubPr>
            <m:ctrlPr>
              <w:rPr>
                <w:rFonts w:ascii="Cambria Math" w:hAnsi="Cambria Math"/>
              </w:rPr>
            </m:ctrlPr>
          </m:sSubPr>
          <m:e>
            <m:r>
              <w:rPr>
                <w:rFonts w:ascii="Cambria Math" w:hAnsi="Cambria Math"/>
              </w:rPr>
              <m:t>β</m:t>
            </m:r>
          </m:e>
          <m:sub>
            <m:r>
              <w:rPr>
                <w:rFonts w:ascii="Cambria Math" w:hAnsi="Cambria Math"/>
              </w:rPr>
              <m:t>1</m:t>
            </m:r>
            <m:r>
              <m:rPr>
                <m:sty m:val="p"/>
              </m:rPr>
              <w:rPr>
                <w:rFonts w:ascii="Cambria Math" w:hAnsi="Cambria Math"/>
              </w:rPr>
              <m:t>,</m:t>
            </m:r>
            <m:r>
              <w:rPr>
                <w:rFonts w:ascii="Cambria Math" w:hAnsi="Cambria Math"/>
              </w:rPr>
              <m:t>B</m:t>
            </m:r>
          </m:sub>
        </m:sSub>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70</m:t>
        </m:r>
      </m:oMath>
      <w:r>
        <w:t>), co obrazuje proces normalizacji zapasów węgla i wycofywania się z nadzwyczajnych zakupów interwencyjnych.</w:t>
      </w:r>
    </w:p>
    <w:p w14:paraId="4770C26A" w14:textId="77777777" w:rsidR="005F7517" w:rsidRDefault="00927BF8">
      <w:r>
        <w:br w:type="page"/>
      </w:r>
    </w:p>
    <w:p w14:paraId="4BDF4555" w14:textId="77777777" w:rsidR="005F7517" w:rsidRDefault="00927BF8">
      <w:pPr>
        <w:pStyle w:val="Nagwek1"/>
      </w:pPr>
      <w:bookmarkStart w:id="27" w:name="v.-komentarz-do-uzyskanych-wyników"/>
      <w:bookmarkStart w:id="28" w:name="_Toc240407089"/>
      <w:bookmarkEnd w:id="19"/>
      <w:bookmarkEnd w:id="23"/>
      <w:bookmarkEnd w:id="26"/>
      <w:r>
        <w:t>V. Komentarz do uzyskanych wyników</w:t>
      </w:r>
      <w:bookmarkEnd w:id="28"/>
    </w:p>
    <w:p w14:paraId="4F73AC23" w14:textId="77777777" w:rsidR="005F7517" w:rsidRDefault="00927BF8">
      <w:pPr>
        <w:pStyle w:val="FirstParagraph"/>
      </w:pPr>
      <w:r>
        <w:t>Przeprowadzona analiza statystyczna pozwoliła sformułować następujące wnioski:</w:t>
      </w:r>
    </w:p>
    <w:p w14:paraId="239FA7E3" w14:textId="77777777" w:rsidR="005F7517" w:rsidRDefault="00927BF8">
      <w:pPr>
        <w:pStyle w:val="Compact"/>
        <w:numPr>
          <w:ilvl w:val="0"/>
          <w:numId w:val="15"/>
        </w:numPr>
      </w:pPr>
      <w:r>
        <w:rPr>
          <w:b/>
          <w:bCs/>
        </w:rPr>
        <w:t>Charakterystyka rozkładu empirycznego:</w:t>
      </w:r>
      <w:r>
        <w:t xml:space="preserve"> Przeładunki węgla i koksu w polskich portach morskich w latach 2010–2026 cechują się wyraźną asymetrią prawostronną (</w:t>
      </w:r>
      <m:oMath>
        <m:sSub>
          <m:sSubPr>
            <m:ctrlPr>
              <w:rPr>
                <w:rFonts w:ascii="Cambria Math" w:hAnsi="Cambria Math"/>
              </w:rPr>
            </m:ctrlPr>
          </m:sSubPr>
          <m:e>
            <m:r>
              <w:rPr>
                <w:rFonts w:ascii="Cambria Math" w:hAnsi="Cambria Math"/>
              </w:rPr>
              <m:t>γ</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87</m:t>
        </m:r>
      </m:oMath>
      <w:r>
        <w:t>) oraz silną leptokurtozą (</w:t>
      </w:r>
      <m:oMath>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37</m:t>
        </m:r>
      </m:oMath>
      <w:r>
        <w:t>). Wynika to z faktu, że typowy wolumen przeładunków wynosił ok. 700–900 tys. ton miesięcznie, a okres kryzysu energetycznego przyniósł bezprecedensowe skoki do poziomów przekraczających 3,4 mln ton.</w:t>
      </w:r>
    </w:p>
    <w:p w14:paraId="3EF87BE4" w14:textId="77777777" w:rsidR="005F7517" w:rsidRDefault="00927BF8">
      <w:pPr>
        <w:pStyle w:val="Compact"/>
        <w:numPr>
          <w:ilvl w:val="0"/>
          <w:numId w:val="15"/>
        </w:numPr>
      </w:pPr>
      <w:r>
        <w:rPr>
          <w:b/>
          <w:bCs/>
        </w:rPr>
        <w:t>Duża zmienność procesów portowych:</w:t>
      </w:r>
      <w:r>
        <w:t xml:space="preserve"> Klasyczny współczynnik zmienności na poziomie ok. 48,9% świadczy o wysokiej podatności przeładunków na czynniki zewnętrzne (sezon grzewczy zimą, cykle koniunkturalne hutnictwa i energetyki, wstrząsy geopolityczne). Pozycyjny współczynnik zmienności (</w:t>
      </w:r>
      <m:oMath>
        <m:sSub>
          <m:sSubPr>
            <m:ctrlPr>
              <w:rPr>
                <w:rFonts w:ascii="Cambria Math" w:hAnsi="Cambria Math"/>
              </w:rPr>
            </m:ctrlPr>
          </m:sSubPr>
          <m:e>
            <m:r>
              <w:rPr>
                <w:rFonts w:ascii="Cambria Math" w:hAnsi="Cambria Math"/>
              </w:rPr>
              <m:t>V</m:t>
            </m:r>
          </m:e>
          <m:sub>
            <m:r>
              <w:rPr>
                <w:rFonts w:ascii="Cambria Math" w:hAnsi="Cambria Math"/>
              </w:rPr>
              <m:t>Q</m:t>
            </m:r>
          </m:sub>
        </m:sSub>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15</m:t>
        </m:r>
        <m:r>
          <m:rPr>
            <m:sty m:val="p"/>
          </m:rPr>
          <w:rPr>
            <w:rFonts w:ascii="Cambria Math" w:hAnsi="Cambria Math"/>
          </w:rPr>
          <m:t>%</m:t>
        </m:r>
      </m:oMath>
      <w:r>
        <w:t>) dowodzi natomiast, że standardowa działalność operacyjna portów była stabilna, a za wysoką wariancję odpowiadały przede wszystkim anomalie z lat 2022–2023.</w:t>
      </w:r>
    </w:p>
    <w:p w14:paraId="5DB5BE28" w14:textId="77777777" w:rsidR="005F7517" w:rsidRDefault="00927BF8">
      <w:pPr>
        <w:pStyle w:val="Compact"/>
        <w:numPr>
          <w:ilvl w:val="0"/>
          <w:numId w:val="15"/>
        </w:numPr>
      </w:pPr>
      <w:r>
        <w:rPr>
          <w:b/>
          <w:bCs/>
        </w:rPr>
        <w:t>Potwierdzenie korelacji (Hipoteza 1):</w:t>
      </w:r>
      <w:r>
        <w:t xml:space="preserve"> Odrzucenie hipotezy zerowej o braku korelacji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863</m:t>
        </m:r>
      </m:oMath>
      <w:r>
        <w:t xml:space="preserve">,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001</m:t>
        </m:r>
      </m:oMath>
      <w:r>
        <w:t>) udowadnia, że dynamika ładunków masowych suchych ogółem w polskich portach morskich jest bezpośrednio i ściśle determinowana przez węgiel i koks.</w:t>
      </w:r>
    </w:p>
    <w:p w14:paraId="204CE6B1" w14:textId="77777777" w:rsidR="005F7517" w:rsidRDefault="00927BF8">
      <w:pPr>
        <w:pStyle w:val="Compact"/>
        <w:numPr>
          <w:ilvl w:val="0"/>
          <w:numId w:val="15"/>
        </w:numPr>
      </w:pPr>
      <w:r>
        <w:rPr>
          <w:b/>
          <w:bCs/>
        </w:rPr>
        <w:t>Wpływ kryzysu energetycznego (Hipoteza 2):</w:t>
      </w:r>
      <w:r>
        <w:t xml:space="preserve"> Wyniki dwupróbowego testu t-Studenta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001</m:t>
        </m:r>
      </m:oMath>
      <w:r>
        <w:t>) oraz testu nachyleń regresji jednoznacznie potwierdzają hipotezę o wystąpieniu statystycznie istotnej zmiany średnich przeładunków i kierunku trendu po wybuchu wojny w Ukrainie w 2022 roku. Średnie miesięczne obroty wzrosły o ponad 45% (z 836,9 do 1219,4 tys. ton).</w:t>
      </w:r>
    </w:p>
    <w:p w14:paraId="413AC5D4" w14:textId="77777777" w:rsidR="005F7517" w:rsidRDefault="00927BF8">
      <w:pPr>
        <w:pStyle w:val="Compact"/>
        <w:numPr>
          <w:ilvl w:val="0"/>
          <w:numId w:val="15"/>
        </w:numPr>
      </w:pPr>
      <w:r>
        <w:rPr>
          <w:b/>
          <w:bCs/>
        </w:rPr>
        <w:t>Normalizacja rynku w latach 2024–2026:</w:t>
      </w:r>
      <w:r>
        <w:t xml:space="preserve"> Analiza szeregu czasowego i ujemny współczynnik kierunkowy regresji po 2022 r.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26</m:t>
        </m:r>
        <m:r>
          <m:rPr>
            <m:sty m:val="p"/>
          </m:rPr>
          <w:rPr>
            <w:rFonts w:ascii="Cambria Math" w:hAnsi="Cambria Math"/>
          </w:rPr>
          <m:t>,</m:t>
        </m:r>
        <m:r>
          <w:rPr>
            <w:rFonts w:ascii="Cambria Math" w:hAnsi="Cambria Math"/>
          </w:rPr>
          <m:t>70</m:t>
        </m:r>
      </m:oMath>
      <w:r>
        <w:t>) dokumentują proces wygaszania paniki surowcowej, wypełnienie krajowych magazynów i powrót obrotów węglem do poziomów zrównoważonych.</w:t>
      </w:r>
    </w:p>
    <w:p w14:paraId="06C43255" w14:textId="77777777" w:rsidR="005F7517" w:rsidRDefault="00927BF8">
      <w:r>
        <w:br w:type="page"/>
      </w:r>
    </w:p>
    <w:p w14:paraId="2FCB91F7" w14:textId="77777777" w:rsidR="005F7517" w:rsidRDefault="00927BF8">
      <w:pPr>
        <w:pStyle w:val="Nagwek1"/>
      </w:pPr>
      <w:bookmarkStart w:id="29" w:name="vi.-listing-komend-generujących-wyniki"/>
      <w:bookmarkStart w:id="30" w:name="_Toc240407090"/>
      <w:bookmarkEnd w:id="27"/>
      <w:r>
        <w:t>VI. Listing komend generujących wyniki</w:t>
      </w:r>
      <w:bookmarkEnd w:id="30"/>
    </w:p>
    <w:p w14:paraId="2FAB7537" w14:textId="77777777" w:rsidR="005F7517" w:rsidRDefault="00927BF8">
      <w:pPr>
        <w:pStyle w:val="FirstParagraph"/>
      </w:pPr>
      <w:r>
        <w:t xml:space="preserve">Poniższy listing zawiera uporządkowane komendy środowiska </w:t>
      </w:r>
      <w:r>
        <w:rPr>
          <w:b/>
          <w:bCs/>
        </w:rPr>
        <w:t>R</w:t>
      </w:r>
      <w:r>
        <w:t xml:space="preserve"> wykorzystane do wygenerowania wszystkich rezultatów obliczeniowych, testów statystycznych oraz wykresów.</w:t>
      </w:r>
    </w:p>
    <w:p w14:paraId="5FBC9991" w14:textId="77777777" w:rsidR="005F7517" w:rsidRDefault="00927BF8">
      <w:pPr>
        <w:pStyle w:val="SourceCode"/>
      </w:pPr>
      <w:r>
        <w:rPr>
          <w:rStyle w:val="CommentTok"/>
        </w:rPr>
        <w:t># ==============================================================================</w:t>
      </w:r>
      <w:r>
        <w:br/>
      </w:r>
      <w:r>
        <w:rPr>
          <w:rStyle w:val="CommentTok"/>
        </w:rPr>
        <w:t># PROJEKT: STATYSTYCZNA ANALIZA DANYCH - PRZEŁADUNKI WĘGLA I KOKSU</w:t>
      </w:r>
      <w:r>
        <w:br/>
      </w:r>
      <w:r>
        <w:rPr>
          <w:rStyle w:val="CommentTok"/>
        </w:rPr>
        <w:t># LISTING KOMEND ŚRODOWISKA R</w:t>
      </w:r>
      <w:r>
        <w:br/>
      </w:r>
      <w:r>
        <w:rPr>
          <w:rStyle w:val="CommentTok"/>
        </w:rPr>
        <w:t># ==============================================================================</w:t>
      </w:r>
      <w:r>
        <w:br/>
      </w:r>
      <w:r>
        <w:br/>
      </w:r>
      <w:r>
        <w:rPr>
          <w:rStyle w:val="CommentTok"/>
        </w:rPr>
        <w:t># 1. Pakiety</w:t>
      </w:r>
      <w:r>
        <w:br/>
      </w:r>
      <w:r>
        <w:rPr>
          <w:rStyle w:val="FunctionTok"/>
        </w:rPr>
        <w:t>library</w:t>
      </w:r>
      <w:r>
        <w:rPr>
          <w:rStyle w:val="NormalTok"/>
        </w:rPr>
        <w:t>(readxl)</w:t>
      </w:r>
      <w:r>
        <w:br/>
      </w:r>
      <w:r>
        <w:rPr>
          <w:rStyle w:val="FunctionTok"/>
        </w:rPr>
        <w:t>library</w:t>
      </w:r>
      <w:r>
        <w:rPr>
          <w:rStyle w:val="NormalTok"/>
        </w:rPr>
        <w:t>(ggplot2)</w:t>
      </w:r>
      <w:r>
        <w:br/>
      </w:r>
      <w:r>
        <w:rPr>
          <w:rStyle w:val="FunctionTok"/>
        </w:rPr>
        <w:t>library</w:t>
      </w:r>
      <w:r>
        <w:rPr>
          <w:rStyle w:val="NormalTok"/>
        </w:rPr>
        <w:t>(moments)</w:t>
      </w:r>
      <w:r>
        <w:br/>
      </w:r>
      <w:r>
        <w:rPr>
          <w:rStyle w:val="FunctionTok"/>
        </w:rPr>
        <w:t>library</w:t>
      </w:r>
      <w:r>
        <w:rPr>
          <w:rStyle w:val="NormalTok"/>
        </w:rPr>
        <w:t>(knitr)</w:t>
      </w:r>
      <w:r>
        <w:br/>
      </w:r>
      <w:r>
        <w:rPr>
          <w:rStyle w:val="FunctionTok"/>
        </w:rPr>
        <w:t>library</w:t>
      </w:r>
      <w:r>
        <w:rPr>
          <w:rStyle w:val="NormalTok"/>
        </w:rPr>
        <w:t>(pander)</w:t>
      </w:r>
      <w:r>
        <w:br/>
      </w:r>
      <w:r>
        <w:br/>
      </w:r>
      <w:r>
        <w:rPr>
          <w:rStyle w:val="CommentTok"/>
        </w:rPr>
        <w:t># 2. Wczytanie i przygotowanie danych</w:t>
      </w:r>
      <w:r>
        <w:br/>
      </w:r>
      <w:r>
        <w:rPr>
          <w:rStyle w:val="NormalTok"/>
        </w:rPr>
        <w:t xml:space="preserve">dane </w:t>
      </w:r>
      <w:r>
        <w:rPr>
          <w:rStyle w:val="OtherTok"/>
        </w:rPr>
        <w:t>&lt;-</w:t>
      </w:r>
      <w:r>
        <w:rPr>
          <w:rStyle w:val="NormalTok"/>
        </w:rPr>
        <w:t xml:space="preserve"> </w:t>
      </w:r>
      <w:r>
        <w:rPr>
          <w:rStyle w:val="FunctionTok"/>
        </w:rPr>
        <w:t>as.data.frame</w:t>
      </w:r>
      <w:r>
        <w:rPr>
          <w:rStyle w:val="NormalTok"/>
        </w:rPr>
        <w:t>(readxl</w:t>
      </w:r>
      <w:r>
        <w:rPr>
          <w:rStyle w:val="SpecialCharTok"/>
        </w:rPr>
        <w:t>::</w:t>
      </w:r>
      <w:r>
        <w:rPr>
          <w:rStyle w:val="FunctionTok"/>
        </w:rPr>
        <w:t>read_excel</w:t>
      </w:r>
      <w:r>
        <w:rPr>
          <w:rStyle w:val="NormalTok"/>
        </w:rPr>
        <w:t>(</w:t>
      </w:r>
      <w:r>
        <w:rPr>
          <w:rStyle w:val="StringTok"/>
        </w:rPr>
        <w:t>"dane_wegiel_koks_porty_2010_2026.xlsx"</w:t>
      </w:r>
      <w:r>
        <w:rPr>
          <w:rStyle w:val="NormalTok"/>
        </w:rPr>
        <w:t>))</w:t>
      </w:r>
      <w:r>
        <w:br/>
      </w:r>
      <w:r>
        <w:rPr>
          <w:rStyle w:val="NormalTok"/>
        </w:rPr>
        <w:t>dane</w:t>
      </w:r>
      <w:r>
        <w:rPr>
          <w:rStyle w:val="SpecialCharTok"/>
        </w:rPr>
        <w:t>$</w:t>
      </w:r>
      <w:r>
        <w:rPr>
          <w:rStyle w:val="NormalTok"/>
        </w:rPr>
        <w:t xml:space="preserve">data </w:t>
      </w:r>
      <w:r>
        <w:rPr>
          <w:rStyle w:val="OtherTok"/>
        </w:rPr>
        <w:t>&lt;-</w:t>
      </w:r>
      <w:r>
        <w:rPr>
          <w:rStyle w:val="NormalTok"/>
        </w:rPr>
        <w:t xml:space="preserve"> </w:t>
      </w:r>
      <w:r>
        <w:rPr>
          <w:rStyle w:val="FunctionTok"/>
        </w:rPr>
        <w:t>as.Date</w:t>
      </w:r>
      <w:r>
        <w:rPr>
          <w:rStyle w:val="NormalTok"/>
        </w:rPr>
        <w:t>(dane</w:t>
      </w:r>
      <w:r>
        <w:rPr>
          <w:rStyle w:val="SpecialCharTok"/>
        </w:rPr>
        <w:t>$</w:t>
      </w:r>
      <w:r>
        <w:rPr>
          <w:rStyle w:val="NormalTok"/>
        </w:rPr>
        <w:t>data)</w:t>
      </w:r>
      <w:r>
        <w:br/>
      </w:r>
      <w:r>
        <w:rPr>
          <w:rStyle w:val="NormalTok"/>
        </w:rPr>
        <w:t>dane</w:t>
      </w:r>
      <w:r>
        <w:rPr>
          <w:rStyle w:val="SpecialCharTok"/>
        </w:rPr>
        <w:t>$</w:t>
      </w:r>
      <w:r>
        <w:rPr>
          <w:rStyle w:val="NormalTok"/>
        </w:rPr>
        <w:t xml:space="preserve">okres_badania </w:t>
      </w:r>
      <w:r>
        <w:rPr>
          <w:rStyle w:val="OtherTok"/>
        </w:rPr>
        <w:t>&lt;-</w:t>
      </w:r>
      <w:r>
        <w:rPr>
          <w:rStyle w:val="NormalTok"/>
        </w:rPr>
        <w:t xml:space="preserve"> </w:t>
      </w:r>
      <w:r>
        <w:rPr>
          <w:rStyle w:val="FunctionTok"/>
        </w:rPr>
        <w:t>factor</w:t>
      </w:r>
      <w:r>
        <w:rPr>
          <w:rStyle w:val="NormalTok"/>
        </w:rPr>
        <w:t>(dane</w:t>
      </w:r>
      <w:r>
        <w:rPr>
          <w:rStyle w:val="SpecialCharTok"/>
        </w:rPr>
        <w:t>$</w:t>
      </w:r>
      <w:r>
        <w:rPr>
          <w:rStyle w:val="NormalTok"/>
        </w:rPr>
        <w:t>okres_badania)</w:t>
      </w:r>
      <w:r>
        <w:br/>
      </w:r>
      <w:r>
        <w:rPr>
          <w:rStyle w:val="NormalTok"/>
        </w:rPr>
        <w:t xml:space="preserve">x </w:t>
      </w:r>
      <w:r>
        <w:rPr>
          <w:rStyle w:val="OtherTok"/>
        </w:rPr>
        <w:t>&lt;-</w:t>
      </w:r>
      <w:r>
        <w:rPr>
          <w:rStyle w:val="NormalTok"/>
        </w:rPr>
        <w:t xml:space="preserve"> dane</w:t>
      </w:r>
      <w:r>
        <w:rPr>
          <w:rStyle w:val="SpecialCharTok"/>
        </w:rPr>
        <w:t>$</w:t>
      </w:r>
      <w:r>
        <w:rPr>
          <w:rStyle w:val="NormalTok"/>
        </w:rPr>
        <w:t>wegiel_koks_tys_ton</w:t>
      </w:r>
      <w:r>
        <w:br/>
      </w:r>
      <w:r>
        <w:br/>
      </w:r>
      <w:r>
        <w:rPr>
          <w:rStyle w:val="CommentTok"/>
        </w:rPr>
        <w:t># 3. Podstawowe parametry opisowe</w:t>
      </w:r>
      <w:r>
        <w:br/>
      </w:r>
      <w:r>
        <w:rPr>
          <w:rStyle w:val="FunctionTok"/>
        </w:rPr>
        <w:t>mean</w:t>
      </w:r>
      <w:r>
        <w:rPr>
          <w:rStyle w:val="NormalTok"/>
        </w:rPr>
        <w:t xml:space="preserve">(x)                                           </w:t>
      </w:r>
      <w:r>
        <w:rPr>
          <w:rStyle w:val="CommentTok"/>
        </w:rPr>
        <w:t># Średnia arytmetyczna</w:t>
      </w:r>
      <w:r>
        <w:br/>
      </w:r>
      <w:r>
        <w:rPr>
          <w:rStyle w:val="FunctionTok"/>
        </w:rPr>
        <w:t>sd</w:t>
      </w:r>
      <w:r>
        <w:rPr>
          <w:rStyle w:val="NormalTok"/>
        </w:rPr>
        <w:t xml:space="preserve">(x)                                             </w:t>
      </w:r>
      <w:r>
        <w:rPr>
          <w:rStyle w:val="CommentTok"/>
        </w:rPr>
        <w:t># Odchylenie standardowe</w:t>
      </w:r>
      <w:r>
        <w:br/>
      </w:r>
      <w:r>
        <w:rPr>
          <w:rStyle w:val="FunctionTok"/>
        </w:rPr>
        <w:t>var</w:t>
      </w:r>
      <w:r>
        <w:rPr>
          <w:rStyle w:val="NormalTok"/>
        </w:rPr>
        <w:t xml:space="preserve">(x)                                            </w:t>
      </w:r>
      <w:r>
        <w:rPr>
          <w:rStyle w:val="CommentTok"/>
        </w:rPr>
        <w:t># Wariancja</w:t>
      </w:r>
      <w:r>
        <w:br/>
      </w:r>
      <w:r>
        <w:rPr>
          <w:rStyle w:val="NormalTok"/>
        </w:rPr>
        <w:t>(</w:t>
      </w:r>
      <w:r>
        <w:rPr>
          <w:rStyle w:val="FunctionTok"/>
        </w:rPr>
        <w:t>sd</w:t>
      </w:r>
      <w:r>
        <w:rPr>
          <w:rStyle w:val="NormalTok"/>
        </w:rPr>
        <w:t xml:space="preserve">(x) </w:t>
      </w:r>
      <w:r>
        <w:rPr>
          <w:rStyle w:val="SpecialCharTok"/>
        </w:rPr>
        <w:t>/</w:t>
      </w:r>
      <w:r>
        <w:rPr>
          <w:rStyle w:val="NormalTok"/>
        </w:rPr>
        <w:t xml:space="preserve"> </w:t>
      </w:r>
      <w:r>
        <w:rPr>
          <w:rStyle w:val="FunctionTok"/>
        </w:rPr>
        <w:t>mean</w:t>
      </w:r>
      <w:r>
        <w:rPr>
          <w:rStyle w:val="NormalTok"/>
        </w:rPr>
        <w:t xml:space="preserve">(x)) </w:t>
      </w:r>
      <w:r>
        <w:rPr>
          <w:rStyle w:val="SpecialCharTok"/>
        </w:rPr>
        <w:t>*</w:t>
      </w:r>
      <w:r>
        <w:rPr>
          <w:rStyle w:val="NormalTok"/>
        </w:rPr>
        <w:t xml:space="preserve"> </w:t>
      </w:r>
      <w:r>
        <w:rPr>
          <w:rStyle w:val="DecValTok"/>
        </w:rPr>
        <w:t>100</w:t>
      </w:r>
      <w:r>
        <w:rPr>
          <w:rStyle w:val="NormalTok"/>
        </w:rPr>
        <w:t xml:space="preserve">                           </w:t>
      </w:r>
      <w:r>
        <w:rPr>
          <w:rStyle w:val="CommentTok"/>
        </w:rPr>
        <w:t># Współczynnik zmienności klasyczny V (%)</w:t>
      </w:r>
      <w:r>
        <w:br/>
      </w:r>
      <w:r>
        <w:rPr>
          <w:rStyle w:val="FunctionTok"/>
        </w:rPr>
        <w:t>mad</w:t>
      </w:r>
      <w:r>
        <w:rPr>
          <w:rStyle w:val="NormalTok"/>
        </w:rPr>
        <w:t xml:space="preserve">(x, </w:t>
      </w:r>
      <w:r>
        <w:rPr>
          <w:rStyle w:val="AttributeTok"/>
        </w:rPr>
        <w:t>center =</w:t>
      </w:r>
      <w:r>
        <w:rPr>
          <w:rStyle w:val="NormalTok"/>
        </w:rPr>
        <w:t xml:space="preserve"> </w:t>
      </w:r>
      <w:r>
        <w:rPr>
          <w:rStyle w:val="FunctionTok"/>
        </w:rPr>
        <w:t>median</w:t>
      </w:r>
      <w:r>
        <w:rPr>
          <w:rStyle w:val="NormalTok"/>
        </w:rPr>
        <w:t xml:space="preserve">(x))                        </w:t>
      </w:r>
      <w:r>
        <w:rPr>
          <w:rStyle w:val="CommentTok"/>
        </w:rPr>
        <w:t># Odchylenie przeciętne medianowe (MAD)</w:t>
      </w:r>
      <w:r>
        <w:br/>
      </w:r>
      <w:r>
        <w:rPr>
          <w:rStyle w:val="NormalTok"/>
        </w:rPr>
        <w:t>moments</w:t>
      </w:r>
      <w:r>
        <w:rPr>
          <w:rStyle w:val="SpecialCharTok"/>
        </w:rPr>
        <w:t>::</w:t>
      </w:r>
      <w:r>
        <w:rPr>
          <w:rStyle w:val="FunctionTok"/>
        </w:rPr>
        <w:t>skewness</w:t>
      </w:r>
      <w:r>
        <w:rPr>
          <w:rStyle w:val="NormalTok"/>
        </w:rPr>
        <w:t xml:space="preserve">(x)                              </w:t>
      </w:r>
      <w:r>
        <w:rPr>
          <w:rStyle w:val="CommentTok"/>
        </w:rPr>
        <w:t># Skośność (asymetria)</w:t>
      </w:r>
      <w:r>
        <w:br/>
      </w:r>
      <w:r>
        <w:rPr>
          <w:rStyle w:val="NormalTok"/>
        </w:rPr>
        <w:t>moments</w:t>
      </w:r>
      <w:r>
        <w:rPr>
          <w:rStyle w:val="SpecialCharTok"/>
        </w:rPr>
        <w:t>::</w:t>
      </w:r>
      <w:r>
        <w:rPr>
          <w:rStyle w:val="FunctionTok"/>
        </w:rPr>
        <w:t>kurtosis</w:t>
      </w:r>
      <w:r>
        <w:rPr>
          <w:rStyle w:val="NormalTok"/>
        </w:rPr>
        <w:t xml:space="preserve">(x)                              </w:t>
      </w:r>
      <w:r>
        <w:rPr>
          <w:rStyle w:val="CommentTok"/>
        </w:rPr>
        <w:t># Kurtoza (koncentracja)</w:t>
      </w:r>
      <w:r>
        <w:br/>
      </w:r>
      <w:r>
        <w:rPr>
          <w:rStyle w:val="NormalTok"/>
        </w:rPr>
        <w:t xml:space="preserve">dens </w:t>
      </w:r>
      <w:r>
        <w:rPr>
          <w:rStyle w:val="OtherTok"/>
        </w:rPr>
        <w:t>&lt;-</w:t>
      </w:r>
      <w:r>
        <w:rPr>
          <w:rStyle w:val="NormalTok"/>
        </w:rPr>
        <w:t xml:space="preserve"> </w:t>
      </w:r>
      <w:r>
        <w:rPr>
          <w:rStyle w:val="FunctionTok"/>
        </w:rPr>
        <w:t>density</w:t>
      </w:r>
      <w:r>
        <w:rPr>
          <w:rStyle w:val="NormalTok"/>
        </w:rPr>
        <w:t xml:space="preserve">(x)                                </w:t>
      </w:r>
      <w:r>
        <w:rPr>
          <w:rStyle w:val="CommentTok"/>
        </w:rPr>
        <w:t># Estymacja gęstości</w:t>
      </w:r>
      <w:r>
        <w:br/>
      </w:r>
      <w:r>
        <w:rPr>
          <w:rStyle w:val="NormalTok"/>
        </w:rPr>
        <w:t>dens</w:t>
      </w:r>
      <w:r>
        <w:rPr>
          <w:rStyle w:val="SpecialCharTok"/>
        </w:rPr>
        <w:t>$</w:t>
      </w:r>
      <w:r>
        <w:rPr>
          <w:rStyle w:val="NormalTok"/>
        </w:rPr>
        <w:t>x[</w:t>
      </w:r>
      <w:r>
        <w:rPr>
          <w:rStyle w:val="FunctionTok"/>
        </w:rPr>
        <w:t>which.max</w:t>
      </w:r>
      <w:r>
        <w:rPr>
          <w:rStyle w:val="NormalTok"/>
        </w:rPr>
        <w:t>(dens</w:t>
      </w:r>
      <w:r>
        <w:rPr>
          <w:rStyle w:val="SpecialCharTok"/>
        </w:rPr>
        <w:t>$</w:t>
      </w:r>
      <w:r>
        <w:rPr>
          <w:rStyle w:val="NormalTok"/>
        </w:rPr>
        <w:t xml:space="preserve">y)]                         </w:t>
      </w:r>
      <w:r>
        <w:rPr>
          <w:rStyle w:val="CommentTok"/>
        </w:rPr>
        <w:t># Estymowana moda (dominanta)</w:t>
      </w:r>
      <w:r>
        <w:br/>
      </w:r>
      <w:r>
        <w:br/>
      </w:r>
      <w:r>
        <w:rPr>
          <w:rStyle w:val="CommentTok"/>
        </w:rPr>
        <w:t># Miary pozycyjne i kwantyle</w:t>
      </w:r>
      <w:r>
        <w:br/>
      </w:r>
      <w:r>
        <w:rPr>
          <w:rStyle w:val="FunctionTok"/>
        </w:rPr>
        <w:t>min</w:t>
      </w:r>
      <w:r>
        <w:rPr>
          <w:rStyle w:val="NormalTok"/>
        </w:rPr>
        <w:t xml:space="preserve">(x)                                            </w:t>
      </w:r>
      <w:r>
        <w:rPr>
          <w:rStyle w:val="CommentTok"/>
        </w:rPr>
        <w:t># Minimum</w:t>
      </w:r>
      <w:r>
        <w:br/>
      </w:r>
      <w:r>
        <w:rPr>
          <w:rStyle w:val="FunctionTok"/>
        </w:rPr>
        <w:t>quantile</w:t>
      </w:r>
      <w:r>
        <w:rPr>
          <w:rStyle w:val="NormalTok"/>
        </w:rPr>
        <w:t xml:space="preserve">(x, </w:t>
      </w:r>
      <w:r>
        <w:rPr>
          <w:rStyle w:val="FloatTok"/>
        </w:rPr>
        <w:t>0.25</w:t>
      </w:r>
      <w:r>
        <w:rPr>
          <w:rStyle w:val="NormalTok"/>
        </w:rPr>
        <w:t xml:space="preserve">)                                 </w:t>
      </w:r>
      <w:r>
        <w:rPr>
          <w:rStyle w:val="CommentTok"/>
        </w:rPr>
        <w:t># Kwartyl 1 (Q1)</w:t>
      </w:r>
      <w:r>
        <w:br/>
      </w:r>
      <w:r>
        <w:rPr>
          <w:rStyle w:val="FunctionTok"/>
        </w:rPr>
        <w:t>median</w:t>
      </w:r>
      <w:r>
        <w:rPr>
          <w:rStyle w:val="NormalTok"/>
        </w:rPr>
        <w:t xml:space="preserve">(x)                                         </w:t>
      </w:r>
      <w:r>
        <w:rPr>
          <w:rStyle w:val="CommentTok"/>
        </w:rPr>
        <w:t># Mediana (Q2)</w:t>
      </w:r>
      <w:r>
        <w:br/>
      </w:r>
      <w:r>
        <w:rPr>
          <w:rStyle w:val="FunctionTok"/>
        </w:rPr>
        <w:t>quantile</w:t>
      </w:r>
      <w:r>
        <w:rPr>
          <w:rStyle w:val="NormalTok"/>
        </w:rPr>
        <w:t xml:space="preserve">(x, </w:t>
      </w:r>
      <w:r>
        <w:rPr>
          <w:rStyle w:val="FloatTok"/>
        </w:rPr>
        <w:t>0.75</w:t>
      </w:r>
      <w:r>
        <w:rPr>
          <w:rStyle w:val="NormalTok"/>
        </w:rPr>
        <w:t xml:space="preserve">)                                 </w:t>
      </w:r>
      <w:r>
        <w:rPr>
          <w:rStyle w:val="CommentTok"/>
        </w:rPr>
        <w:t># Kwartyl 3 (Q3)</w:t>
      </w:r>
      <w:r>
        <w:br/>
      </w:r>
      <w:r>
        <w:rPr>
          <w:rStyle w:val="FunctionTok"/>
        </w:rPr>
        <w:t>max</w:t>
      </w:r>
      <w:r>
        <w:rPr>
          <w:rStyle w:val="NormalTok"/>
        </w:rPr>
        <w:t xml:space="preserve">(x)                                            </w:t>
      </w:r>
      <w:r>
        <w:rPr>
          <w:rStyle w:val="CommentTok"/>
        </w:rPr>
        <w:t># Maksimum</w:t>
      </w:r>
      <w:r>
        <w:br/>
      </w:r>
      <w:r>
        <w:rPr>
          <w:rStyle w:val="FunctionTok"/>
        </w:rPr>
        <w:t>max</w:t>
      </w:r>
      <w:r>
        <w:rPr>
          <w:rStyle w:val="NormalTok"/>
        </w:rPr>
        <w:t xml:space="preserve">(x) </w:t>
      </w:r>
      <w:r>
        <w:rPr>
          <w:rStyle w:val="SpecialCharTok"/>
        </w:rPr>
        <w:t>-</w:t>
      </w:r>
      <w:r>
        <w:rPr>
          <w:rStyle w:val="NormalTok"/>
        </w:rPr>
        <w:t xml:space="preserve"> </w:t>
      </w:r>
      <w:r>
        <w:rPr>
          <w:rStyle w:val="FunctionTok"/>
        </w:rPr>
        <w:t>min</w:t>
      </w:r>
      <w:r>
        <w:rPr>
          <w:rStyle w:val="NormalTok"/>
        </w:rPr>
        <w:t xml:space="preserve">(x)                                   </w:t>
      </w:r>
      <w:r>
        <w:rPr>
          <w:rStyle w:val="CommentTok"/>
        </w:rPr>
        <w:t># Rozstęp całkowity (R)</w:t>
      </w:r>
      <w:r>
        <w:br/>
      </w:r>
      <w:r>
        <w:rPr>
          <w:rStyle w:val="FunctionTok"/>
        </w:rPr>
        <w:t>IQR</w:t>
      </w:r>
      <w:r>
        <w:rPr>
          <w:rStyle w:val="NormalTok"/>
        </w:rPr>
        <w:t xml:space="preserve">(x)                                            </w:t>
      </w:r>
      <w:r>
        <w:rPr>
          <w:rStyle w:val="CommentTok"/>
        </w:rPr>
        <w:t># Rozstęp międzykwartylowy (IQR)</w:t>
      </w:r>
      <w:r>
        <w:br/>
      </w:r>
      <w:r>
        <w:rPr>
          <w:rStyle w:val="NormalTok"/>
        </w:rPr>
        <w:t>((</w:t>
      </w:r>
      <w:r>
        <w:rPr>
          <w:rStyle w:val="FunctionTok"/>
        </w:rPr>
        <w:t>IQR</w:t>
      </w:r>
      <w:r>
        <w:rPr>
          <w:rStyle w:val="NormalTok"/>
        </w:rPr>
        <w:t xml:space="preserve">(x)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unctionTok"/>
        </w:rPr>
        <w:t>median</w:t>
      </w:r>
      <w:r>
        <w:rPr>
          <w:rStyle w:val="NormalTok"/>
        </w:rPr>
        <w:t xml:space="preserve">(x)) </w:t>
      </w:r>
      <w:r>
        <w:rPr>
          <w:rStyle w:val="SpecialCharTok"/>
        </w:rPr>
        <w:t>*</w:t>
      </w:r>
      <w:r>
        <w:rPr>
          <w:rStyle w:val="NormalTok"/>
        </w:rPr>
        <w:t xml:space="preserve"> </w:t>
      </w:r>
      <w:r>
        <w:rPr>
          <w:rStyle w:val="DecValTok"/>
        </w:rPr>
        <w:t>100</w:t>
      </w:r>
      <w:r>
        <w:rPr>
          <w:rStyle w:val="NormalTok"/>
        </w:rPr>
        <w:t xml:space="preserve">                  </w:t>
      </w:r>
      <w:r>
        <w:rPr>
          <w:rStyle w:val="CommentTok"/>
        </w:rPr>
        <w:t># Pozycyjny współczynnik zmienności V_Q (%)</w:t>
      </w:r>
      <w:r>
        <w:br/>
      </w:r>
      <w:r>
        <w:br/>
      </w:r>
      <w:r>
        <w:rPr>
          <w:rStyle w:val="CommentTok"/>
        </w:rPr>
        <w:t># 4. Graficzna prezentacja danych</w:t>
      </w:r>
      <w:r>
        <w:br/>
      </w:r>
      <w:r>
        <w:rPr>
          <w:rStyle w:val="CommentTok"/>
        </w:rPr>
        <w:t># Histogram z krzywą gęstości</w:t>
      </w:r>
      <w:r>
        <w:br/>
      </w:r>
      <w:r>
        <w:rPr>
          <w:rStyle w:val="FunctionTok"/>
        </w:rPr>
        <w:t>ggplot</w:t>
      </w:r>
      <w:r>
        <w:rPr>
          <w:rStyle w:val="NormalTok"/>
        </w:rPr>
        <w:t xml:space="preserve">(dane, </w:t>
      </w:r>
      <w:r>
        <w:rPr>
          <w:rStyle w:val="FunctionTok"/>
        </w:rPr>
        <w:t>aes</w:t>
      </w:r>
      <w:r>
        <w:rPr>
          <w:rStyle w:val="NormalTok"/>
        </w:rPr>
        <w:t>(</w:t>
      </w:r>
      <w:r>
        <w:rPr>
          <w:rStyle w:val="AttributeTok"/>
        </w:rPr>
        <w:t>x =</w:t>
      </w:r>
      <w:r>
        <w:rPr>
          <w:rStyle w:val="NormalTok"/>
        </w:rPr>
        <w:t xml:space="preserve"> wegiel_koks_tys_ton)) </w:t>
      </w:r>
      <w:r>
        <w:rPr>
          <w:rStyle w:val="SpecialCharTok"/>
        </w:rPr>
        <w:t>+</w:t>
      </w:r>
      <w:r>
        <w:br/>
      </w:r>
      <w:r>
        <w:rPr>
          <w:rStyle w:val="NormalTok"/>
        </w:rPr>
        <w:t xml:space="preserve">  </w:t>
      </w:r>
      <w:r>
        <w:rPr>
          <w:rStyle w:val="FunctionTok"/>
        </w:rPr>
        <w:t>geom_histogram</w:t>
      </w:r>
      <w:r>
        <w:rPr>
          <w:rStyle w:val="NormalTok"/>
        </w:rPr>
        <w:t>(</w:t>
      </w:r>
      <w:r>
        <w:rPr>
          <w:rStyle w:val="FunctionTok"/>
        </w:rPr>
        <w:t>aes</w:t>
      </w:r>
      <w:r>
        <w:rPr>
          <w:rStyle w:val="NormalTok"/>
        </w:rPr>
        <w:t>(</w:t>
      </w:r>
      <w:r>
        <w:rPr>
          <w:rStyle w:val="AttributeTok"/>
        </w:rPr>
        <w:t>y =</w:t>
      </w:r>
      <w:r>
        <w:rPr>
          <w:rStyle w:val="NormalTok"/>
        </w:rPr>
        <w:t xml:space="preserve"> </w:t>
      </w:r>
      <w:r>
        <w:rPr>
          <w:rStyle w:val="FunctionTok"/>
        </w:rPr>
        <w:t>after_stat</w:t>
      </w:r>
      <w:r>
        <w:rPr>
          <w:rStyle w:val="NormalTok"/>
        </w:rPr>
        <w:t xml:space="preserve">(density)), </w:t>
      </w:r>
      <w:r>
        <w:rPr>
          <w:rStyle w:val="AttributeTok"/>
        </w:rPr>
        <w:t>bins =</w:t>
      </w:r>
      <w:r>
        <w:rPr>
          <w:rStyle w:val="NormalTok"/>
        </w:rPr>
        <w:t xml:space="preserve"> </w:t>
      </w:r>
      <w:r>
        <w:rPr>
          <w:rStyle w:val="DecValTok"/>
        </w:rPr>
        <w:t>25</w:t>
      </w:r>
      <w:r>
        <w:rPr>
          <w:rStyle w:val="NormalTok"/>
        </w:rPr>
        <w:t xml:space="preserve">, </w:t>
      </w:r>
      <w:r>
        <w:rPr>
          <w:rStyle w:val="AttributeTok"/>
        </w:rPr>
        <w:t>fill =</w:t>
      </w:r>
      <w:r>
        <w:rPr>
          <w:rStyle w:val="NormalTok"/>
        </w:rPr>
        <w:t xml:space="preserve"> </w:t>
      </w:r>
      <w:r>
        <w:rPr>
          <w:rStyle w:val="StringTok"/>
        </w:rPr>
        <w:t>"#2c3e50"</w:t>
      </w:r>
      <w:r>
        <w:rPr>
          <w:rStyle w:val="NormalTok"/>
        </w:rPr>
        <w:t xml:space="preserve">) </w:t>
      </w:r>
      <w:r>
        <w:rPr>
          <w:rStyle w:val="SpecialCharTok"/>
        </w:rPr>
        <w:t>+</w:t>
      </w:r>
      <w:r>
        <w:br/>
      </w:r>
      <w:r>
        <w:rPr>
          <w:rStyle w:val="NormalTok"/>
        </w:rPr>
        <w:t xml:space="preserve">  </w:t>
      </w:r>
      <w:r>
        <w:rPr>
          <w:rStyle w:val="FunctionTok"/>
        </w:rPr>
        <w:t>geom_density</w:t>
      </w:r>
      <w:r>
        <w:rPr>
          <w:rStyle w:val="NormalTok"/>
        </w:rPr>
        <w:t>(</w:t>
      </w:r>
      <w:r>
        <w:rPr>
          <w:rStyle w:val="AttributeTok"/>
        </w:rPr>
        <w:t>color =</w:t>
      </w:r>
      <w:r>
        <w:rPr>
          <w:rStyle w:val="NormalTok"/>
        </w:rPr>
        <w:t xml:space="preserve"> </w:t>
      </w:r>
      <w:r>
        <w:rPr>
          <w:rStyle w:val="StringTok"/>
        </w:rPr>
        <w:t>"#e74c3c"</w:t>
      </w:r>
      <w:r>
        <w:rPr>
          <w:rStyle w:val="NormalTok"/>
        </w:rPr>
        <w:t xml:space="preserve">, </w:t>
      </w:r>
      <w:r>
        <w:rPr>
          <w:rStyle w:val="AttributeTok"/>
        </w:rPr>
        <w:t>linewidth =</w:t>
      </w:r>
      <w:r>
        <w:rPr>
          <w:rStyle w:val="NormalTok"/>
        </w:rPr>
        <w:t xml:space="preserve"> </w:t>
      </w:r>
      <w:r>
        <w:rPr>
          <w:rStyle w:val="FloatTok"/>
        </w:rPr>
        <w:t>1.1</w:t>
      </w:r>
      <w:r>
        <w:rPr>
          <w:rStyle w:val="NormalTok"/>
        </w:rPr>
        <w:t>)</w:t>
      </w:r>
      <w:r>
        <w:br/>
      </w:r>
      <w:r>
        <w:br/>
      </w:r>
      <w:r>
        <w:rPr>
          <w:rStyle w:val="CommentTok"/>
        </w:rPr>
        <w:t># Wykres pudełkowy (Boxplot)</w:t>
      </w:r>
      <w:r>
        <w:br/>
      </w:r>
      <w:r>
        <w:rPr>
          <w:rStyle w:val="FunctionTok"/>
        </w:rPr>
        <w:t>ggplot</w:t>
      </w:r>
      <w:r>
        <w:rPr>
          <w:rStyle w:val="NormalTok"/>
        </w:rPr>
        <w:t xml:space="preserve">(dane, </w:t>
      </w:r>
      <w:r>
        <w:rPr>
          <w:rStyle w:val="FunctionTok"/>
        </w:rPr>
        <w:t>aes</w:t>
      </w:r>
      <w:r>
        <w:rPr>
          <w:rStyle w:val="NormalTok"/>
        </w:rPr>
        <w:t>(</w:t>
      </w:r>
      <w:r>
        <w:rPr>
          <w:rStyle w:val="AttributeTok"/>
        </w:rPr>
        <w:t>x =</w:t>
      </w:r>
      <w:r>
        <w:rPr>
          <w:rStyle w:val="NormalTok"/>
        </w:rPr>
        <w:t xml:space="preserve"> okres_badania, </w:t>
      </w:r>
      <w:r>
        <w:rPr>
          <w:rStyle w:val="AttributeTok"/>
        </w:rPr>
        <w:t>y =</w:t>
      </w:r>
      <w:r>
        <w:rPr>
          <w:rStyle w:val="NormalTok"/>
        </w:rPr>
        <w:t xml:space="preserve"> wegiel_koks_tys_ton, </w:t>
      </w:r>
      <w:r>
        <w:rPr>
          <w:rStyle w:val="AttributeTok"/>
        </w:rPr>
        <w:t>fill =</w:t>
      </w:r>
      <w:r>
        <w:rPr>
          <w:rStyle w:val="NormalTok"/>
        </w:rPr>
        <w:t xml:space="preserve"> okres_badania))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rPr>
          <w:rStyle w:val="NormalTok"/>
        </w:rPr>
        <w:t xml:space="preserve"> </w:t>
      </w:r>
      <w:r>
        <w:rPr>
          <w:rStyle w:val="FunctionTok"/>
        </w:rPr>
        <w:t>stat_summary</w:t>
      </w:r>
      <w:r>
        <w:rPr>
          <w:rStyle w:val="NormalTok"/>
        </w:rPr>
        <w:t>(</w:t>
      </w:r>
      <w:r>
        <w:rPr>
          <w:rStyle w:val="AttributeTok"/>
        </w:rPr>
        <w:t>fun =</w:t>
      </w:r>
      <w:r>
        <w:rPr>
          <w:rStyle w:val="NormalTok"/>
        </w:rPr>
        <w:t xml:space="preserve"> mean, </w:t>
      </w:r>
      <w:r>
        <w:rPr>
          <w:rStyle w:val="AttributeTok"/>
        </w:rPr>
        <w:t>geom =</w:t>
      </w:r>
      <w:r>
        <w:rPr>
          <w:rStyle w:val="NormalTok"/>
        </w:rPr>
        <w:t xml:space="preserve"> </w:t>
      </w:r>
      <w:r>
        <w:rPr>
          <w:rStyle w:val="StringTok"/>
        </w:rPr>
        <w:t>"point"</w:t>
      </w:r>
      <w:r>
        <w:rPr>
          <w:rStyle w:val="NormalTok"/>
        </w:rPr>
        <w:t xml:space="preserve">, </w:t>
      </w:r>
      <w:r>
        <w:rPr>
          <w:rStyle w:val="AttributeTok"/>
        </w:rPr>
        <w:t>shape =</w:t>
      </w:r>
      <w:r>
        <w:rPr>
          <w:rStyle w:val="NormalTok"/>
        </w:rPr>
        <w:t xml:space="preserve"> </w:t>
      </w:r>
      <w:r>
        <w:rPr>
          <w:rStyle w:val="DecValTok"/>
        </w:rPr>
        <w:t>18</w:t>
      </w:r>
      <w:r>
        <w:rPr>
          <w:rStyle w:val="NormalTok"/>
        </w:rPr>
        <w:t>)</w:t>
      </w:r>
      <w:r>
        <w:br/>
      </w:r>
      <w:r>
        <w:br/>
      </w:r>
      <w:r>
        <w:rPr>
          <w:rStyle w:val="CommentTok"/>
        </w:rPr>
        <w:t># Dystrybuanta empiryczna (ECDF)</w:t>
      </w:r>
      <w:r>
        <w:br/>
      </w:r>
      <w:r>
        <w:rPr>
          <w:rStyle w:val="FunctionTok"/>
        </w:rPr>
        <w:t>ggplot</w:t>
      </w:r>
      <w:r>
        <w:rPr>
          <w:rStyle w:val="NormalTok"/>
        </w:rPr>
        <w:t xml:space="preserve">(dane, </w:t>
      </w:r>
      <w:r>
        <w:rPr>
          <w:rStyle w:val="FunctionTok"/>
        </w:rPr>
        <w:t>aes</w:t>
      </w:r>
      <w:r>
        <w:rPr>
          <w:rStyle w:val="NormalTok"/>
        </w:rPr>
        <w:t>(</w:t>
      </w:r>
      <w:r>
        <w:rPr>
          <w:rStyle w:val="AttributeTok"/>
        </w:rPr>
        <w:t>x =</w:t>
      </w:r>
      <w:r>
        <w:rPr>
          <w:rStyle w:val="NormalTok"/>
        </w:rPr>
        <w:t xml:space="preserve"> wegiel_koks_tys_ton, </w:t>
      </w:r>
      <w:r>
        <w:rPr>
          <w:rStyle w:val="AttributeTok"/>
        </w:rPr>
        <w:t>color =</w:t>
      </w:r>
      <w:r>
        <w:rPr>
          <w:rStyle w:val="NormalTok"/>
        </w:rPr>
        <w:t xml:space="preserve"> okres_badania)) </w:t>
      </w:r>
      <w:r>
        <w:rPr>
          <w:rStyle w:val="SpecialCharTok"/>
        </w:rPr>
        <w:t>+</w:t>
      </w:r>
      <w:r>
        <w:br/>
      </w:r>
      <w:r>
        <w:rPr>
          <w:rStyle w:val="NormalTok"/>
        </w:rPr>
        <w:t xml:space="preserve">  </w:t>
      </w:r>
      <w:r>
        <w:rPr>
          <w:rStyle w:val="FunctionTok"/>
        </w:rPr>
        <w:t>stat_ecdf</w:t>
      </w:r>
      <w:r>
        <w:rPr>
          <w:rStyle w:val="NormalTok"/>
        </w:rPr>
        <w:t>(</w:t>
      </w:r>
      <w:r>
        <w:rPr>
          <w:rStyle w:val="AttributeTok"/>
        </w:rPr>
        <w:t>geom =</w:t>
      </w:r>
      <w:r>
        <w:rPr>
          <w:rStyle w:val="NormalTok"/>
        </w:rPr>
        <w:t xml:space="preserve"> </w:t>
      </w:r>
      <w:r>
        <w:rPr>
          <w:rStyle w:val="StringTok"/>
        </w:rPr>
        <w:t>"step"</w:t>
      </w:r>
      <w:r>
        <w:rPr>
          <w:rStyle w:val="NormalTok"/>
        </w:rPr>
        <w:t xml:space="preserve">, </w:t>
      </w:r>
      <w:r>
        <w:rPr>
          <w:rStyle w:val="AttributeTok"/>
        </w:rPr>
        <w:t>linewidth =</w:t>
      </w:r>
      <w:r>
        <w:rPr>
          <w:rStyle w:val="NormalTok"/>
        </w:rPr>
        <w:t xml:space="preserve"> </w:t>
      </w:r>
      <w:r>
        <w:rPr>
          <w:rStyle w:val="FloatTok"/>
        </w:rPr>
        <w:t>1.1</w:t>
      </w:r>
      <w:r>
        <w:rPr>
          <w:rStyle w:val="NormalTok"/>
        </w:rPr>
        <w:t>)</w:t>
      </w:r>
      <w:r>
        <w:br/>
      </w:r>
      <w:r>
        <w:br/>
      </w:r>
      <w:r>
        <w:rPr>
          <w:rStyle w:val="CommentTok"/>
        </w:rPr>
        <w:t># Szereg czasowy ze wstęgą trendu LOESS</w:t>
      </w:r>
      <w:r>
        <w:br/>
      </w:r>
      <w:r>
        <w:rPr>
          <w:rStyle w:val="FunctionTok"/>
        </w:rPr>
        <w:t>ggplot</w:t>
      </w:r>
      <w:r>
        <w:rPr>
          <w:rStyle w:val="NormalTok"/>
        </w:rPr>
        <w:t xml:space="preserve">(dane, </w:t>
      </w:r>
      <w:r>
        <w:rPr>
          <w:rStyle w:val="FunctionTok"/>
        </w:rPr>
        <w:t>aes</w:t>
      </w:r>
      <w:r>
        <w:rPr>
          <w:rStyle w:val="NormalTok"/>
        </w:rPr>
        <w:t>(</w:t>
      </w:r>
      <w:r>
        <w:rPr>
          <w:rStyle w:val="AttributeTok"/>
        </w:rPr>
        <w:t>x =</w:t>
      </w:r>
      <w:r>
        <w:rPr>
          <w:rStyle w:val="NormalTok"/>
        </w:rPr>
        <w:t xml:space="preserve"> data, </w:t>
      </w:r>
      <w:r>
        <w:rPr>
          <w:rStyle w:val="AttributeTok"/>
        </w:rPr>
        <w:t>y =</w:t>
      </w:r>
      <w:r>
        <w:rPr>
          <w:rStyle w:val="NormalTok"/>
        </w:rPr>
        <w:t xml:space="preserve"> wegiel_koks_tys_ton)) </w:t>
      </w:r>
      <w:r>
        <w:rPr>
          <w:rStyle w:val="SpecialCharTok"/>
        </w:rPr>
        <w:t>+</w:t>
      </w:r>
      <w:r>
        <w:br/>
      </w:r>
      <w:r>
        <w:rPr>
          <w:rStyle w:val="NormalTok"/>
        </w:rPr>
        <w:t xml:space="preserve">  </w:t>
      </w:r>
      <w:r>
        <w:rPr>
          <w:rStyle w:val="FunctionTok"/>
        </w:rPr>
        <w:t>geom_line</w:t>
      </w:r>
      <w:r>
        <w:rPr>
          <w:rStyle w:val="NormalTok"/>
        </w:rPr>
        <w:t xml:space="preserve">() </w:t>
      </w:r>
      <w:r>
        <w:rPr>
          <w:rStyle w:val="SpecialCharTok"/>
        </w:rPr>
        <w:t>+</w:t>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"loess"</w:t>
      </w:r>
      <w:r>
        <w:rPr>
          <w:rStyle w:val="NormalTok"/>
        </w:rPr>
        <w:t>)</w:t>
      </w:r>
      <w:r>
        <w:br/>
      </w:r>
      <w:r>
        <w:br/>
      </w:r>
      <w:r>
        <w:rPr>
          <w:rStyle w:val="CommentTok"/>
        </w:rPr>
        <w:t># Wykres rozrzutu z prostą regresji liniowej</w:t>
      </w:r>
      <w:r>
        <w:br/>
      </w:r>
      <w:r>
        <w:rPr>
          <w:rStyle w:val="FunctionTok"/>
        </w:rPr>
        <w:t>ggplot</w:t>
      </w:r>
      <w:r>
        <w:rPr>
          <w:rStyle w:val="NormalTok"/>
        </w:rPr>
        <w:t xml:space="preserve">(dane, </w:t>
      </w:r>
      <w:r>
        <w:rPr>
          <w:rStyle w:val="FunctionTok"/>
        </w:rPr>
        <w:t>aes</w:t>
      </w:r>
      <w:r>
        <w:rPr>
          <w:rStyle w:val="NormalTok"/>
        </w:rPr>
        <w:t>(</w:t>
      </w:r>
      <w:r>
        <w:rPr>
          <w:rStyle w:val="AttributeTok"/>
        </w:rPr>
        <w:t>x =</w:t>
      </w:r>
      <w:r>
        <w:rPr>
          <w:rStyle w:val="NormalTok"/>
        </w:rPr>
        <w:t xml:space="preserve"> masowe_suche_tys_ton, </w:t>
      </w:r>
      <w:r>
        <w:rPr>
          <w:rStyle w:val="AttributeTok"/>
        </w:rPr>
        <w:t>y =</w:t>
      </w:r>
      <w:r>
        <w:rPr>
          <w:rStyle w:val="NormalTok"/>
        </w:rPr>
        <w:t xml:space="preserve"> wegiel_koks_tys_ton)) </w:t>
      </w:r>
      <w:r>
        <w:rPr>
          <w:rStyle w:val="SpecialCharTok"/>
        </w:rPr>
        <w:t>+</w:t>
      </w:r>
      <w:r>
        <w:br/>
      </w:r>
      <w:r>
        <w:rPr>
          <w:rStyle w:val="NormalTok"/>
        </w:rPr>
        <w:t xml:space="preserve">  </w:t>
      </w:r>
      <w:r>
        <w:rPr>
          <w:rStyle w:val="FunctionTok"/>
        </w:rPr>
        <w:t>geom_point</w:t>
      </w:r>
      <w:r>
        <w:rPr>
          <w:rStyle w:val="NormalTok"/>
        </w:rPr>
        <w:t xml:space="preserve">() </w:t>
      </w:r>
      <w:r>
        <w:rPr>
          <w:rStyle w:val="SpecialCharTok"/>
        </w:rPr>
        <w:t>+</w:t>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w:t>
      </w:r>
      <w:r>
        <w:br/>
      </w:r>
      <w:r>
        <w:br/>
      </w:r>
      <w:r>
        <w:rPr>
          <w:rStyle w:val="CommentTok"/>
        </w:rPr>
        <w:t># 5. Weryfikacja hipotez statystycznych</w:t>
      </w:r>
      <w:r>
        <w:br/>
      </w:r>
      <w:r>
        <w:rPr>
          <w:rStyle w:val="CommentTok"/>
        </w:rPr>
        <w:t># Weryfikacja normalności rozkładu</w:t>
      </w:r>
      <w:r>
        <w:br/>
      </w:r>
      <w:r>
        <w:rPr>
          <w:rStyle w:val="FunctionTok"/>
        </w:rPr>
        <w:t>shapiro.test</w:t>
      </w:r>
      <w:r>
        <w:rPr>
          <w:rStyle w:val="NormalTok"/>
        </w:rPr>
        <w:t>(dane</w:t>
      </w:r>
      <w:r>
        <w:rPr>
          <w:rStyle w:val="SpecialCharTok"/>
        </w:rPr>
        <w:t>$</w:t>
      </w:r>
      <w:r>
        <w:rPr>
          <w:rStyle w:val="NormalTok"/>
        </w:rPr>
        <w:t>wegiel_koks_tys_ton)</w:t>
      </w:r>
      <w:r>
        <w:br/>
      </w:r>
      <w:r>
        <w:rPr>
          <w:rStyle w:val="FunctionTok"/>
        </w:rPr>
        <w:t>shapiro.test</w:t>
      </w:r>
      <w:r>
        <w:rPr>
          <w:rStyle w:val="NormalTok"/>
        </w:rPr>
        <w:t>(dane</w:t>
      </w:r>
      <w:r>
        <w:rPr>
          <w:rStyle w:val="SpecialCharTok"/>
        </w:rPr>
        <w:t>$</w:t>
      </w:r>
      <w:r>
        <w:rPr>
          <w:rStyle w:val="NormalTok"/>
        </w:rPr>
        <w:t>masowe_suche_tys_ton)</w:t>
      </w:r>
      <w:r>
        <w:br/>
      </w:r>
      <w:r>
        <w:br/>
      </w:r>
      <w:r>
        <w:rPr>
          <w:rStyle w:val="CommentTok"/>
        </w:rPr>
        <w:t># Hipoteza 1: Test korelacji (Pearson i Spearman)</w:t>
      </w:r>
      <w:r>
        <w:br/>
      </w:r>
      <w:r>
        <w:rPr>
          <w:rStyle w:val="FunctionTok"/>
        </w:rPr>
        <w:t>cor.test</w:t>
      </w:r>
      <w:r>
        <w:rPr>
          <w:rStyle w:val="NormalTok"/>
        </w:rPr>
        <w:t>(dane</w:t>
      </w:r>
      <w:r>
        <w:rPr>
          <w:rStyle w:val="SpecialCharTok"/>
        </w:rPr>
        <w:t>$</w:t>
      </w:r>
      <w:r>
        <w:rPr>
          <w:rStyle w:val="NormalTok"/>
        </w:rPr>
        <w:t>wegiel_koks_tys_ton, dane</w:t>
      </w:r>
      <w:r>
        <w:rPr>
          <w:rStyle w:val="SpecialCharTok"/>
        </w:rPr>
        <w:t>$</w:t>
      </w:r>
      <w:r>
        <w:rPr>
          <w:rStyle w:val="NormalTok"/>
        </w:rPr>
        <w:t xml:space="preserve">masowe_suche_tys_ton, </w:t>
      </w:r>
      <w:r>
        <w:rPr>
          <w:rStyle w:val="AttributeTok"/>
        </w:rPr>
        <w:t>method =</w:t>
      </w:r>
      <w:r>
        <w:rPr>
          <w:rStyle w:val="NormalTok"/>
        </w:rPr>
        <w:t xml:space="preserve"> </w:t>
      </w:r>
      <w:r>
        <w:rPr>
          <w:rStyle w:val="StringTok"/>
        </w:rPr>
        <w:t>"pearson"</w:t>
      </w:r>
      <w:r>
        <w:rPr>
          <w:rStyle w:val="NormalTok"/>
        </w:rPr>
        <w:t>)</w:t>
      </w:r>
      <w:r>
        <w:br/>
      </w:r>
      <w:r>
        <w:rPr>
          <w:rStyle w:val="FunctionTok"/>
        </w:rPr>
        <w:t>cor.test</w:t>
      </w:r>
      <w:r>
        <w:rPr>
          <w:rStyle w:val="NormalTok"/>
        </w:rPr>
        <w:t>(dane</w:t>
      </w:r>
      <w:r>
        <w:rPr>
          <w:rStyle w:val="SpecialCharTok"/>
        </w:rPr>
        <w:t>$</w:t>
      </w:r>
      <w:r>
        <w:rPr>
          <w:rStyle w:val="NormalTok"/>
        </w:rPr>
        <w:t>wegiel_koks_tys_ton, dane</w:t>
      </w:r>
      <w:r>
        <w:rPr>
          <w:rStyle w:val="SpecialCharTok"/>
        </w:rPr>
        <w:t>$</w:t>
      </w:r>
      <w:r>
        <w:rPr>
          <w:rStyle w:val="NormalTok"/>
        </w:rPr>
        <w:t xml:space="preserve">masowe_suche_tys_ton, </w:t>
      </w:r>
      <w:r>
        <w:rPr>
          <w:rStyle w:val="AttributeTok"/>
        </w:rPr>
        <w:t>method =</w:t>
      </w:r>
      <w:r>
        <w:rPr>
          <w:rStyle w:val="NormalTok"/>
        </w:rPr>
        <w:t xml:space="preserve"> </w:t>
      </w:r>
      <w:r>
        <w:rPr>
          <w:rStyle w:val="StringTok"/>
        </w:rPr>
        <w:t>"spearman"</w:t>
      </w:r>
      <w:r>
        <w:rPr>
          <w:rStyle w:val="NormalTok"/>
        </w:rPr>
        <w:t>)</w:t>
      </w:r>
      <w:r>
        <w:br/>
      </w:r>
      <w:r>
        <w:br/>
      </w:r>
      <w:r>
        <w:rPr>
          <w:rStyle w:val="CommentTok"/>
        </w:rPr>
        <w:t># Hipoteza 2: Porównanie dwóch okresów (okres stabilny vs kryzysowy)</w:t>
      </w:r>
      <w:r>
        <w:br/>
      </w:r>
      <w:r>
        <w:rPr>
          <w:rStyle w:val="NormalTok"/>
        </w:rPr>
        <w:t xml:space="preserve">probka_A </w:t>
      </w:r>
      <w:r>
        <w:rPr>
          <w:rStyle w:val="OtherTok"/>
        </w:rPr>
        <w:t>&lt;-</w:t>
      </w:r>
      <w:r>
        <w:rPr>
          <w:rStyle w:val="NormalTok"/>
        </w:rPr>
        <w:t xml:space="preserve"> dane</w:t>
      </w:r>
      <w:r>
        <w:rPr>
          <w:rStyle w:val="SpecialCharTok"/>
        </w:rPr>
        <w:t>$</w:t>
      </w:r>
      <w:r>
        <w:rPr>
          <w:rStyle w:val="NormalTok"/>
        </w:rPr>
        <w:t>wegiel_koks_tys_ton[dane</w:t>
      </w:r>
      <w:r>
        <w:rPr>
          <w:rStyle w:val="SpecialCharTok"/>
        </w:rPr>
        <w:t>$</w:t>
      </w:r>
      <w:r>
        <w:rPr>
          <w:rStyle w:val="NormalTok"/>
        </w:rPr>
        <w:t xml:space="preserve">rok </w:t>
      </w:r>
      <w:r>
        <w:rPr>
          <w:rStyle w:val="SpecialCharTok"/>
        </w:rPr>
        <w:t>&lt;</w:t>
      </w:r>
      <w:r>
        <w:rPr>
          <w:rStyle w:val="NormalTok"/>
        </w:rPr>
        <w:t xml:space="preserve"> </w:t>
      </w:r>
      <w:r>
        <w:rPr>
          <w:rStyle w:val="DecValTok"/>
        </w:rPr>
        <w:t>2022</w:t>
      </w:r>
      <w:r>
        <w:rPr>
          <w:rStyle w:val="NormalTok"/>
        </w:rPr>
        <w:t>]</w:t>
      </w:r>
      <w:r>
        <w:br/>
      </w:r>
      <w:r>
        <w:rPr>
          <w:rStyle w:val="NormalTok"/>
        </w:rPr>
        <w:t xml:space="preserve">probka_B </w:t>
      </w:r>
      <w:r>
        <w:rPr>
          <w:rStyle w:val="OtherTok"/>
        </w:rPr>
        <w:t>&lt;-</w:t>
      </w:r>
      <w:r>
        <w:rPr>
          <w:rStyle w:val="NormalTok"/>
        </w:rPr>
        <w:t xml:space="preserve"> dane</w:t>
      </w:r>
      <w:r>
        <w:rPr>
          <w:rStyle w:val="SpecialCharTok"/>
        </w:rPr>
        <w:t>$</w:t>
      </w:r>
      <w:r>
        <w:rPr>
          <w:rStyle w:val="NormalTok"/>
        </w:rPr>
        <w:t>wegiel_koks_tys_ton[dane</w:t>
      </w:r>
      <w:r>
        <w:rPr>
          <w:rStyle w:val="SpecialCharTok"/>
        </w:rPr>
        <w:t>$</w:t>
      </w:r>
      <w:r>
        <w:rPr>
          <w:rStyle w:val="NormalTok"/>
        </w:rPr>
        <w:t xml:space="preserve">rok </w:t>
      </w:r>
      <w:r>
        <w:rPr>
          <w:rStyle w:val="SpecialCharTok"/>
        </w:rPr>
        <w:t>&gt;=</w:t>
      </w:r>
      <w:r>
        <w:rPr>
          <w:rStyle w:val="NormalTok"/>
        </w:rPr>
        <w:t xml:space="preserve"> </w:t>
      </w:r>
      <w:r>
        <w:rPr>
          <w:rStyle w:val="DecValTok"/>
        </w:rPr>
        <w:t>2022</w:t>
      </w:r>
      <w:r>
        <w:rPr>
          <w:rStyle w:val="NormalTok"/>
        </w:rPr>
        <w:t>]</w:t>
      </w:r>
      <w:r>
        <w:br/>
      </w:r>
      <w:r>
        <w:br/>
      </w:r>
      <w:r>
        <w:rPr>
          <w:rStyle w:val="FunctionTok"/>
        </w:rPr>
        <w:t>var.test</w:t>
      </w:r>
      <w:r>
        <w:rPr>
          <w:rStyle w:val="NormalTok"/>
        </w:rPr>
        <w:t xml:space="preserve">(probka_A, probka_B)                     </w:t>
      </w:r>
      <w:r>
        <w:rPr>
          <w:rStyle w:val="CommentTok"/>
        </w:rPr>
        <w:t># Test jednorodności wariancji F</w:t>
      </w:r>
      <w:r>
        <w:br/>
      </w:r>
      <w:r>
        <w:rPr>
          <w:rStyle w:val="FunctionTok"/>
        </w:rPr>
        <w:t>t.test</w:t>
      </w:r>
      <w:r>
        <w:rPr>
          <w:rStyle w:val="NormalTok"/>
        </w:rPr>
        <w:t xml:space="preserve">(probka_A, probka_B, </w:t>
      </w:r>
      <w:r>
        <w:rPr>
          <w:rStyle w:val="AttributeTok"/>
        </w:rPr>
        <w:t>var.equal =</w:t>
      </w:r>
      <w:r>
        <w:rPr>
          <w:rStyle w:val="NormalTok"/>
        </w:rPr>
        <w:t xml:space="preserve"> </w:t>
      </w:r>
      <w:r>
        <w:rPr>
          <w:rStyle w:val="ConstantTok"/>
        </w:rPr>
        <w:t>FALSE</w:t>
      </w:r>
      <w:r>
        <w:rPr>
          <w:rStyle w:val="NormalTok"/>
        </w:rPr>
        <w:t xml:space="preserve">)    </w:t>
      </w:r>
      <w:r>
        <w:rPr>
          <w:rStyle w:val="CommentTok"/>
        </w:rPr>
        <w:t># Test t-Studenta (z korektą Welcha)</w:t>
      </w:r>
      <w:r>
        <w:br/>
      </w:r>
      <w:r>
        <w:br/>
      </w:r>
      <w:r>
        <w:rPr>
          <w:rStyle w:val="CommentTok"/>
        </w:rPr>
        <w:t># Regresje liniowe w podokresach i test różnicy nachyleń</w:t>
      </w:r>
      <w:r>
        <w:br/>
      </w:r>
      <w:r>
        <w:rPr>
          <w:rStyle w:val="NormalTok"/>
        </w:rPr>
        <w:t xml:space="preserve">lm_A </w:t>
      </w:r>
      <w:r>
        <w:rPr>
          <w:rStyle w:val="OtherTok"/>
        </w:rPr>
        <w:t>&lt;-</w:t>
      </w:r>
      <w:r>
        <w:rPr>
          <w:rStyle w:val="NormalTok"/>
        </w:rPr>
        <w:t xml:space="preserve"> </w:t>
      </w:r>
      <w:r>
        <w:rPr>
          <w:rStyle w:val="FunctionTok"/>
        </w:rPr>
        <w:t>lm</w:t>
      </w:r>
      <w:r>
        <w:rPr>
          <w:rStyle w:val="NormalTok"/>
        </w:rPr>
        <w:t xml:space="preserve">(probka_A </w:t>
      </w:r>
      <w:r>
        <w:rPr>
          <w:rStyle w:val="SpecialCharTok"/>
        </w:rPr>
        <w:t>~</w:t>
      </w:r>
      <w:r>
        <w:rPr>
          <w:rStyle w:val="NormalTok"/>
        </w:rPr>
        <w:t xml:space="preserve"> </w:t>
      </w:r>
      <w:r>
        <w:rPr>
          <w:rStyle w:val="FunctionTok"/>
        </w:rPr>
        <w:t>seq_along</w:t>
      </w:r>
      <w:r>
        <w:rPr>
          <w:rStyle w:val="NormalTok"/>
        </w:rPr>
        <w:t>(probka_A))</w:t>
      </w:r>
      <w:r>
        <w:br/>
      </w:r>
      <w:r>
        <w:rPr>
          <w:rStyle w:val="NormalTok"/>
        </w:rPr>
        <w:t xml:space="preserve">lm_B </w:t>
      </w:r>
      <w:r>
        <w:rPr>
          <w:rStyle w:val="OtherTok"/>
        </w:rPr>
        <w:t>&lt;-</w:t>
      </w:r>
      <w:r>
        <w:rPr>
          <w:rStyle w:val="NormalTok"/>
        </w:rPr>
        <w:t xml:space="preserve"> </w:t>
      </w:r>
      <w:r>
        <w:rPr>
          <w:rStyle w:val="FunctionTok"/>
        </w:rPr>
        <w:t>lm</w:t>
      </w:r>
      <w:r>
        <w:rPr>
          <w:rStyle w:val="NormalTok"/>
        </w:rPr>
        <w:t xml:space="preserve">(probka_B </w:t>
      </w:r>
      <w:r>
        <w:rPr>
          <w:rStyle w:val="SpecialCharTok"/>
        </w:rPr>
        <w:t>~</w:t>
      </w:r>
      <w:r>
        <w:rPr>
          <w:rStyle w:val="NormalTok"/>
        </w:rPr>
        <w:t xml:space="preserve"> </w:t>
      </w:r>
      <w:r>
        <w:rPr>
          <w:rStyle w:val="FunctionTok"/>
        </w:rPr>
        <w:t>seq_along</w:t>
      </w:r>
      <w:r>
        <w:rPr>
          <w:rStyle w:val="NormalTok"/>
        </w:rPr>
        <w:t>(probka_B))</w:t>
      </w:r>
      <w:r>
        <w:br/>
      </w:r>
      <w:r>
        <w:rPr>
          <w:rStyle w:val="FunctionTok"/>
        </w:rPr>
        <w:t>summary</w:t>
      </w:r>
      <w:r>
        <w:rPr>
          <w:rStyle w:val="NormalTok"/>
        </w:rPr>
        <w:t>(lm_A)</w:t>
      </w:r>
      <w:r>
        <w:br/>
      </w:r>
      <w:r>
        <w:rPr>
          <w:rStyle w:val="FunctionTok"/>
        </w:rPr>
        <w:t>summary</w:t>
      </w:r>
      <w:r>
        <w:rPr>
          <w:rStyle w:val="NormalTok"/>
        </w:rPr>
        <w:t>(lm_B)</w:t>
      </w:r>
    </w:p>
    <w:p w14:paraId="615C40AA" w14:textId="77777777" w:rsidR="005F7517" w:rsidRDefault="00927BF8">
      <w:r>
        <w:br w:type="page"/>
      </w:r>
    </w:p>
    <w:p w14:paraId="2B29B6AA" w14:textId="77777777" w:rsidR="005F7517" w:rsidRDefault="00927BF8">
      <w:pPr>
        <w:pStyle w:val="Nagwek1"/>
      </w:pPr>
      <w:bookmarkStart w:id="31" w:name="vii.-opis-użytych-funkcji-środowiska-r"/>
      <w:bookmarkStart w:id="32" w:name="_Toc240407091"/>
      <w:bookmarkEnd w:id="29"/>
      <w:r>
        <w:t>VII. Opis użytych funkcji środowiska R</w:t>
      </w:r>
      <w:bookmarkEnd w:id="32"/>
    </w:p>
    <w:p w14:paraId="7A5169BA" w14:textId="77777777" w:rsidR="005F7517" w:rsidRDefault="00927BF8">
      <w:pPr>
        <w:pStyle w:val="FirstParagraph"/>
      </w:pPr>
      <w:r>
        <w:t xml:space="preserve">Poniższa tabela przedstawia szczegółowy opis wszystkich funkcji języka </w:t>
      </w:r>
      <w:r>
        <w:rPr>
          <w:b/>
          <w:bCs/>
        </w:rPr>
        <w:t>R</w:t>
      </w:r>
      <w:r>
        <w:t xml:space="preserve"> oraz bibliotek wykorzystanych w niniejszym opracowaniu, wraz ze wskazaniem dokładnego pakietu źródłowego.</w:t>
      </w:r>
    </w:p>
    <w:p w14:paraId="2051F9D6" w14:textId="77777777" w:rsidR="005F7517" w:rsidRDefault="00927BF8">
      <w:pPr>
        <w:pStyle w:val="TableCaption"/>
      </w:pPr>
      <w:r>
        <w:t>Tabela 6. Zestawienie funkcji środowiska R wykorzystanych w projekcie</w:t>
      </w:r>
    </w:p>
    <w:tbl>
      <w:tblPr>
        <w:tblStyle w:val="Table"/>
        <w:tblW w:w="4989" w:type="pct"/>
        <w:tblLayout w:type="fixed"/>
        <w:tblLook w:val="0020" w:firstRow="1" w:lastRow="0" w:firstColumn="0" w:lastColumn="0" w:noHBand="0" w:noVBand="0"/>
        <w:tblCaption w:val="Tabela 6. Zestawienie funkcji środowiska R wykorzystanych w projekcie"/>
      </w:tblPr>
      <w:tblGrid>
        <w:gridCol w:w="2400"/>
        <w:gridCol w:w="5201"/>
        <w:gridCol w:w="2000"/>
      </w:tblGrid>
      <w:tr w:rsidR="005F7517" w14:paraId="4A875AAD" w14:textId="77777777" w:rsidTr="00454CC7">
        <w:trPr>
          <w:cnfStyle w:val="100000000000" w:firstRow="1" w:lastRow="0" w:firstColumn="0" w:lastColumn="0" w:oddVBand="0" w:evenVBand="0" w:oddHBand="0" w:evenHBand="0" w:firstRowFirstColumn="0" w:firstRowLastColumn="0" w:lastRowFirstColumn="0" w:lastRowLastColumn="0"/>
          <w:tblHeader/>
        </w:trPr>
        <w:tc>
          <w:tcPr>
            <w:tcW w:w="2400" w:type="dxa"/>
          </w:tcPr>
          <w:p w14:paraId="03EA4490" w14:textId="77777777" w:rsidR="005F7517" w:rsidRDefault="00927BF8">
            <w:pPr>
              <w:pStyle w:val="Compact"/>
            </w:pPr>
            <w:r>
              <w:t>Funkcja / Narzędzie</w:t>
            </w:r>
          </w:p>
        </w:tc>
        <w:tc>
          <w:tcPr>
            <w:tcW w:w="5200" w:type="dxa"/>
          </w:tcPr>
          <w:p w14:paraId="4D54F62B" w14:textId="77777777" w:rsidR="005F7517" w:rsidRDefault="00927BF8">
            <w:pPr>
              <w:pStyle w:val="Compact"/>
            </w:pPr>
            <w:r>
              <w:t>Opis działania funkcji</w:t>
            </w:r>
          </w:p>
        </w:tc>
        <w:tc>
          <w:tcPr>
            <w:tcW w:w="2000" w:type="dxa"/>
          </w:tcPr>
          <w:p w14:paraId="4F74AFC1" w14:textId="77777777" w:rsidR="005F7517" w:rsidRDefault="00927BF8">
            <w:pPr>
              <w:pStyle w:val="Compact"/>
            </w:pPr>
            <w:r>
              <w:t>Pakiet</w:t>
            </w:r>
          </w:p>
        </w:tc>
      </w:tr>
      <w:tr w:rsidR="005F7517" w14:paraId="7E917362" w14:textId="77777777" w:rsidTr="00454CC7">
        <w:tc>
          <w:tcPr>
            <w:tcW w:w="2400" w:type="dxa"/>
          </w:tcPr>
          <w:p w14:paraId="45AE7757" w14:textId="77777777" w:rsidR="005F7517" w:rsidRDefault="00927BF8">
            <w:pPr>
              <w:pStyle w:val="Compact"/>
            </w:pPr>
            <w:r>
              <w:t>readxl::read_excel()</w:t>
            </w:r>
          </w:p>
        </w:tc>
        <w:tc>
          <w:tcPr>
            <w:tcW w:w="5200" w:type="dxa"/>
          </w:tcPr>
          <w:p w14:paraId="51250BF0" w14:textId="77777777" w:rsidR="005F7517" w:rsidRDefault="00927BF8">
            <w:pPr>
              <w:pStyle w:val="Compact"/>
            </w:pPr>
            <w:r>
              <w:t>Import danych z arkuszy kalkulacyjnych Microsoft Excel (.xlsx)</w:t>
            </w:r>
          </w:p>
        </w:tc>
        <w:tc>
          <w:tcPr>
            <w:tcW w:w="2000" w:type="dxa"/>
          </w:tcPr>
          <w:p w14:paraId="1547CD08" w14:textId="77777777" w:rsidR="005F7517" w:rsidRDefault="00927BF8">
            <w:pPr>
              <w:pStyle w:val="Compact"/>
            </w:pPr>
            <w:r>
              <w:t>readxl</w:t>
            </w:r>
          </w:p>
        </w:tc>
      </w:tr>
      <w:tr w:rsidR="005F7517" w14:paraId="17AAA51F" w14:textId="77777777" w:rsidTr="00454CC7">
        <w:tc>
          <w:tcPr>
            <w:tcW w:w="2400" w:type="dxa"/>
          </w:tcPr>
          <w:p w14:paraId="2D0481BF" w14:textId="77777777" w:rsidR="005F7517" w:rsidRDefault="00927BF8">
            <w:pPr>
              <w:pStyle w:val="Compact"/>
            </w:pPr>
            <w:r>
              <w:t>mean()</w:t>
            </w:r>
          </w:p>
        </w:tc>
        <w:tc>
          <w:tcPr>
            <w:tcW w:w="5200" w:type="dxa"/>
          </w:tcPr>
          <w:p w14:paraId="20F23BB4" w14:textId="77777777" w:rsidR="005F7517" w:rsidRDefault="00927BF8">
            <w:pPr>
              <w:pStyle w:val="Compact"/>
            </w:pPr>
            <w:r>
              <w:t>Obliczanie średniej arytmetycznej próby</w:t>
            </w:r>
          </w:p>
        </w:tc>
        <w:tc>
          <w:tcPr>
            <w:tcW w:w="2000" w:type="dxa"/>
          </w:tcPr>
          <w:p w14:paraId="07E92E87" w14:textId="77777777" w:rsidR="005F7517" w:rsidRDefault="00927BF8">
            <w:pPr>
              <w:pStyle w:val="Compact"/>
            </w:pPr>
            <w:r>
              <w:t>base</w:t>
            </w:r>
          </w:p>
        </w:tc>
      </w:tr>
      <w:tr w:rsidR="005F7517" w14:paraId="1AFCDD3C" w14:textId="77777777" w:rsidTr="00454CC7">
        <w:tc>
          <w:tcPr>
            <w:tcW w:w="2400" w:type="dxa"/>
          </w:tcPr>
          <w:p w14:paraId="088D52F5" w14:textId="77777777" w:rsidR="005F7517" w:rsidRDefault="00927BF8">
            <w:pPr>
              <w:pStyle w:val="Compact"/>
            </w:pPr>
            <w:r>
              <w:t>sd()</w:t>
            </w:r>
          </w:p>
        </w:tc>
        <w:tc>
          <w:tcPr>
            <w:tcW w:w="5200" w:type="dxa"/>
          </w:tcPr>
          <w:p w14:paraId="30B4396D" w14:textId="77777777" w:rsidR="005F7517" w:rsidRDefault="00927BF8">
            <w:pPr>
              <w:pStyle w:val="Compact"/>
            </w:pPr>
            <w:r>
              <w:t>Obliczanie próbowego odchylenia standardowego</w:t>
            </w:r>
          </w:p>
        </w:tc>
        <w:tc>
          <w:tcPr>
            <w:tcW w:w="2000" w:type="dxa"/>
          </w:tcPr>
          <w:p w14:paraId="0D0BDBD3" w14:textId="77777777" w:rsidR="005F7517" w:rsidRDefault="00927BF8">
            <w:pPr>
              <w:pStyle w:val="Compact"/>
            </w:pPr>
            <w:r>
              <w:t>stats</w:t>
            </w:r>
          </w:p>
        </w:tc>
      </w:tr>
      <w:tr w:rsidR="005F7517" w14:paraId="5B538265" w14:textId="77777777" w:rsidTr="00454CC7">
        <w:tc>
          <w:tcPr>
            <w:tcW w:w="2400" w:type="dxa"/>
          </w:tcPr>
          <w:p w14:paraId="71C00762" w14:textId="77777777" w:rsidR="005F7517" w:rsidRDefault="00927BF8">
            <w:pPr>
              <w:pStyle w:val="Compact"/>
            </w:pPr>
            <w:r>
              <w:t>var()</w:t>
            </w:r>
          </w:p>
        </w:tc>
        <w:tc>
          <w:tcPr>
            <w:tcW w:w="5200" w:type="dxa"/>
          </w:tcPr>
          <w:p w14:paraId="6EE82A78" w14:textId="77777777" w:rsidR="005F7517" w:rsidRDefault="00927BF8">
            <w:pPr>
              <w:pStyle w:val="Compact"/>
            </w:pPr>
            <w:r>
              <w:t>Obliczanie wariancji próbkowej (miary dyspersji z mianownikiem n - 1)</w:t>
            </w:r>
          </w:p>
        </w:tc>
        <w:tc>
          <w:tcPr>
            <w:tcW w:w="2000" w:type="dxa"/>
          </w:tcPr>
          <w:p w14:paraId="5BB21EC6" w14:textId="77777777" w:rsidR="005F7517" w:rsidRDefault="00927BF8">
            <w:pPr>
              <w:pStyle w:val="Compact"/>
            </w:pPr>
            <w:r>
              <w:t>stats</w:t>
            </w:r>
          </w:p>
        </w:tc>
      </w:tr>
      <w:tr w:rsidR="005F7517" w14:paraId="64A99F1D" w14:textId="77777777" w:rsidTr="00454CC7">
        <w:tc>
          <w:tcPr>
            <w:tcW w:w="2400" w:type="dxa"/>
          </w:tcPr>
          <w:p w14:paraId="2DBE4F2F" w14:textId="77777777" w:rsidR="005F7517" w:rsidRDefault="00927BF8">
            <w:pPr>
              <w:pStyle w:val="Compact"/>
            </w:pPr>
            <w:r>
              <w:t>median()</w:t>
            </w:r>
          </w:p>
        </w:tc>
        <w:tc>
          <w:tcPr>
            <w:tcW w:w="5200" w:type="dxa"/>
          </w:tcPr>
          <w:p w14:paraId="78F08687" w14:textId="77777777" w:rsidR="005F7517" w:rsidRDefault="00927BF8">
            <w:pPr>
              <w:pStyle w:val="Compact"/>
            </w:pPr>
            <w:r>
              <w:t>Wyznaczanie mediany – wartości środkowej dzielącej próbę na dwie równe części</w:t>
            </w:r>
          </w:p>
        </w:tc>
        <w:tc>
          <w:tcPr>
            <w:tcW w:w="2000" w:type="dxa"/>
          </w:tcPr>
          <w:p w14:paraId="3E65DBAF" w14:textId="77777777" w:rsidR="005F7517" w:rsidRDefault="00927BF8">
            <w:pPr>
              <w:pStyle w:val="Compact"/>
            </w:pPr>
            <w:r>
              <w:t>stats</w:t>
            </w:r>
          </w:p>
        </w:tc>
      </w:tr>
      <w:tr w:rsidR="005F7517" w14:paraId="5DC58900" w14:textId="77777777" w:rsidTr="00454CC7">
        <w:tc>
          <w:tcPr>
            <w:tcW w:w="2400" w:type="dxa"/>
          </w:tcPr>
          <w:p w14:paraId="5A4A13DE" w14:textId="77777777" w:rsidR="005F7517" w:rsidRDefault="00927BF8">
            <w:pPr>
              <w:pStyle w:val="Compact"/>
            </w:pPr>
            <w:r>
              <w:t>quantile()</w:t>
            </w:r>
          </w:p>
        </w:tc>
        <w:tc>
          <w:tcPr>
            <w:tcW w:w="5200" w:type="dxa"/>
          </w:tcPr>
          <w:p w14:paraId="66E920E9" w14:textId="77777777" w:rsidR="005F7517" w:rsidRDefault="00927BF8">
            <w:pPr>
              <w:pStyle w:val="Compact"/>
            </w:pPr>
            <w:r>
              <w:t>Wyznaczanie kwantyli dowolnego rzędu (np. kwartyli Q1, Q3)</w:t>
            </w:r>
          </w:p>
        </w:tc>
        <w:tc>
          <w:tcPr>
            <w:tcW w:w="2000" w:type="dxa"/>
          </w:tcPr>
          <w:p w14:paraId="18A06EC0" w14:textId="77777777" w:rsidR="005F7517" w:rsidRDefault="00927BF8">
            <w:pPr>
              <w:pStyle w:val="Compact"/>
            </w:pPr>
            <w:r>
              <w:t>stats</w:t>
            </w:r>
          </w:p>
        </w:tc>
      </w:tr>
      <w:tr w:rsidR="005F7517" w14:paraId="7AA8B9DA" w14:textId="77777777" w:rsidTr="00454CC7">
        <w:tc>
          <w:tcPr>
            <w:tcW w:w="2400" w:type="dxa"/>
          </w:tcPr>
          <w:p w14:paraId="7E25A940" w14:textId="77777777" w:rsidR="005F7517" w:rsidRDefault="00927BF8">
            <w:pPr>
              <w:pStyle w:val="Compact"/>
            </w:pPr>
            <w:r>
              <w:t>IQR()</w:t>
            </w:r>
          </w:p>
        </w:tc>
        <w:tc>
          <w:tcPr>
            <w:tcW w:w="5200" w:type="dxa"/>
          </w:tcPr>
          <w:p w14:paraId="05DAFDCE" w14:textId="77777777" w:rsidR="005F7517" w:rsidRDefault="00927BF8">
            <w:pPr>
              <w:pStyle w:val="Compact"/>
            </w:pPr>
            <w:r>
              <w:t>Obliczanie rozstępu międzykwartylowego (IQR = Q3 - Q1)</w:t>
            </w:r>
          </w:p>
        </w:tc>
        <w:tc>
          <w:tcPr>
            <w:tcW w:w="2000" w:type="dxa"/>
          </w:tcPr>
          <w:p w14:paraId="3D477D8F" w14:textId="77777777" w:rsidR="005F7517" w:rsidRDefault="00927BF8">
            <w:pPr>
              <w:pStyle w:val="Compact"/>
            </w:pPr>
            <w:r>
              <w:t>stats</w:t>
            </w:r>
          </w:p>
        </w:tc>
      </w:tr>
      <w:tr w:rsidR="005F7517" w14:paraId="21BA1F27" w14:textId="77777777" w:rsidTr="00454CC7">
        <w:tc>
          <w:tcPr>
            <w:tcW w:w="2400" w:type="dxa"/>
          </w:tcPr>
          <w:p w14:paraId="35EED768" w14:textId="77777777" w:rsidR="005F7517" w:rsidRDefault="00927BF8">
            <w:pPr>
              <w:pStyle w:val="Compact"/>
            </w:pPr>
            <w:r>
              <w:t>mad()</w:t>
            </w:r>
          </w:p>
        </w:tc>
        <w:tc>
          <w:tcPr>
            <w:tcW w:w="5200" w:type="dxa"/>
          </w:tcPr>
          <w:p w14:paraId="26CA8A53" w14:textId="77777777" w:rsidR="005F7517" w:rsidRDefault="00927BF8">
            <w:pPr>
              <w:pStyle w:val="Compact"/>
            </w:pPr>
            <w:r>
              <w:t>Obliczanie medianowego odchylenia bezwzględnego (MAD)</w:t>
            </w:r>
          </w:p>
        </w:tc>
        <w:tc>
          <w:tcPr>
            <w:tcW w:w="2000" w:type="dxa"/>
          </w:tcPr>
          <w:p w14:paraId="432947F3" w14:textId="77777777" w:rsidR="005F7517" w:rsidRDefault="00927BF8">
            <w:pPr>
              <w:pStyle w:val="Compact"/>
            </w:pPr>
            <w:r>
              <w:t>stats</w:t>
            </w:r>
          </w:p>
        </w:tc>
      </w:tr>
      <w:tr w:rsidR="005F7517" w14:paraId="5286A106" w14:textId="77777777" w:rsidTr="00454CC7">
        <w:tc>
          <w:tcPr>
            <w:tcW w:w="2400" w:type="dxa"/>
          </w:tcPr>
          <w:p w14:paraId="7C49E7E4" w14:textId="77777777" w:rsidR="005F7517" w:rsidRDefault="00927BF8">
            <w:pPr>
              <w:pStyle w:val="Compact"/>
            </w:pPr>
            <w:r>
              <w:t>min() / max()</w:t>
            </w:r>
          </w:p>
        </w:tc>
        <w:tc>
          <w:tcPr>
            <w:tcW w:w="5200" w:type="dxa"/>
          </w:tcPr>
          <w:p w14:paraId="3A521608" w14:textId="77777777" w:rsidR="005F7517" w:rsidRDefault="00927BF8">
            <w:pPr>
              <w:pStyle w:val="Compact"/>
            </w:pPr>
            <w:r>
              <w:t>Wyszukiwanie wartości minimalnej oraz maksymalnej w wektorze</w:t>
            </w:r>
          </w:p>
        </w:tc>
        <w:tc>
          <w:tcPr>
            <w:tcW w:w="2000" w:type="dxa"/>
          </w:tcPr>
          <w:p w14:paraId="7A2402A6" w14:textId="77777777" w:rsidR="005F7517" w:rsidRDefault="00927BF8">
            <w:pPr>
              <w:pStyle w:val="Compact"/>
            </w:pPr>
            <w:r>
              <w:t>base</w:t>
            </w:r>
          </w:p>
        </w:tc>
      </w:tr>
      <w:tr w:rsidR="005F7517" w14:paraId="30E49257" w14:textId="77777777" w:rsidTr="00454CC7">
        <w:tc>
          <w:tcPr>
            <w:tcW w:w="2400" w:type="dxa"/>
          </w:tcPr>
          <w:p w14:paraId="11DC53CD" w14:textId="77777777" w:rsidR="005F7517" w:rsidRDefault="00927BF8">
            <w:pPr>
              <w:pStyle w:val="Compact"/>
            </w:pPr>
            <w:r>
              <w:t>moments::skewness()</w:t>
            </w:r>
          </w:p>
        </w:tc>
        <w:tc>
          <w:tcPr>
            <w:tcW w:w="5200" w:type="dxa"/>
          </w:tcPr>
          <w:p w14:paraId="4C87932C" w14:textId="77777777" w:rsidR="005F7517" w:rsidRDefault="00927BF8">
            <w:pPr>
              <w:pStyle w:val="Compact"/>
            </w:pPr>
            <w:r>
              <w:t>Obliczanie współczynnika skośności – miary asymetrii rozkładu</w:t>
            </w:r>
          </w:p>
        </w:tc>
        <w:tc>
          <w:tcPr>
            <w:tcW w:w="2000" w:type="dxa"/>
          </w:tcPr>
          <w:p w14:paraId="0825E591" w14:textId="77777777" w:rsidR="005F7517" w:rsidRDefault="00927BF8">
            <w:pPr>
              <w:pStyle w:val="Compact"/>
            </w:pPr>
            <w:r>
              <w:t>moments</w:t>
            </w:r>
          </w:p>
        </w:tc>
      </w:tr>
      <w:tr w:rsidR="005F7517" w14:paraId="39F31271" w14:textId="77777777" w:rsidTr="00454CC7">
        <w:tc>
          <w:tcPr>
            <w:tcW w:w="2400" w:type="dxa"/>
          </w:tcPr>
          <w:p w14:paraId="4BCEE2F4" w14:textId="77777777" w:rsidR="005F7517" w:rsidRDefault="00927BF8">
            <w:pPr>
              <w:pStyle w:val="Compact"/>
            </w:pPr>
            <w:r>
              <w:t>moments::kurtosis()</w:t>
            </w:r>
          </w:p>
        </w:tc>
        <w:tc>
          <w:tcPr>
            <w:tcW w:w="5200" w:type="dxa"/>
          </w:tcPr>
          <w:p w14:paraId="5AE59231" w14:textId="77777777" w:rsidR="005F7517" w:rsidRDefault="00927BF8">
            <w:pPr>
              <w:pStyle w:val="Compact"/>
            </w:pPr>
            <w:r>
              <w:t>Obliczanie kurtozy – miary koncentracji i spiczastości rozkładu</w:t>
            </w:r>
          </w:p>
        </w:tc>
        <w:tc>
          <w:tcPr>
            <w:tcW w:w="2000" w:type="dxa"/>
          </w:tcPr>
          <w:p w14:paraId="34263CB1" w14:textId="77777777" w:rsidR="005F7517" w:rsidRDefault="00927BF8">
            <w:pPr>
              <w:pStyle w:val="Compact"/>
            </w:pPr>
            <w:r>
              <w:t>moments</w:t>
            </w:r>
          </w:p>
        </w:tc>
      </w:tr>
      <w:tr w:rsidR="005F7517" w14:paraId="5B9D4486" w14:textId="77777777" w:rsidTr="00454CC7">
        <w:tc>
          <w:tcPr>
            <w:tcW w:w="2400" w:type="dxa"/>
          </w:tcPr>
          <w:p w14:paraId="3D173F1C" w14:textId="77777777" w:rsidR="005F7517" w:rsidRDefault="00927BF8">
            <w:pPr>
              <w:pStyle w:val="Compact"/>
            </w:pPr>
            <w:r>
              <w:t>density()</w:t>
            </w:r>
          </w:p>
        </w:tc>
        <w:tc>
          <w:tcPr>
            <w:tcW w:w="5200" w:type="dxa"/>
          </w:tcPr>
          <w:p w14:paraId="3FDCE8A4" w14:textId="77777777" w:rsidR="005F7517" w:rsidRDefault="00927BF8">
            <w:pPr>
              <w:pStyle w:val="Compact"/>
            </w:pPr>
            <w:r>
              <w:t>Wyznaczanie jądrowego estymatora gęstości (estymacja mody)</w:t>
            </w:r>
          </w:p>
        </w:tc>
        <w:tc>
          <w:tcPr>
            <w:tcW w:w="2000" w:type="dxa"/>
          </w:tcPr>
          <w:p w14:paraId="18D5C2C2" w14:textId="77777777" w:rsidR="005F7517" w:rsidRDefault="00927BF8">
            <w:pPr>
              <w:pStyle w:val="Compact"/>
            </w:pPr>
            <w:r>
              <w:t>stats</w:t>
            </w:r>
          </w:p>
        </w:tc>
      </w:tr>
      <w:tr w:rsidR="005F7517" w14:paraId="1D44026A" w14:textId="77777777" w:rsidTr="00454CC7">
        <w:tc>
          <w:tcPr>
            <w:tcW w:w="2400" w:type="dxa"/>
          </w:tcPr>
          <w:p w14:paraId="3B5A9D6D" w14:textId="77777777" w:rsidR="005F7517" w:rsidRDefault="00927BF8">
            <w:pPr>
              <w:pStyle w:val="Compact"/>
            </w:pPr>
            <w:r>
              <w:t>shapiro.test()</w:t>
            </w:r>
          </w:p>
        </w:tc>
        <w:tc>
          <w:tcPr>
            <w:tcW w:w="5200" w:type="dxa"/>
          </w:tcPr>
          <w:p w14:paraId="1E5622C9" w14:textId="77777777" w:rsidR="005F7517" w:rsidRDefault="00927BF8">
            <w:pPr>
              <w:pStyle w:val="Compact"/>
            </w:pPr>
            <w:r>
              <w:t>Weryfikacja hipotezy o normalności rozkładu testem Shapiro-Wilka</w:t>
            </w:r>
          </w:p>
        </w:tc>
        <w:tc>
          <w:tcPr>
            <w:tcW w:w="2000" w:type="dxa"/>
          </w:tcPr>
          <w:p w14:paraId="698137BB" w14:textId="77777777" w:rsidR="005F7517" w:rsidRDefault="00927BF8">
            <w:pPr>
              <w:pStyle w:val="Compact"/>
            </w:pPr>
            <w:r>
              <w:t>stats</w:t>
            </w:r>
          </w:p>
        </w:tc>
      </w:tr>
      <w:tr w:rsidR="005F7517" w14:paraId="4FDC9E8B" w14:textId="77777777" w:rsidTr="00454CC7">
        <w:tc>
          <w:tcPr>
            <w:tcW w:w="2400" w:type="dxa"/>
          </w:tcPr>
          <w:p w14:paraId="551D4B30" w14:textId="77777777" w:rsidR="005F7517" w:rsidRDefault="00927BF8">
            <w:pPr>
              <w:pStyle w:val="Compact"/>
            </w:pPr>
            <w:r>
              <w:t>cor.test()</w:t>
            </w:r>
          </w:p>
        </w:tc>
        <w:tc>
          <w:tcPr>
            <w:tcW w:w="5200" w:type="dxa"/>
          </w:tcPr>
          <w:p w14:paraId="5FDA507E" w14:textId="77777777" w:rsidR="005F7517" w:rsidRDefault="00927BF8">
            <w:pPr>
              <w:pStyle w:val="Compact"/>
            </w:pPr>
            <w:r>
              <w:t>Weryfikacja istotności współczynnika korelacji Pearsona / Spearmana</w:t>
            </w:r>
          </w:p>
        </w:tc>
        <w:tc>
          <w:tcPr>
            <w:tcW w:w="2000" w:type="dxa"/>
          </w:tcPr>
          <w:p w14:paraId="554EECBB" w14:textId="77777777" w:rsidR="005F7517" w:rsidRDefault="00927BF8">
            <w:pPr>
              <w:pStyle w:val="Compact"/>
            </w:pPr>
            <w:r>
              <w:t>stats</w:t>
            </w:r>
          </w:p>
        </w:tc>
      </w:tr>
      <w:tr w:rsidR="005F7517" w14:paraId="771B4612" w14:textId="77777777" w:rsidTr="00454CC7">
        <w:tc>
          <w:tcPr>
            <w:tcW w:w="2400" w:type="dxa"/>
          </w:tcPr>
          <w:p w14:paraId="5DBB27D1" w14:textId="77777777" w:rsidR="005F7517" w:rsidRDefault="00927BF8">
            <w:pPr>
              <w:pStyle w:val="Compact"/>
            </w:pPr>
            <w:r>
              <w:t>var.test()</w:t>
            </w:r>
          </w:p>
        </w:tc>
        <w:tc>
          <w:tcPr>
            <w:tcW w:w="5200" w:type="dxa"/>
          </w:tcPr>
          <w:p w14:paraId="6FF35749" w14:textId="77777777" w:rsidR="005F7517" w:rsidRDefault="00927BF8">
            <w:pPr>
              <w:pStyle w:val="Compact"/>
            </w:pPr>
            <w:r>
              <w:t>Testowanie hipotezy o równości wariancji testem F Fishera-Snedecora</w:t>
            </w:r>
          </w:p>
        </w:tc>
        <w:tc>
          <w:tcPr>
            <w:tcW w:w="2000" w:type="dxa"/>
          </w:tcPr>
          <w:p w14:paraId="65688DF8" w14:textId="77777777" w:rsidR="005F7517" w:rsidRDefault="00927BF8">
            <w:pPr>
              <w:pStyle w:val="Compact"/>
            </w:pPr>
            <w:r>
              <w:t>stats</w:t>
            </w:r>
          </w:p>
        </w:tc>
      </w:tr>
      <w:tr w:rsidR="005F7517" w14:paraId="791EB9B4" w14:textId="77777777" w:rsidTr="00454CC7">
        <w:tc>
          <w:tcPr>
            <w:tcW w:w="2400" w:type="dxa"/>
          </w:tcPr>
          <w:p w14:paraId="6C5C1EB7" w14:textId="77777777" w:rsidR="005F7517" w:rsidRDefault="00927BF8">
            <w:pPr>
              <w:pStyle w:val="Compact"/>
            </w:pPr>
            <w:r>
              <w:t>t.test()</w:t>
            </w:r>
          </w:p>
        </w:tc>
        <w:tc>
          <w:tcPr>
            <w:tcW w:w="5200" w:type="dxa"/>
          </w:tcPr>
          <w:p w14:paraId="25134E30" w14:textId="77777777" w:rsidR="005F7517" w:rsidRDefault="00927BF8">
            <w:pPr>
              <w:pStyle w:val="Compact"/>
            </w:pPr>
            <w:r>
              <w:t>Weryfikacja hipotezy o równości średnich testem t-Studenta (Welcha)</w:t>
            </w:r>
          </w:p>
        </w:tc>
        <w:tc>
          <w:tcPr>
            <w:tcW w:w="2000" w:type="dxa"/>
          </w:tcPr>
          <w:p w14:paraId="70AB5D14" w14:textId="77777777" w:rsidR="005F7517" w:rsidRDefault="00927BF8">
            <w:pPr>
              <w:pStyle w:val="Compact"/>
            </w:pPr>
            <w:r>
              <w:t>stats</w:t>
            </w:r>
          </w:p>
        </w:tc>
      </w:tr>
      <w:tr w:rsidR="005F7517" w14:paraId="4B378F45" w14:textId="77777777" w:rsidTr="00454CC7">
        <w:tc>
          <w:tcPr>
            <w:tcW w:w="2400" w:type="dxa"/>
          </w:tcPr>
          <w:p w14:paraId="2AC72EE5" w14:textId="77777777" w:rsidR="005F7517" w:rsidRDefault="00927BF8">
            <w:pPr>
              <w:pStyle w:val="Compact"/>
            </w:pPr>
            <w:r>
              <w:t>lm()</w:t>
            </w:r>
          </w:p>
        </w:tc>
        <w:tc>
          <w:tcPr>
            <w:tcW w:w="5200" w:type="dxa"/>
          </w:tcPr>
          <w:p w14:paraId="365ECE73" w14:textId="77777777" w:rsidR="005F7517" w:rsidRDefault="00927BF8">
            <w:pPr>
              <w:pStyle w:val="Compact"/>
            </w:pPr>
            <w:r>
              <w:t>Dopasowywanie modeli regresji liniowej metodą najmniejszych kwadratów</w:t>
            </w:r>
          </w:p>
        </w:tc>
        <w:tc>
          <w:tcPr>
            <w:tcW w:w="2000" w:type="dxa"/>
          </w:tcPr>
          <w:p w14:paraId="6E22E1A6" w14:textId="77777777" w:rsidR="005F7517" w:rsidRDefault="00927BF8">
            <w:pPr>
              <w:pStyle w:val="Compact"/>
            </w:pPr>
            <w:r>
              <w:t>stats</w:t>
            </w:r>
          </w:p>
        </w:tc>
      </w:tr>
      <w:tr w:rsidR="005F7517" w14:paraId="2247ABED" w14:textId="77777777" w:rsidTr="00454CC7">
        <w:tc>
          <w:tcPr>
            <w:tcW w:w="2400" w:type="dxa"/>
          </w:tcPr>
          <w:p w14:paraId="2D802E8C" w14:textId="77777777" w:rsidR="005F7517" w:rsidRDefault="00927BF8">
            <w:pPr>
              <w:pStyle w:val="Compact"/>
            </w:pPr>
            <w:r>
              <w:t>summary()</w:t>
            </w:r>
          </w:p>
        </w:tc>
        <w:tc>
          <w:tcPr>
            <w:tcW w:w="5200" w:type="dxa"/>
          </w:tcPr>
          <w:p w14:paraId="29867A97" w14:textId="77777777" w:rsidR="005F7517" w:rsidRDefault="00927BF8">
            <w:pPr>
              <w:pStyle w:val="Compact"/>
            </w:pPr>
            <w:r>
              <w:t>Generowanie szczegółowego raportu z modelu regresji (SE, t, R^2, p)</w:t>
            </w:r>
          </w:p>
        </w:tc>
        <w:tc>
          <w:tcPr>
            <w:tcW w:w="2000" w:type="dxa"/>
          </w:tcPr>
          <w:p w14:paraId="2719C282" w14:textId="77777777" w:rsidR="005F7517" w:rsidRDefault="00927BF8">
            <w:pPr>
              <w:pStyle w:val="Compact"/>
            </w:pPr>
            <w:r>
              <w:t>base</w:t>
            </w:r>
          </w:p>
        </w:tc>
      </w:tr>
      <w:tr w:rsidR="005F7517" w14:paraId="5F39A284" w14:textId="77777777" w:rsidTr="00454CC7">
        <w:tc>
          <w:tcPr>
            <w:tcW w:w="2400" w:type="dxa"/>
          </w:tcPr>
          <w:p w14:paraId="329B6D81" w14:textId="77777777" w:rsidR="005F7517" w:rsidRDefault="00927BF8">
            <w:pPr>
              <w:pStyle w:val="Compact"/>
            </w:pPr>
            <w:r>
              <w:t>coef()</w:t>
            </w:r>
          </w:p>
        </w:tc>
        <w:tc>
          <w:tcPr>
            <w:tcW w:w="5200" w:type="dxa"/>
          </w:tcPr>
          <w:p w14:paraId="0FC4AF81" w14:textId="77777777" w:rsidR="005F7517" w:rsidRDefault="00927BF8">
            <w:pPr>
              <w:pStyle w:val="Compact"/>
            </w:pPr>
            <w:r>
              <w:t>Ekstrakcja wektora współczynników kierunkowych z modelu liniowego</w:t>
            </w:r>
          </w:p>
        </w:tc>
        <w:tc>
          <w:tcPr>
            <w:tcW w:w="2000" w:type="dxa"/>
          </w:tcPr>
          <w:p w14:paraId="078D9FD7" w14:textId="77777777" w:rsidR="005F7517" w:rsidRDefault="00927BF8">
            <w:pPr>
              <w:pStyle w:val="Compact"/>
            </w:pPr>
            <w:r>
              <w:t>stats</w:t>
            </w:r>
          </w:p>
        </w:tc>
      </w:tr>
      <w:tr w:rsidR="005F7517" w14:paraId="7DA25701" w14:textId="77777777" w:rsidTr="00454CC7">
        <w:tc>
          <w:tcPr>
            <w:tcW w:w="2400" w:type="dxa"/>
          </w:tcPr>
          <w:p w14:paraId="411C909F" w14:textId="77777777" w:rsidR="005F7517" w:rsidRDefault="00927BF8">
            <w:pPr>
              <w:pStyle w:val="Compact"/>
            </w:pPr>
            <w:r>
              <w:t>pt()</w:t>
            </w:r>
          </w:p>
        </w:tc>
        <w:tc>
          <w:tcPr>
            <w:tcW w:w="5200" w:type="dxa"/>
          </w:tcPr>
          <w:p w14:paraId="7FE50876" w14:textId="77777777" w:rsidR="005F7517" w:rsidRDefault="00927BF8">
            <w:pPr>
              <w:pStyle w:val="Compact"/>
            </w:pPr>
            <w:r>
              <w:t>Obliczanie dystrybuanty teoretycznej rozkładu t-Studenta</w:t>
            </w:r>
          </w:p>
        </w:tc>
        <w:tc>
          <w:tcPr>
            <w:tcW w:w="2000" w:type="dxa"/>
          </w:tcPr>
          <w:p w14:paraId="10829BDE" w14:textId="77777777" w:rsidR="005F7517" w:rsidRDefault="00927BF8">
            <w:pPr>
              <w:pStyle w:val="Compact"/>
            </w:pPr>
            <w:r>
              <w:t>stats</w:t>
            </w:r>
          </w:p>
        </w:tc>
      </w:tr>
      <w:tr w:rsidR="005F7517" w14:paraId="4A2D6DD5" w14:textId="77777777" w:rsidTr="00454CC7">
        <w:tc>
          <w:tcPr>
            <w:tcW w:w="2400" w:type="dxa"/>
          </w:tcPr>
          <w:p w14:paraId="57F0CCE1" w14:textId="77777777" w:rsidR="005F7517" w:rsidRDefault="00927BF8">
            <w:pPr>
              <w:pStyle w:val="Compact"/>
            </w:pPr>
            <w:r>
              <w:t>ggplot()</w:t>
            </w:r>
          </w:p>
        </w:tc>
        <w:tc>
          <w:tcPr>
            <w:tcW w:w="5200" w:type="dxa"/>
          </w:tcPr>
          <w:p w14:paraId="4BF0B5F8" w14:textId="77777777" w:rsidR="005F7517" w:rsidRDefault="00927BF8">
            <w:pPr>
              <w:pStyle w:val="Compact"/>
            </w:pPr>
            <w:r>
              <w:t>Inicjalizacja wykresu opartego na gramatyce grafiki (Grammar of Graphics)</w:t>
            </w:r>
          </w:p>
        </w:tc>
        <w:tc>
          <w:tcPr>
            <w:tcW w:w="2000" w:type="dxa"/>
          </w:tcPr>
          <w:p w14:paraId="6C81C9F3" w14:textId="77777777" w:rsidR="005F7517" w:rsidRDefault="00927BF8">
            <w:pPr>
              <w:pStyle w:val="Compact"/>
            </w:pPr>
            <w:r>
              <w:t>ggplot2</w:t>
            </w:r>
          </w:p>
        </w:tc>
      </w:tr>
      <w:tr w:rsidR="005F7517" w14:paraId="1DA09D34" w14:textId="77777777" w:rsidTr="00454CC7">
        <w:tc>
          <w:tcPr>
            <w:tcW w:w="2400" w:type="dxa"/>
          </w:tcPr>
          <w:p w14:paraId="4BDB5646" w14:textId="77777777" w:rsidR="005F7517" w:rsidRDefault="00927BF8">
            <w:pPr>
              <w:pStyle w:val="Compact"/>
            </w:pPr>
            <w:r>
              <w:t>geom_histogram()</w:t>
            </w:r>
          </w:p>
        </w:tc>
        <w:tc>
          <w:tcPr>
            <w:tcW w:w="5200" w:type="dxa"/>
          </w:tcPr>
          <w:p w14:paraId="3889A9BA" w14:textId="77777777" w:rsidR="005F7517" w:rsidRDefault="00927BF8">
            <w:pPr>
              <w:pStyle w:val="Compact"/>
            </w:pPr>
            <w:r>
              <w:t>Dodawanie warstwy histogramu z podziałem na przedziały klasowe</w:t>
            </w:r>
          </w:p>
        </w:tc>
        <w:tc>
          <w:tcPr>
            <w:tcW w:w="2000" w:type="dxa"/>
          </w:tcPr>
          <w:p w14:paraId="1441066F" w14:textId="77777777" w:rsidR="005F7517" w:rsidRDefault="00927BF8">
            <w:pPr>
              <w:pStyle w:val="Compact"/>
            </w:pPr>
            <w:r>
              <w:t>ggplot2</w:t>
            </w:r>
          </w:p>
        </w:tc>
      </w:tr>
      <w:tr w:rsidR="005F7517" w14:paraId="4484963A" w14:textId="77777777" w:rsidTr="00454CC7">
        <w:tc>
          <w:tcPr>
            <w:tcW w:w="2400" w:type="dxa"/>
          </w:tcPr>
          <w:p w14:paraId="35BB954E" w14:textId="77777777" w:rsidR="005F7517" w:rsidRDefault="00927BF8">
            <w:pPr>
              <w:pStyle w:val="Compact"/>
            </w:pPr>
            <w:r>
              <w:t>geom_density()</w:t>
            </w:r>
          </w:p>
        </w:tc>
        <w:tc>
          <w:tcPr>
            <w:tcW w:w="5200" w:type="dxa"/>
          </w:tcPr>
          <w:p w14:paraId="785B9AC3" w14:textId="77777777" w:rsidR="005F7517" w:rsidRDefault="00927BF8">
            <w:pPr>
              <w:pStyle w:val="Compact"/>
            </w:pPr>
            <w:r>
              <w:t>Dodawanie warstwy gładkiej krzywej estymatora gęstości rozkładu</w:t>
            </w:r>
          </w:p>
        </w:tc>
        <w:tc>
          <w:tcPr>
            <w:tcW w:w="2000" w:type="dxa"/>
          </w:tcPr>
          <w:p w14:paraId="6D4D2B57" w14:textId="77777777" w:rsidR="005F7517" w:rsidRDefault="00927BF8">
            <w:pPr>
              <w:pStyle w:val="Compact"/>
            </w:pPr>
            <w:r>
              <w:t>ggplot2</w:t>
            </w:r>
          </w:p>
        </w:tc>
      </w:tr>
      <w:tr w:rsidR="005F7517" w14:paraId="71691562" w14:textId="77777777" w:rsidTr="00454CC7">
        <w:tc>
          <w:tcPr>
            <w:tcW w:w="2400" w:type="dxa"/>
          </w:tcPr>
          <w:p w14:paraId="2D83FF05" w14:textId="77777777" w:rsidR="005F7517" w:rsidRDefault="00927BF8">
            <w:pPr>
              <w:pStyle w:val="Compact"/>
            </w:pPr>
            <w:r>
              <w:t>geom_boxplot()</w:t>
            </w:r>
          </w:p>
        </w:tc>
        <w:tc>
          <w:tcPr>
            <w:tcW w:w="5200" w:type="dxa"/>
          </w:tcPr>
          <w:p w14:paraId="3BDB3563" w14:textId="77777777" w:rsidR="005F7517" w:rsidRDefault="00927BF8">
            <w:pPr>
              <w:pStyle w:val="Compact"/>
            </w:pPr>
            <w:r>
              <w:t>Tworzenie wykresów pudełkowych (Boxplot) z identyfikacją outlierów</w:t>
            </w:r>
          </w:p>
        </w:tc>
        <w:tc>
          <w:tcPr>
            <w:tcW w:w="2000" w:type="dxa"/>
          </w:tcPr>
          <w:p w14:paraId="639BF73F" w14:textId="77777777" w:rsidR="005F7517" w:rsidRDefault="00927BF8">
            <w:pPr>
              <w:pStyle w:val="Compact"/>
            </w:pPr>
            <w:r>
              <w:t>ggplot2</w:t>
            </w:r>
          </w:p>
        </w:tc>
      </w:tr>
      <w:tr w:rsidR="005F7517" w14:paraId="54360F8F" w14:textId="77777777" w:rsidTr="00454CC7">
        <w:tc>
          <w:tcPr>
            <w:tcW w:w="2400" w:type="dxa"/>
          </w:tcPr>
          <w:p w14:paraId="67664736" w14:textId="77777777" w:rsidR="005F7517" w:rsidRDefault="00927BF8">
            <w:pPr>
              <w:pStyle w:val="Compact"/>
            </w:pPr>
            <w:r>
              <w:t>stat_ecdf()</w:t>
            </w:r>
          </w:p>
        </w:tc>
        <w:tc>
          <w:tcPr>
            <w:tcW w:w="5200" w:type="dxa"/>
          </w:tcPr>
          <w:p w14:paraId="59C6D123" w14:textId="77777777" w:rsidR="005F7517" w:rsidRDefault="00927BF8">
            <w:pPr>
              <w:pStyle w:val="Compact"/>
            </w:pPr>
            <w:r>
              <w:t>Tworzenie schodkowej krzywej dystrybuanty empirycznej (ECDF)</w:t>
            </w:r>
          </w:p>
        </w:tc>
        <w:tc>
          <w:tcPr>
            <w:tcW w:w="2000" w:type="dxa"/>
          </w:tcPr>
          <w:p w14:paraId="3B52027B" w14:textId="77777777" w:rsidR="005F7517" w:rsidRDefault="00927BF8">
            <w:pPr>
              <w:pStyle w:val="Compact"/>
            </w:pPr>
            <w:r>
              <w:t>ggplot2</w:t>
            </w:r>
          </w:p>
        </w:tc>
      </w:tr>
      <w:tr w:rsidR="005F7517" w14:paraId="4082AA4D" w14:textId="77777777" w:rsidTr="00454CC7">
        <w:tc>
          <w:tcPr>
            <w:tcW w:w="2400" w:type="dxa"/>
          </w:tcPr>
          <w:p w14:paraId="38FFC9D9" w14:textId="77777777" w:rsidR="005F7517" w:rsidRDefault="00927BF8">
            <w:pPr>
              <w:pStyle w:val="Compact"/>
            </w:pPr>
            <w:r>
              <w:t>geom_line() / geom_point()</w:t>
            </w:r>
          </w:p>
        </w:tc>
        <w:tc>
          <w:tcPr>
            <w:tcW w:w="5200" w:type="dxa"/>
          </w:tcPr>
          <w:p w14:paraId="47EF6F0F" w14:textId="77777777" w:rsidR="005F7517" w:rsidRDefault="00927BF8">
            <w:pPr>
              <w:pStyle w:val="Compact"/>
            </w:pPr>
            <w:r>
              <w:t>Dodawanie warstw wykresów liniowych i punktowych (szeregi czasowe, rozrzut)</w:t>
            </w:r>
          </w:p>
        </w:tc>
        <w:tc>
          <w:tcPr>
            <w:tcW w:w="2000" w:type="dxa"/>
          </w:tcPr>
          <w:p w14:paraId="47847B80" w14:textId="77777777" w:rsidR="005F7517" w:rsidRDefault="00927BF8">
            <w:pPr>
              <w:pStyle w:val="Compact"/>
            </w:pPr>
            <w:r>
              <w:t>ggplot2</w:t>
            </w:r>
          </w:p>
        </w:tc>
      </w:tr>
      <w:tr w:rsidR="005F7517" w14:paraId="1FE07B65" w14:textId="77777777" w:rsidTr="00454CC7">
        <w:tc>
          <w:tcPr>
            <w:tcW w:w="2400" w:type="dxa"/>
          </w:tcPr>
          <w:p w14:paraId="6FCC2CC7" w14:textId="77777777" w:rsidR="005F7517" w:rsidRDefault="00927BF8">
            <w:pPr>
              <w:pStyle w:val="Compact"/>
            </w:pPr>
            <w:r>
              <w:t>geom_smooth()</w:t>
            </w:r>
          </w:p>
        </w:tc>
        <w:tc>
          <w:tcPr>
            <w:tcW w:w="5200" w:type="dxa"/>
          </w:tcPr>
          <w:p w14:paraId="06DEC236" w14:textId="77777777" w:rsidR="005F7517" w:rsidRDefault="00927BF8">
            <w:pPr>
              <w:pStyle w:val="Compact"/>
            </w:pPr>
            <w:r>
              <w:t>Dopasowywanie i rysowanie wygładzonych linii trendu (LOESS, LM)</w:t>
            </w:r>
          </w:p>
        </w:tc>
        <w:tc>
          <w:tcPr>
            <w:tcW w:w="2000" w:type="dxa"/>
          </w:tcPr>
          <w:p w14:paraId="2ACD4518" w14:textId="77777777" w:rsidR="005F7517" w:rsidRDefault="00927BF8">
            <w:pPr>
              <w:pStyle w:val="Compact"/>
            </w:pPr>
            <w:r>
              <w:t>ggplot2</w:t>
            </w:r>
          </w:p>
        </w:tc>
      </w:tr>
      <w:tr w:rsidR="005F7517" w14:paraId="4A72A33A" w14:textId="77777777" w:rsidTr="00454CC7">
        <w:tc>
          <w:tcPr>
            <w:tcW w:w="2400" w:type="dxa"/>
          </w:tcPr>
          <w:p w14:paraId="01EA84B9" w14:textId="77777777" w:rsidR="005F7517" w:rsidRDefault="00927BF8">
            <w:pPr>
              <w:pStyle w:val="Compact"/>
            </w:pPr>
            <w:r>
              <w:t>geom_vline() / annotate()</w:t>
            </w:r>
          </w:p>
        </w:tc>
        <w:tc>
          <w:tcPr>
            <w:tcW w:w="5200" w:type="dxa"/>
          </w:tcPr>
          <w:p w14:paraId="1CF25512" w14:textId="77777777" w:rsidR="005F7517" w:rsidRDefault="00927BF8">
            <w:pPr>
              <w:pStyle w:val="Compact"/>
            </w:pPr>
            <w:r>
              <w:t>Dodawanie pionowych linii referencyjnych na osi czasu oraz adnotacji</w:t>
            </w:r>
          </w:p>
        </w:tc>
        <w:tc>
          <w:tcPr>
            <w:tcW w:w="2000" w:type="dxa"/>
          </w:tcPr>
          <w:p w14:paraId="17B65F4C" w14:textId="77777777" w:rsidR="005F7517" w:rsidRDefault="00927BF8">
            <w:pPr>
              <w:pStyle w:val="Compact"/>
            </w:pPr>
            <w:r>
              <w:t>ggplot2</w:t>
            </w:r>
          </w:p>
        </w:tc>
      </w:tr>
      <w:tr w:rsidR="005F7517" w14:paraId="0A4997AE" w14:textId="77777777" w:rsidTr="00454CC7">
        <w:tc>
          <w:tcPr>
            <w:tcW w:w="2400" w:type="dxa"/>
          </w:tcPr>
          <w:p w14:paraId="2AECBFE3" w14:textId="77777777" w:rsidR="005F7517" w:rsidRDefault="00927BF8">
            <w:pPr>
              <w:pStyle w:val="Compact"/>
            </w:pPr>
            <w:r>
              <w:t>knitr::kable()</w:t>
            </w:r>
          </w:p>
        </w:tc>
        <w:tc>
          <w:tcPr>
            <w:tcW w:w="5200" w:type="dxa"/>
          </w:tcPr>
          <w:p w14:paraId="578A3CCF" w14:textId="77777777" w:rsidR="005F7517" w:rsidRDefault="00927BF8">
            <w:pPr>
              <w:pStyle w:val="Compact"/>
            </w:pPr>
            <w:r>
              <w:t>Formatowanie ramek danych R do postaci estetycznych tabel w raporcie</w:t>
            </w:r>
          </w:p>
        </w:tc>
        <w:tc>
          <w:tcPr>
            <w:tcW w:w="2000" w:type="dxa"/>
          </w:tcPr>
          <w:p w14:paraId="6D4BA6C4" w14:textId="77777777" w:rsidR="005F7517" w:rsidRDefault="00927BF8">
            <w:pPr>
              <w:pStyle w:val="Compact"/>
            </w:pPr>
            <w:r>
              <w:t>knitr</w:t>
            </w:r>
          </w:p>
        </w:tc>
      </w:tr>
      <w:tr w:rsidR="005F7517" w14:paraId="4D580FCC" w14:textId="77777777" w:rsidTr="00454CC7">
        <w:tc>
          <w:tcPr>
            <w:tcW w:w="2400" w:type="dxa"/>
          </w:tcPr>
          <w:p w14:paraId="444CA608" w14:textId="77777777" w:rsidR="005F7517" w:rsidRDefault="00927BF8">
            <w:pPr>
              <w:pStyle w:val="Compact"/>
            </w:pPr>
            <w:r>
              <w:t>pander::pander()</w:t>
            </w:r>
          </w:p>
        </w:tc>
        <w:tc>
          <w:tcPr>
            <w:tcW w:w="5200" w:type="dxa"/>
          </w:tcPr>
          <w:p w14:paraId="4B8A671C" w14:textId="77777777" w:rsidR="005F7517" w:rsidRDefault="00927BF8">
            <w:pPr>
              <w:pStyle w:val="Compact"/>
            </w:pPr>
            <w:r>
              <w:t>Zaawansowane formatowanie obiektów i wyników testów w raportach knitr</w:t>
            </w:r>
          </w:p>
        </w:tc>
        <w:tc>
          <w:tcPr>
            <w:tcW w:w="2000" w:type="dxa"/>
          </w:tcPr>
          <w:p w14:paraId="17A26DB9" w14:textId="77777777" w:rsidR="005F7517" w:rsidRDefault="00927BF8">
            <w:pPr>
              <w:pStyle w:val="Compact"/>
            </w:pPr>
            <w:r>
              <w:t>pander</w:t>
            </w:r>
          </w:p>
        </w:tc>
      </w:tr>
    </w:tbl>
    <w:p w14:paraId="4662EAC9" w14:textId="77777777" w:rsidR="005F7517" w:rsidRDefault="00927BF8">
      <w:r>
        <w:br w:type="page"/>
      </w:r>
    </w:p>
    <w:p w14:paraId="5BD60D84" w14:textId="77777777" w:rsidR="005F7517" w:rsidRDefault="00927BF8">
      <w:pPr>
        <w:pStyle w:val="Nagwek1"/>
      </w:pPr>
      <w:bookmarkStart w:id="33" w:name="podsumowanie-i-wnioski-końcowe"/>
      <w:bookmarkStart w:id="34" w:name="_Toc240407092"/>
      <w:bookmarkEnd w:id="31"/>
      <w:r>
        <w:t>Podsumowanie i wnioski końcowe</w:t>
      </w:r>
      <w:bookmarkEnd w:id="34"/>
    </w:p>
    <w:p w14:paraId="3DD15B64" w14:textId="77777777" w:rsidR="005F7517" w:rsidRDefault="00927BF8">
      <w:pPr>
        <w:pStyle w:val="FirstParagraph"/>
      </w:pPr>
      <w:r>
        <w:t>Przeprowadzona analiza statystyczna pozwoliła na szczegółowe zbadanie dynamiki obrotów węglem i koksem w polskich portach morskich w latach 2010–2026. Zastosowanie różnorodnych miar statystyki opisowej, technik wizualizacji oraz parametrycznych i nieparametrycznych testów weryfikacji hipotez umożliwiło precyzyjne uchwycenie skali i charakteru wstrząsu geopolitycznego oraz procesu późniejszej stabilizacji rynku. Wszystkie etapy badania zrealizowano w środowisku obliczeniowym R, zapewniając pełną powtarzalnoś</w:t>
      </w:r>
      <w:r>
        <w:t>ć i przejrzystość uzyskanych rezultatów.</w:t>
      </w:r>
      <w:bookmarkEnd w:id="33"/>
    </w:p>
    <w:sectPr w:rsidR="005F7517">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0B01F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86EFD8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68EA2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37402485">
    <w:abstractNumId w:val="0"/>
  </w:num>
  <w:num w:numId="2" w16cid:durableId="2057927493">
    <w:abstractNumId w:val="1"/>
  </w:num>
  <w:num w:numId="3" w16cid:durableId="13627790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4508850">
    <w:abstractNumId w:val="1"/>
  </w:num>
  <w:num w:numId="5" w16cid:durableId="6756145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99970593">
    <w:abstractNumId w:val="1"/>
  </w:num>
  <w:num w:numId="7" w16cid:durableId="370417997">
    <w:abstractNumId w:val="1"/>
  </w:num>
  <w:num w:numId="8" w16cid:durableId="1568689316">
    <w:abstractNumId w:val="1"/>
  </w:num>
  <w:num w:numId="9" w16cid:durableId="539392680">
    <w:abstractNumId w:val="1"/>
  </w:num>
  <w:num w:numId="10" w16cid:durableId="50811489">
    <w:abstractNumId w:val="1"/>
  </w:num>
  <w:num w:numId="11" w16cid:durableId="865560812">
    <w:abstractNumId w:val="1"/>
  </w:num>
  <w:num w:numId="12" w16cid:durableId="1718239806">
    <w:abstractNumId w:val="1"/>
  </w:num>
  <w:num w:numId="13" w16cid:durableId="1472212904">
    <w:abstractNumId w:val="1"/>
  </w:num>
  <w:num w:numId="14" w16cid:durableId="2109420174">
    <w:abstractNumId w:val="1"/>
  </w:num>
  <w:num w:numId="15" w16cid:durableId="1929775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5F7517"/>
    <w:rsid w:val="00454CC7"/>
    <w:rsid w:val="005F7517"/>
    <w:rsid w:val="00927BF8"/>
    <w:rsid w:val="00B95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31AEB"/>
  <w15:docId w15:val="{4A8A3070-44AB-4321-9F04-F31899635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ny">
    <w:name w:val="Normal"/>
    <w:qFormat/>
  </w:style>
  <w:style w:type="paragraph" w:styleId="Nagwek1">
    <w:name w:val="heading 1"/>
    <w:basedOn w:val="Normalny"/>
    <w:next w:val="Tekstpodstawowy"/>
    <w:link w:val="Nagwek1Znak"/>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Tekstpodstawowy"/>
    <w:link w:val="Nagwek2Znak"/>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Tekstpodstawowy"/>
    <w:link w:val="Nagwek3Znak"/>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Tekstpodstawowy"/>
    <w:link w:val="Nagwek4Znak"/>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Tekstpodstawowy"/>
    <w:link w:val="Nagwek5Znak"/>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Tekstpodstawowy"/>
    <w:link w:val="Nagwek6Znak"/>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Tekstpodstawowy"/>
    <w:link w:val="Nagwek7Znak"/>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Tekstpodstawowy"/>
    <w:link w:val="Nagwek8Znak"/>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Tekstpodstawowy"/>
    <w:link w:val="Nagwek9Znak"/>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qFormat/>
    <w:pPr>
      <w:spacing w:before="180" w:after="180"/>
    </w:pPr>
  </w:style>
  <w:style w:type="paragraph" w:customStyle="1" w:styleId="FirstParagraph">
    <w:name w:val="First Paragraph"/>
    <w:basedOn w:val="Tekstpodstawowy"/>
    <w:next w:val="Tekstpodstawowy"/>
    <w:qFormat/>
  </w:style>
  <w:style w:type="paragraph" w:customStyle="1" w:styleId="Compact">
    <w:name w:val="Compact"/>
    <w:basedOn w:val="Tekstpodstawowy"/>
    <w:qFormat/>
    <w:pPr>
      <w:spacing w:before="36" w:after="36"/>
    </w:pPr>
  </w:style>
  <w:style w:type="paragraph" w:styleId="Tytu">
    <w:name w:val="Title"/>
    <w:basedOn w:val="Normalny"/>
    <w:next w:val="Tekstpodstawowy"/>
    <w:link w:val="TytuZnak"/>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A10FD9"/>
    <w:rPr>
      <w:rFonts w:asciiTheme="majorHAnsi" w:eastAsiaTheme="majorEastAsia" w:hAnsiTheme="majorHAnsi" w:cstheme="majorBidi"/>
      <w:spacing w:val="-10"/>
      <w:kern w:val="28"/>
      <w:sz w:val="56"/>
      <w:szCs w:val="56"/>
    </w:rPr>
  </w:style>
  <w:style w:type="paragraph" w:styleId="Podtytu">
    <w:name w:val="Subtitle"/>
    <w:basedOn w:val="Tytu"/>
    <w:next w:val="Tekstpodstawowy"/>
    <w:link w:val="PodtytuZnak"/>
    <w:uiPriority w:val="11"/>
    <w:qFormat/>
    <w:rsid w:val="00A10FD9"/>
    <w:pPr>
      <w:numPr>
        <w:ilvl w:val="1"/>
      </w:numPr>
    </w:pPr>
    <w:rPr>
      <w:spacing w:val="15"/>
      <w:sz w:val="28"/>
      <w:szCs w:val="28"/>
    </w:rPr>
  </w:style>
  <w:style w:type="character" w:customStyle="1" w:styleId="PodtytuZnak">
    <w:name w:val="Podtytuł Znak"/>
    <w:basedOn w:val="Domylnaczcionkaakapitu"/>
    <w:link w:val="Podtytu"/>
    <w:uiPriority w:val="11"/>
    <w:rsid w:val="00A10FD9"/>
    <w:rPr>
      <w:rFonts w:eastAsiaTheme="majorEastAsia" w:cstheme="majorBidi"/>
      <w:color w:val="595959" w:themeColor="text1" w:themeTint="A6"/>
      <w:spacing w:val="15"/>
      <w:sz w:val="28"/>
      <w:szCs w:val="28"/>
    </w:rPr>
  </w:style>
  <w:style w:type="paragraph" w:customStyle="1" w:styleId="Author">
    <w:name w:val="Author"/>
    <w:next w:val="Tekstpodstawowy"/>
    <w:qFormat/>
    <w:pPr>
      <w:keepNext/>
      <w:keepLines/>
      <w:jc w:val="center"/>
    </w:pPr>
  </w:style>
  <w:style w:type="paragraph" w:styleId="Data">
    <w:name w:val="Date"/>
    <w:next w:val="Tekstpodstawowy"/>
    <w:qFormat/>
    <w:pPr>
      <w:keepNext/>
      <w:keepLines/>
      <w:jc w:val="center"/>
    </w:pPr>
  </w:style>
  <w:style w:type="paragraph" w:customStyle="1" w:styleId="AbstractTitle">
    <w:name w:val="Abstract Title"/>
    <w:basedOn w:val="Normalny"/>
    <w:next w:val="Abstract"/>
    <w:qFormat/>
    <w:pPr>
      <w:keepNext/>
      <w:keepLines/>
      <w:spacing w:before="300" w:after="0"/>
      <w:jc w:val="center"/>
    </w:pPr>
    <w:rPr>
      <w:b/>
      <w:sz w:val="20"/>
      <w:szCs w:val="20"/>
    </w:rPr>
  </w:style>
  <w:style w:type="paragraph" w:customStyle="1" w:styleId="Abstract">
    <w:name w:val="Abstract"/>
    <w:basedOn w:val="Normalny"/>
    <w:next w:val="Tekstpodstawowy"/>
    <w:qFormat/>
    <w:pPr>
      <w:keepNext/>
      <w:keepLines/>
      <w:spacing w:before="100" w:after="300"/>
    </w:pPr>
    <w:rPr>
      <w:sz w:val="20"/>
      <w:szCs w:val="20"/>
    </w:rPr>
  </w:style>
  <w:style w:type="paragraph" w:styleId="Bibliografia">
    <w:name w:val="Bibliography"/>
    <w:basedOn w:val="Normalny"/>
    <w:qFormat/>
  </w:style>
  <w:style w:type="character" w:customStyle="1" w:styleId="Nagwek1Znak">
    <w:name w:val="Nagłówek 1 Znak"/>
    <w:basedOn w:val="Domylnaczcionkaakapitu"/>
    <w:link w:val="Nagwek1"/>
    <w:uiPriority w:val="9"/>
    <w:rsid w:val="00A10FD9"/>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A10FD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A10FD9"/>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A10FD9"/>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A10FD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10FD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10FD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10FD9"/>
    <w:rPr>
      <w:rFonts w:eastAsiaTheme="majorEastAsia" w:cstheme="majorBidi"/>
      <w:color w:val="272727" w:themeColor="text1" w:themeTint="D8"/>
    </w:rPr>
  </w:style>
  <w:style w:type="paragraph" w:styleId="Tekstblokowy">
    <w:name w:val="Block Text"/>
    <w:basedOn w:val="Tekstpodstawowy"/>
    <w:next w:val="Tekstpodstawowy"/>
    <w:uiPriority w:val="9"/>
    <w:unhideWhenUsed/>
    <w:qFormat/>
    <w:pPr>
      <w:spacing w:before="100" w:after="100"/>
      <w:ind w:left="480" w:right="480"/>
    </w:pPr>
  </w:style>
  <w:style w:type="paragraph" w:styleId="Tekstprzypisudolnego">
    <w:name w:val="footnote text"/>
    <w:basedOn w:val="Normalny"/>
    <w:uiPriority w:val="9"/>
    <w:unhideWhenUsed/>
    <w:qFormat/>
  </w:style>
  <w:style w:type="paragraph" w:customStyle="1" w:styleId="FootnoteBlockText">
    <w:name w:val="Footnote Block Text"/>
    <w:basedOn w:val="Tekstprzypisudolnego"/>
    <w:next w:val="Tekstprzypisudolnego"/>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ny"/>
    <w:next w:val="Definition"/>
    <w:pPr>
      <w:keepNext/>
      <w:keepLines/>
      <w:spacing w:after="0"/>
    </w:pPr>
    <w:rPr>
      <w:b/>
    </w:rPr>
  </w:style>
  <w:style w:type="paragraph" w:customStyle="1" w:styleId="Definition">
    <w:name w:val="Definition"/>
    <w:basedOn w:val="Normalny"/>
  </w:style>
  <w:style w:type="paragraph" w:styleId="Legenda">
    <w:name w:val="caption"/>
    <w:basedOn w:val="Normalny"/>
    <w:link w:val="LegendaZnak"/>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ny"/>
  </w:style>
  <w:style w:type="paragraph" w:customStyle="1" w:styleId="CaptionedFigure">
    <w:name w:val="Captioned Figure"/>
    <w:basedOn w:val="Figure"/>
    <w:pPr>
      <w:keepNext/>
    </w:pPr>
  </w:style>
  <w:style w:type="character" w:customStyle="1" w:styleId="LegendaZnak">
    <w:name w:val="Legenda Znak"/>
    <w:basedOn w:val="Domylnaczcionkaakapitu"/>
    <w:link w:val="Legenda"/>
  </w:style>
  <w:style w:type="character" w:customStyle="1" w:styleId="VerbatimChar">
    <w:name w:val="Verbatim Char"/>
    <w:basedOn w:val="LegendaZnak"/>
    <w:link w:val="SourceCode"/>
    <w:rPr>
      <w:rFonts w:ascii="Consolas" w:hAnsi="Consolas"/>
      <w:sz w:val="22"/>
    </w:rPr>
  </w:style>
  <w:style w:type="character" w:customStyle="1" w:styleId="SectionNumber">
    <w:name w:val="Section Number"/>
    <w:basedOn w:val="LegendaZnak"/>
  </w:style>
  <w:style w:type="character" w:styleId="Odwoanieprzypisudolnego">
    <w:name w:val="footnote reference"/>
    <w:basedOn w:val="LegendaZnak"/>
    <w:rPr>
      <w:vertAlign w:val="superscript"/>
    </w:rPr>
  </w:style>
  <w:style w:type="character" w:styleId="Hipercze">
    <w:name w:val="Hyperlink"/>
    <w:basedOn w:val="LegendaZnak"/>
    <w:uiPriority w:val="99"/>
    <w:rPr>
      <w:color w:val="156082" w:themeColor="accent1"/>
    </w:rPr>
  </w:style>
  <w:style w:type="paragraph" w:styleId="Nagwekspisutreci">
    <w:name w:val="TOC Heading"/>
    <w:basedOn w:val="Nagwek1"/>
    <w:next w:val="Tekstpodstawowy"/>
    <w:uiPriority w:val="39"/>
    <w:unhideWhenUsed/>
    <w:qFormat/>
    <w:pPr>
      <w:spacing w:before="240" w:line="259" w:lineRule="auto"/>
      <w:outlineLvl w:val="9"/>
    </w:pPr>
  </w:style>
  <w:style w:type="paragraph" w:customStyle="1" w:styleId="SourceCode">
    <w:name w:val="Source Code"/>
    <w:basedOn w:val="Normalny"/>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Spistreci1">
    <w:name w:val="toc 1"/>
    <w:basedOn w:val="Normalny"/>
    <w:next w:val="Normalny"/>
    <w:autoRedefine/>
    <w:uiPriority w:val="39"/>
    <w:rsid w:val="00454CC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bazydanych.new.stat.gov.pl/biuletyn-statystyczny-dlugie-szeregi"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5566</Words>
  <Characters>33396</Characters>
  <Application>Microsoft Office Word</Application>
  <DocSecurity>0</DocSecurity>
  <Lines>278</Lines>
  <Paragraphs>77</Paragraphs>
  <ScaleCrop>false</ScaleCrop>
  <Company/>
  <LinksUpToDate>false</LinksUpToDate>
  <CharactersWithSpaces>38885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WYDZIAŁ MATEMATYKI I FIZYKI STOSOWANEJ</dc:title>
  <dc:creator>Dominika Zięba</dc:creator>
  <cp:keywords/>
  <cp:lastModifiedBy>Rafal Bazan</cp:lastModifiedBy>
  <cp:revision>2</cp:revision>
  <dcterms:created xsi:type="dcterms:W3CDTF">2026-09-15T21:23:00Z</dcterms:created>
  <dcterms:modified xsi:type="dcterms:W3CDTF">2026-09-15T21:24:00Z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Rzeszów 2026</vt:lpwstr>
  </property>
  <property fmtid="{D5CDD505-2E9C-101B-9397-08002B2CF9AE}" pid="3" name="output">
    <vt:lpwstr/>
  </property>
  <property fmtid="{D5CDD505-2E9C-101B-9397-08002B2CF9AE}" pid="4" name="subtitle">
    <vt:lpwstr>Projekt: Wpływ kryzysu energetycznego na dynamikę przeładunków węgla i koksu w polskich portach morskich w latach 2010–2026: Statystyczna analiza danych</vt:lpwstr>
  </property>
  <property fmtid="{D5CDD505-2E9C-101B-9397-08002B2CF9AE}" pid="5" name="toc-title">
    <vt:lpwstr>Spis treści</vt:lpwstr>
  </property>
</Properties>
</file>