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E277" w14:textId="703D5634" w:rsidR="003069B4" w:rsidRPr="007C2676" w:rsidRDefault="00F377A4" w:rsidP="007C2676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PERANCANGAN STRATEGI TATA KELOLA TEKNOLOGI INFORMASI BERBASIS COBIT 2019 UNTUK MENDUKUNG TRANSFORMASI DIGITAL PT PETROKIMIA GRESIK</w:t>
      </w:r>
      <w:r w:rsidRPr="007C2676">
        <w:rPr>
          <w:rFonts w:ascii="Times New Roman" w:hAnsi="Times New Roman" w:cs="Times New Roman"/>
          <w:color w:val="auto"/>
        </w:rPr>
        <w:br/>
        <w:t>PT PETROKIMIA GRESIK</w:t>
      </w:r>
    </w:p>
    <w:p w14:paraId="68F8C386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1. Ringkasan Eksekutif</w:t>
      </w:r>
    </w:p>
    <w:p w14:paraId="2A71D2C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Dokumen ini menyusun strategi Teknologi Informasi PT Petrokimia Gresik (PG) dengan mengacu pada kerangka tata kelola COBIT 2019.</w:t>
      </w:r>
    </w:p>
    <w:p w14:paraId="6BB01A1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Analisis menunjukkan tingkat </w:t>
      </w:r>
      <w:r w:rsidRPr="007C2676">
        <w:rPr>
          <w:rFonts w:ascii="Times New Roman" w:hAnsi="Times New Roman" w:cs="Times New Roman"/>
        </w:rPr>
        <w:t>kematangan tata kelola TI PG berada pada Level 3–4, namun terdapat gap signifikan pada integrasi data,</w:t>
      </w:r>
    </w:p>
    <w:p w14:paraId="5DE609F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informasi, modernisasi aplikasi, dan manajemen portofolio TI. Strategi ini fokus pada penguatan governance, digitalisasi,</w:t>
      </w:r>
    </w:p>
    <w:p w14:paraId="5D18733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industri, dan</w:t>
      </w:r>
      <w:r w:rsidRPr="007C2676">
        <w:rPr>
          <w:rFonts w:ascii="Times New Roman" w:hAnsi="Times New Roman" w:cs="Times New Roman"/>
        </w:rPr>
        <w:t xml:space="preserve"> transformasi TI untuk mendukung industri pupuk nasional.</w:t>
      </w:r>
    </w:p>
    <w:p w14:paraId="0E09BB5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Dokumen ini menyusun strategi Teknologi Informasi PT Petrokimia Gresik (PG) dengan mengacu pada kerangka tata kelola COBIT 2019.</w:t>
      </w:r>
    </w:p>
    <w:p w14:paraId="2664935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Analisis menunjukkan tingkat kematangan tata kelola TI PG berada pada</w:t>
      </w:r>
      <w:r w:rsidRPr="007C2676">
        <w:rPr>
          <w:rFonts w:ascii="Times New Roman" w:hAnsi="Times New Roman" w:cs="Times New Roman"/>
        </w:rPr>
        <w:t xml:space="preserve"> Level 3–4, namun terdapat gap signifikan pada integrasi data,</w:t>
      </w:r>
    </w:p>
    <w:p w14:paraId="7B75DDFA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informasi, modernisasi aplikasi, dan manajemen portofolio TI. Strategi ini fokus pada penguatan governance, digitalisasi,</w:t>
      </w:r>
    </w:p>
    <w:p w14:paraId="73D1AA7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industri, dan transformasi TI untuk mendukung industr</w:t>
      </w:r>
      <w:r w:rsidRPr="007C2676">
        <w:rPr>
          <w:rFonts w:ascii="Times New Roman" w:hAnsi="Times New Roman" w:cs="Times New Roman"/>
        </w:rPr>
        <w:t>i pupuk nasional.</w:t>
      </w:r>
    </w:p>
    <w:p w14:paraId="4D849D2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Dokumen ini menyusun strategi Teknologi Informasi PT Petrokimia Gresik (PG) dengan mengacu pada kerangka tata kelola COBIT 2019.</w:t>
      </w:r>
    </w:p>
    <w:p w14:paraId="738E7F04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Analisis menunjukkan tingkat kematangan tata kelola TI PG berada pada Level 3–4, namun terdapat gap signifika</w:t>
      </w:r>
      <w:r w:rsidRPr="007C2676">
        <w:rPr>
          <w:rFonts w:ascii="Times New Roman" w:hAnsi="Times New Roman" w:cs="Times New Roman"/>
        </w:rPr>
        <w:t>n pada integrasi data,</w:t>
      </w:r>
    </w:p>
    <w:p w14:paraId="3CABBB1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informasi, modernisasi aplikasi, dan manajemen portofolio TI. Strategi ini fokus pada penguatan governance, digitalisasi,</w:t>
      </w:r>
    </w:p>
    <w:p w14:paraId="2334ED9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industri, dan transformasi TI untuk mendukung industri pupuk nasional.</w:t>
      </w:r>
    </w:p>
    <w:p w14:paraId="408AC4D1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2. Latar Belakang &amp; Tu</w:t>
      </w:r>
      <w:r w:rsidRPr="007C2676">
        <w:rPr>
          <w:rFonts w:ascii="Times New Roman" w:hAnsi="Times New Roman" w:cs="Times New Roman"/>
          <w:color w:val="auto"/>
        </w:rPr>
        <w:t>juan</w:t>
      </w:r>
    </w:p>
    <w:p w14:paraId="26AD6A6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PT Petrokimia Gresik merupakan industri pupuk terbesar di Indonesia. Sebagai BUMN strategis, perusahaan membutuhkan tata kelola TI </w:t>
      </w:r>
    </w:p>
    <w:p w14:paraId="65D7E18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yang kuat dan modern agar mampu mendukung operasi yang sangat kompleks seperti produksi pabrik, supply chain, kontrol k</w:t>
      </w:r>
      <w:r w:rsidRPr="007C2676">
        <w:rPr>
          <w:rFonts w:ascii="Times New Roman" w:hAnsi="Times New Roman" w:cs="Times New Roman"/>
        </w:rPr>
        <w:t xml:space="preserve">ualitas, </w:t>
      </w:r>
    </w:p>
    <w:p w14:paraId="25F32E3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pengelolaan aset, dan keuangan. Dokumen ini bertujuan menyusun strategi TI yang selaras dengan strategi bisnis, mengidentifikasi gap,</w:t>
      </w:r>
    </w:p>
    <w:p w14:paraId="7D41B73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menentukan roadmap, serta menghasilkan portofolio inisiatif dalam 3 tahun ke depan.</w:t>
      </w:r>
    </w:p>
    <w:p w14:paraId="5D1ED01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PT Petrokimia Gresik merupak</w:t>
      </w:r>
      <w:r w:rsidRPr="007C2676">
        <w:rPr>
          <w:rFonts w:ascii="Times New Roman" w:hAnsi="Times New Roman" w:cs="Times New Roman"/>
        </w:rPr>
        <w:t xml:space="preserve">an industri pupuk terbesar di Indonesia. Sebagai BUMN strategis, perusahaan membutuhkan tata kelola TI </w:t>
      </w:r>
    </w:p>
    <w:p w14:paraId="0222AA4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yang kuat dan modern agar mampu mendukung operasi yang sangat kompleks seperti produksi pabrik, supply chain, kontrol kualitas, </w:t>
      </w:r>
    </w:p>
    <w:p w14:paraId="06EA183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pengelolaan aset, dan k</w:t>
      </w:r>
      <w:r w:rsidRPr="007C2676">
        <w:rPr>
          <w:rFonts w:ascii="Times New Roman" w:hAnsi="Times New Roman" w:cs="Times New Roman"/>
        </w:rPr>
        <w:t>euangan. Dokumen ini bertujuan menyusun strategi TI yang selaras dengan strategi bisnis, mengidentifikasi gap,</w:t>
      </w:r>
    </w:p>
    <w:p w14:paraId="5DAED97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menentukan roadmap, serta menghasilkan portofolio inisiatif dalam 3 tahun ke depan.</w:t>
      </w:r>
    </w:p>
    <w:p w14:paraId="17D93D2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PT Petrokimia Gresik merupakan industri pupuk terbesar di Ind</w:t>
      </w:r>
      <w:r w:rsidRPr="007C2676">
        <w:rPr>
          <w:rFonts w:ascii="Times New Roman" w:hAnsi="Times New Roman" w:cs="Times New Roman"/>
        </w:rPr>
        <w:t xml:space="preserve">onesia. Sebagai BUMN strategis, perusahaan membutuhkan tata kelola TI </w:t>
      </w:r>
    </w:p>
    <w:p w14:paraId="040CD68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yang kuat dan modern agar mampu mendukung operasi yang sangat kompleks seperti produksi pabrik, supply chain, kontrol kualitas, </w:t>
      </w:r>
    </w:p>
    <w:p w14:paraId="7B8F5B4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pengelolaan aset, dan keuangan. Dokumen ini bertujuan me</w:t>
      </w:r>
      <w:r w:rsidRPr="007C2676">
        <w:rPr>
          <w:rFonts w:ascii="Times New Roman" w:hAnsi="Times New Roman" w:cs="Times New Roman"/>
        </w:rPr>
        <w:t>nyusun strategi TI yang selaras dengan strategi bisnis, mengidentifikasi gap,</w:t>
      </w:r>
    </w:p>
    <w:p w14:paraId="45AC8E6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menentukan roadmap, serta menghasilkan portofolio inisiatif dalam 3 tahun ke depan.</w:t>
      </w:r>
    </w:p>
    <w:p w14:paraId="07DFCB7B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3. Profil Organisasi &amp; Strategi Bisnis</w:t>
      </w:r>
    </w:p>
    <w:p w14:paraId="2F8DDAC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Profil organisasi mencakup struktur perusahaan, visi-mi</w:t>
      </w:r>
      <w:r w:rsidRPr="007C2676">
        <w:rPr>
          <w:rFonts w:ascii="Times New Roman" w:hAnsi="Times New Roman" w:cs="Times New Roman"/>
        </w:rPr>
        <w:t xml:space="preserve">si, unit bisnis inti, serta arah strategis perusahaan. Strategi bisnis PG </w:t>
      </w:r>
    </w:p>
    <w:p w14:paraId="700F5E8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berfokus pada efisiensi produksi, integrasi supply chain, peningkatan kapasitas riset kimia, serta transformasi digital. TI menjadi </w:t>
      </w:r>
    </w:p>
    <w:p w14:paraId="18AB725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pendorong utama untuk mencapai operational excellence dan digital manufaktur.</w:t>
      </w:r>
    </w:p>
    <w:p w14:paraId="044F082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Profil organisasi mencakup struktur perusahaa</w:t>
      </w:r>
      <w:r w:rsidRPr="007C2676">
        <w:rPr>
          <w:rFonts w:ascii="Times New Roman" w:hAnsi="Times New Roman" w:cs="Times New Roman"/>
        </w:rPr>
        <w:t xml:space="preserve">n, visi-misi, unit bisnis inti, serta arah strategis perusahaan. Strategi bisnis PG </w:t>
      </w:r>
    </w:p>
    <w:p w14:paraId="66F91DC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berfokus pada efisiensi produksi, integrasi supply chain, peningkatan kapasitas riset kimia, serta transformasi digital. TI menjadi </w:t>
      </w:r>
    </w:p>
    <w:p w14:paraId="7DF94CE9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pendorong utama untuk mencapai operati</w:t>
      </w:r>
      <w:r w:rsidRPr="007C2676">
        <w:rPr>
          <w:rFonts w:ascii="Times New Roman" w:hAnsi="Times New Roman" w:cs="Times New Roman"/>
        </w:rPr>
        <w:t>onal excellence dan digital manufaktur.</w:t>
      </w:r>
    </w:p>
    <w:p w14:paraId="6008881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Profil organisasi mencakup struktur perusahaan, visi-misi, unit bisnis inti, serta arah strategis perusahaan. Strategi bisnis PG </w:t>
      </w:r>
    </w:p>
    <w:p w14:paraId="425AE24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berfokus pada efisiensi produksi, integrasi supply chain, peningkatan kapasitas riset </w:t>
      </w:r>
      <w:r w:rsidRPr="007C2676">
        <w:rPr>
          <w:rFonts w:ascii="Times New Roman" w:hAnsi="Times New Roman" w:cs="Times New Roman"/>
        </w:rPr>
        <w:t xml:space="preserve">kimia, serta transformasi digital. TI menjadi </w:t>
      </w:r>
    </w:p>
    <w:p w14:paraId="33A8AA6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pendorong utama untuk mencapai operational excellence dan digital manufaktur.</w:t>
      </w:r>
    </w:p>
    <w:p w14:paraId="689DB949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Profil organisasi mencakup struktur perusahaan, visi-misi, unit bisnis inti, serta arah strategis perusahaan. Strategi bisnis PG </w:t>
      </w:r>
    </w:p>
    <w:p w14:paraId="05DA022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b</w:t>
      </w:r>
      <w:r w:rsidRPr="007C2676">
        <w:rPr>
          <w:rFonts w:ascii="Times New Roman" w:hAnsi="Times New Roman" w:cs="Times New Roman"/>
        </w:rPr>
        <w:t xml:space="preserve">erfokus pada efisiensi produksi, integrasi supply chain, peningkatan kapasitas riset kimia, serta transformasi digital. TI menjadi </w:t>
      </w:r>
    </w:p>
    <w:p w14:paraId="1790995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pendorong utama untuk mencapai operational excellence dan digital manufaktur.</w:t>
      </w:r>
    </w:p>
    <w:p w14:paraId="21564611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4. Kondisi As-Is TI</w:t>
      </w:r>
    </w:p>
    <w:p w14:paraId="05CAAFE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Inventarisasi As-Is melipu</w:t>
      </w:r>
      <w:r w:rsidRPr="007C2676">
        <w:rPr>
          <w:rFonts w:ascii="Times New Roman" w:hAnsi="Times New Roman" w:cs="Times New Roman"/>
        </w:rPr>
        <w:t xml:space="preserve">ti aplikasi (SAP, SCADA/DCS, aplikasi pabrik), infrastruktur (data center, jaringan industri, cloud hybrid), </w:t>
      </w:r>
    </w:p>
    <w:p w14:paraId="4BCAED7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keamanan informasi, dan kapabilitas SDM TI. Identifikasi masalah meliputi aplikasi legacy, integrasi data terbatas, rendahnya awareness </w:t>
      </w:r>
    </w:p>
    <w:p w14:paraId="430498B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keamanan,</w:t>
      </w:r>
      <w:r w:rsidRPr="007C2676">
        <w:rPr>
          <w:rFonts w:ascii="Times New Roman" w:hAnsi="Times New Roman" w:cs="Times New Roman"/>
        </w:rPr>
        <w:t xml:space="preserve"> serta belum adanya arsitektur enterprise terpadu.</w:t>
      </w:r>
    </w:p>
    <w:p w14:paraId="22637DF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Inventarisasi As-Is meliputi aplikasi (SAP, SCADA/DCS, aplikasi pabrik), infrastruktur (data center, jaringan industri, cloud hybrid), </w:t>
      </w:r>
    </w:p>
    <w:p w14:paraId="5DE3821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informasi, dan kapabilitas SDM TI. Identifikasi masalah meli</w:t>
      </w:r>
      <w:r w:rsidRPr="007C2676">
        <w:rPr>
          <w:rFonts w:ascii="Times New Roman" w:hAnsi="Times New Roman" w:cs="Times New Roman"/>
        </w:rPr>
        <w:t xml:space="preserve">puti aplikasi legacy, integrasi data terbatas, rendahnya awareness </w:t>
      </w:r>
    </w:p>
    <w:p w14:paraId="7C0333C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keamanan, serta belum adanya arsitektur enterprise terpadu.</w:t>
      </w:r>
    </w:p>
    <w:p w14:paraId="21E7323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Inventarisasi As-Is meliputi aplikasi (SAP, SCADA/DCS, aplikasi pabrik), infrastruktur (data center, jaringan industri, cloud hy</w:t>
      </w:r>
      <w:r w:rsidRPr="007C2676">
        <w:rPr>
          <w:rFonts w:ascii="Times New Roman" w:hAnsi="Times New Roman" w:cs="Times New Roman"/>
        </w:rPr>
        <w:t xml:space="preserve">brid), </w:t>
      </w:r>
    </w:p>
    <w:p w14:paraId="3D7D38E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keamanan informasi, dan kapabilitas SDM TI. Identifikasi masalah meliputi aplikasi legacy, integrasi data terbatas, rendahnya awareness </w:t>
      </w:r>
    </w:p>
    <w:p w14:paraId="07FBB04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keamanan, serta belum adanya arsitektur enterprise terpadu.</w:t>
      </w:r>
    </w:p>
    <w:p w14:paraId="5DA5A75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Inventarisasi As-Is meliputi aplikasi (SAP, SCADA/DCS, aplikasi pabrik), infrastruktur (data center, jaringan industri, cloud hybrid), </w:t>
      </w:r>
    </w:p>
    <w:p w14:paraId="3712C7B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 informasi, dan kapabilitas SDM TI. Identifikasi masalah meliputi aplikasi legacy, integrasi data terbatas, rend</w:t>
      </w:r>
      <w:r w:rsidRPr="007C2676">
        <w:rPr>
          <w:rFonts w:ascii="Times New Roman" w:hAnsi="Times New Roman" w:cs="Times New Roman"/>
        </w:rPr>
        <w:t xml:space="preserve">ahnya awareness </w:t>
      </w:r>
    </w:p>
    <w:p w14:paraId="6684C05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keamanan, serta belum adanya arsitektur enterprise terpadu.</w:t>
      </w:r>
    </w:p>
    <w:p w14:paraId="0DD4F73F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5. Masalah, Kebutuhan &amp; Peluang</w:t>
      </w:r>
    </w:p>
    <w:p w14:paraId="3E1DF39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Pain point utama antara lain integrasi SAP–pabrik yang belum optimal, kebutuhan dashboard analitik, kecacatan keamanan TI, serta SLA yang </w:t>
      </w:r>
    </w:p>
    <w:p w14:paraId="1E16E18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belum be</w:t>
      </w:r>
      <w:r w:rsidRPr="007C2676">
        <w:rPr>
          <w:rFonts w:ascii="Times New Roman" w:hAnsi="Times New Roman" w:cs="Times New Roman"/>
        </w:rPr>
        <w:t>rjalan penuh. Peluang digitalisasi meliputi IoT, Digital Twin, predictive maintenance, dan otomatisasi proses bisnis berbasis AI.</w:t>
      </w:r>
    </w:p>
    <w:p w14:paraId="6ED7445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Pain point utama antara lain integrasi SAP–pabrik yang belum optimal, kebutuhan dashboard analitik, kecacatan keamanan TI, ser</w:t>
      </w:r>
      <w:r w:rsidRPr="007C2676">
        <w:rPr>
          <w:rFonts w:ascii="Times New Roman" w:hAnsi="Times New Roman" w:cs="Times New Roman"/>
        </w:rPr>
        <w:t xml:space="preserve">ta SLA yang </w:t>
      </w:r>
    </w:p>
    <w:p w14:paraId="5366D72A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belum berjalan penuh. Peluang digitalisasi meliputi IoT, Digital Twin, predictive maintenance, dan otomatisasi proses bisnis berbasis AI.</w:t>
      </w:r>
    </w:p>
    <w:p w14:paraId="2B593A6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Pain point utama antara lain integrasi SAP–pabrik yang belum optimal, kebutuhan dashboard analitik, kecacatan keamanan TI, serta SLA yang </w:t>
      </w:r>
    </w:p>
    <w:p w14:paraId="19225A9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belum berjalan penuh. Peluang digitalisasi meliputi IoT, Digital Twin, predictive maintenance, dan otomatisasi proses</w:t>
      </w:r>
      <w:r w:rsidRPr="007C2676">
        <w:rPr>
          <w:rFonts w:ascii="Times New Roman" w:hAnsi="Times New Roman" w:cs="Times New Roman"/>
        </w:rPr>
        <w:t xml:space="preserve"> bisnis berbasis AI.</w:t>
      </w:r>
    </w:p>
    <w:p w14:paraId="55F9E5D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Pain point utama antara lain integrasi SAP–pabrik yang belum optimal, kebutuhan dashboard analitik, kecacatan keamanan TI, serta SLA yang </w:t>
      </w:r>
    </w:p>
    <w:p w14:paraId="6EF234A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belum berjalan penuh. Peluang digitalisasi meliputi IoT, Digital Twin, predictive maintenance, d</w:t>
      </w:r>
      <w:r w:rsidRPr="007C2676">
        <w:rPr>
          <w:rFonts w:ascii="Times New Roman" w:hAnsi="Times New Roman" w:cs="Times New Roman"/>
        </w:rPr>
        <w:t>an otomatisasi proses bisnis berbasis AI.</w:t>
      </w:r>
    </w:p>
    <w:p w14:paraId="5CDBC210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6. Prinsip &amp; Arah Strategis TI</w:t>
      </w:r>
    </w:p>
    <w:p w14:paraId="75B0CB5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Prinsip strategis mencakup Security-by-Design, Data-Driven Operation, Cloud &amp; Integration First, Automation &amp; Reliability, dan peningkatan </w:t>
      </w:r>
    </w:p>
    <w:p w14:paraId="1A756ED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user experience. Arah strategis mencakup mo</w:t>
      </w:r>
      <w:r w:rsidRPr="007C2676">
        <w:rPr>
          <w:rFonts w:ascii="Times New Roman" w:hAnsi="Times New Roman" w:cs="Times New Roman"/>
        </w:rPr>
        <w:t xml:space="preserve">dernisasi aplikasi inti, penguatan keamanan ICS/OT, pembangunan enterprise data platform, serta </w:t>
      </w:r>
    </w:p>
    <w:p w14:paraId="26293A5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digitalisasi proses produksi.</w:t>
      </w:r>
    </w:p>
    <w:p w14:paraId="16B0037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Prinsip strategis mencakup Security-by-Design, Data-Driven Operation, Cloud &amp; Integration First, Automation &amp; Reliability, dan pe</w:t>
      </w:r>
      <w:r w:rsidRPr="007C2676">
        <w:rPr>
          <w:rFonts w:ascii="Times New Roman" w:hAnsi="Times New Roman" w:cs="Times New Roman"/>
        </w:rPr>
        <w:t xml:space="preserve">ningkatan </w:t>
      </w:r>
    </w:p>
    <w:p w14:paraId="79816FE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user experience. Arah strategis mencakup modernisasi aplikasi inti, penguatan keamanan ICS/OT, pembangunan enterprise data platform, serta </w:t>
      </w:r>
    </w:p>
    <w:p w14:paraId="75AEC6E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digitalisasi proses produksi.</w:t>
      </w:r>
    </w:p>
    <w:p w14:paraId="4D12ACB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Prinsip strategis mencakup Security-by-Design, Data-Driven Operation, Cloud</w:t>
      </w:r>
      <w:r w:rsidRPr="007C2676">
        <w:rPr>
          <w:rFonts w:ascii="Times New Roman" w:hAnsi="Times New Roman" w:cs="Times New Roman"/>
        </w:rPr>
        <w:t xml:space="preserve"> &amp; Integration First, Automation &amp; Reliability, dan peningkatan </w:t>
      </w:r>
    </w:p>
    <w:p w14:paraId="6079E0D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user experience. Arah strategis mencakup modernisasi aplikasi inti, penguatan keamanan ICS/OT, pembangunan enterprise data platform, serta </w:t>
      </w:r>
    </w:p>
    <w:p w14:paraId="3EB3A6E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digitalisasi proses produksi.</w:t>
      </w:r>
    </w:p>
    <w:p w14:paraId="0D17672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Prinsip strategis men</w:t>
      </w:r>
      <w:r w:rsidRPr="007C2676">
        <w:rPr>
          <w:rFonts w:ascii="Times New Roman" w:hAnsi="Times New Roman" w:cs="Times New Roman"/>
        </w:rPr>
        <w:t xml:space="preserve">cakup Security-by-Design, Data-Driven Operation, Cloud &amp; Integration First, Automation &amp; Reliability, dan peningkatan </w:t>
      </w:r>
    </w:p>
    <w:p w14:paraId="55DD1E94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user experience. Arah strategis mencakup modernisasi aplikasi inti, penguatan keamanan ICS/OT, pembangunan enterprise data platform, sert</w:t>
      </w:r>
      <w:r w:rsidRPr="007C2676">
        <w:rPr>
          <w:rFonts w:ascii="Times New Roman" w:hAnsi="Times New Roman" w:cs="Times New Roman"/>
        </w:rPr>
        <w:t xml:space="preserve">a </w:t>
      </w:r>
    </w:p>
    <w:p w14:paraId="1EEB04A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digitalisasi proses produksi.</w:t>
      </w:r>
    </w:p>
    <w:p w14:paraId="391F7D26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7. Arsitektur Target (High Level)</w:t>
      </w:r>
    </w:p>
    <w:p w14:paraId="0810F0E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Arsitektur target mencakup domain bisnis, data, aplikasi, dan teknologi. Blueprint meliputi integrasi SAP melalui API/ESB, data lake terpadu, </w:t>
      </w:r>
    </w:p>
    <w:p w14:paraId="0CF6761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zero-trust security, dan penggunaan IoT untuk </w:t>
      </w:r>
      <w:r w:rsidRPr="007C2676">
        <w:rPr>
          <w:rFonts w:ascii="Times New Roman" w:hAnsi="Times New Roman" w:cs="Times New Roman"/>
        </w:rPr>
        <w:t>monitoring pabrik. Arsitektur ini mendukung keputusan berbasis data dan automasi operasi.</w:t>
      </w:r>
    </w:p>
    <w:p w14:paraId="661CC4E4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Arsitektur target mencakup domain bisnis, data, aplikasi, dan teknologi. Blueprint meliputi integrasi SAP melalui API/ESB, data lake terpadu, </w:t>
      </w:r>
    </w:p>
    <w:p w14:paraId="78BA40A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zero-trust security, da</w:t>
      </w:r>
      <w:r w:rsidRPr="007C2676">
        <w:rPr>
          <w:rFonts w:ascii="Times New Roman" w:hAnsi="Times New Roman" w:cs="Times New Roman"/>
        </w:rPr>
        <w:t>n penggunaan IoT untuk monitoring pabrik. Arsitektur ini mendukung keputusan berbasis data dan automasi operasi.</w:t>
      </w:r>
    </w:p>
    <w:p w14:paraId="1C505BF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Arsitektur target mencakup domain bisnis, data, aplikasi, dan teknologi. Blueprint meliputi integrasi SAP melalui API/ESB, data lake terpadu, </w:t>
      </w:r>
    </w:p>
    <w:p w14:paraId="51E48C8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zero-trust security, dan penggunaan IoT untuk monitoring pabrik. Arsitektur ini mendukung keputusan berbasis data dan automasi operasi.</w:t>
      </w:r>
    </w:p>
    <w:p w14:paraId="47EF548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Arsitektur target mencakup domain bisnis, data, aplikasi, dan teknologi. Blueprint meliputi integrasi SAP melalui API/ES</w:t>
      </w:r>
      <w:r w:rsidRPr="007C2676">
        <w:rPr>
          <w:rFonts w:ascii="Times New Roman" w:hAnsi="Times New Roman" w:cs="Times New Roman"/>
        </w:rPr>
        <w:t xml:space="preserve">B, data lake terpadu, </w:t>
      </w:r>
    </w:p>
    <w:p w14:paraId="4389CDA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zero-trust security, dan penggunaan IoT untuk monitoring pabrik. Arsitektur ini mendukung keputusan berbasis data dan automasi operasi.</w:t>
      </w:r>
    </w:p>
    <w:p w14:paraId="18A44682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8. Portofolio Inisiatif</w:t>
      </w:r>
    </w:p>
    <w:p w14:paraId="7131A8D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Portofolio inisiatif meliputi kebijakan tata kelola TI COBIT 2019, integr</w:t>
      </w:r>
      <w:r w:rsidRPr="007C2676">
        <w:rPr>
          <w:rFonts w:ascii="Times New Roman" w:hAnsi="Times New Roman" w:cs="Times New Roman"/>
        </w:rPr>
        <w:t xml:space="preserve">asi SAP–pabrik via API/ESB, SOC &amp; OT cybersecurity, modernisasi aplikasi </w:t>
      </w:r>
    </w:p>
    <w:p w14:paraId="1927221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legacy, pengembangan data lake &amp; BI dashboard, cloud adoption framework, manajemen aset TI &amp; CMDB, serta implementasi Digital Twin &amp; IoT.</w:t>
      </w:r>
    </w:p>
    <w:p w14:paraId="0D547C7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Portofolio inisiatif meliputi kebijakan tata kelola TI COBIT 2019, integrasi SAP–pabrik via API/ESB, SOC &amp; OT cybersecurity, modernisasi aplikasi </w:t>
      </w:r>
    </w:p>
    <w:p w14:paraId="7D38ABF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legacy, pengembangan data lake &amp; BI dashboard, cloud adoption framework, manajemen aset TI &amp; CMDB, serta impl</w:t>
      </w:r>
      <w:r w:rsidRPr="007C2676">
        <w:rPr>
          <w:rFonts w:ascii="Times New Roman" w:hAnsi="Times New Roman" w:cs="Times New Roman"/>
        </w:rPr>
        <w:t>ementasi Digital Twin &amp; IoT.</w:t>
      </w:r>
    </w:p>
    <w:p w14:paraId="0229F36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Portofolio inisiatif meliputi kebijakan tata kelola TI COBIT 2019, integrasi SAP–pabrik via API/ESB, SOC &amp; OT cybersecurity, modernisasi aplikasi </w:t>
      </w:r>
    </w:p>
    <w:p w14:paraId="1E6C8E9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legacy, pengembangan data lake &amp; BI dashboard, cloud adoption framework, manajem</w:t>
      </w:r>
      <w:r w:rsidRPr="007C2676">
        <w:rPr>
          <w:rFonts w:ascii="Times New Roman" w:hAnsi="Times New Roman" w:cs="Times New Roman"/>
        </w:rPr>
        <w:t>en aset TI &amp; CMDB, serta implementasi Digital Twin &amp; IoT.</w:t>
      </w:r>
    </w:p>
    <w:p w14:paraId="45A60EB8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Portofolio inisiatif meliputi kebijakan tata kelola TI COBIT 2019, integrasi SAP–pabrik via API/ESB, SOC &amp; OT cybersecurity, modernisasi aplikasi </w:t>
      </w:r>
    </w:p>
    <w:p w14:paraId="0E8F829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legacy, pengembangan data lake &amp; BI dashboard, clou</w:t>
      </w:r>
      <w:r w:rsidRPr="007C2676">
        <w:rPr>
          <w:rFonts w:ascii="Times New Roman" w:hAnsi="Times New Roman" w:cs="Times New Roman"/>
        </w:rPr>
        <w:t>d adoption framework, manajemen aset TI &amp; CMDB, serta implementasi Digital Twin &amp; IoT.</w:t>
      </w:r>
    </w:p>
    <w:p w14:paraId="32926560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9. Prioritisasi &amp; Business Case</w:t>
      </w:r>
    </w:p>
    <w:p w14:paraId="3547F16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Proses prioritisasi dilakukan dengan matriks nilai vs biaya berdasarkan COBIT. Quick wins meliputi CMDB, dashboard BI, dan kebijakan gove</w:t>
      </w:r>
      <w:r w:rsidRPr="007C2676">
        <w:rPr>
          <w:rFonts w:ascii="Times New Roman" w:hAnsi="Times New Roman" w:cs="Times New Roman"/>
        </w:rPr>
        <w:t>rnance.</w:t>
      </w:r>
    </w:p>
    <w:p w14:paraId="240430D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Strategic bets meliputi pengembangan data lake, SOC, dan integrasi SAP tingkat lanjut. High-value/high-cost meliputi modernisasi ERP.</w:t>
      </w:r>
    </w:p>
    <w:p w14:paraId="4FD1913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Proses prioritisasi dilakukan dengan matriks nilai vs biaya berdasarkan COBIT. Quick wins meliputi CMDB, dashboard</w:t>
      </w:r>
      <w:r w:rsidRPr="007C2676">
        <w:rPr>
          <w:rFonts w:ascii="Times New Roman" w:hAnsi="Times New Roman" w:cs="Times New Roman"/>
        </w:rPr>
        <w:t xml:space="preserve"> BI, dan kebijakan governance.</w:t>
      </w:r>
    </w:p>
    <w:p w14:paraId="35BC321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Strategic bets meliputi pengembangan data lake, SOC, dan integrasi SAP tingkat lanjut. High-value/high-cost meliputi modernisasi ERP.</w:t>
      </w:r>
    </w:p>
    <w:p w14:paraId="0FDB3B2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Proses prioritisasi dilakukan dengan matriks nilai vs biaya berdasarkan COBIT. Quick wins m</w:t>
      </w:r>
      <w:r w:rsidRPr="007C2676">
        <w:rPr>
          <w:rFonts w:ascii="Times New Roman" w:hAnsi="Times New Roman" w:cs="Times New Roman"/>
        </w:rPr>
        <w:t>eliputi CMDB, dashboard BI, dan kebijakan governance.</w:t>
      </w:r>
    </w:p>
    <w:p w14:paraId="687A39D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Strategic bets meliputi pengembangan data lake, SOC, dan integrasi SAP tingkat lanjut. High-value/high-cost meliputi modernisasi ERP.</w:t>
      </w:r>
    </w:p>
    <w:p w14:paraId="3409B6B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Proses prioritisasi dilakukan dengan matriks nilai vs biaya </w:t>
      </w:r>
      <w:r w:rsidRPr="007C2676">
        <w:rPr>
          <w:rFonts w:ascii="Times New Roman" w:hAnsi="Times New Roman" w:cs="Times New Roman"/>
        </w:rPr>
        <w:t>berdasarkan COBIT. Quick wins meliputi CMDB, dashboard BI, dan kebijakan governance.</w:t>
      </w:r>
    </w:p>
    <w:p w14:paraId="73B23FA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Strategic bets meliputi pengembangan data lake, SOC, dan integrasi SAP tingkat lanjut. High-value/high-cost meliputi modernisasi ERP.</w:t>
      </w:r>
    </w:p>
    <w:p w14:paraId="1840A89C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10. Roadmap Implementasi</w:t>
      </w:r>
    </w:p>
    <w:p w14:paraId="0391325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Roadmap 3 ta</w:t>
      </w:r>
      <w:r w:rsidRPr="007C2676">
        <w:rPr>
          <w:rFonts w:ascii="Times New Roman" w:hAnsi="Times New Roman" w:cs="Times New Roman"/>
        </w:rPr>
        <w:t xml:space="preserve">hun mencakup 3 fase besar: fase foundational (kebijakan, data governance, integrasi awal), fase transformasi (modernisasi aplikasi, </w:t>
      </w:r>
    </w:p>
    <w:p w14:paraId="7444893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SOC, data lake), dan fase optimasi (digital twin, IoT, cloud migration, predictive analytics). Milestone disusun berdasarka</w:t>
      </w:r>
      <w:r w:rsidRPr="007C2676">
        <w:rPr>
          <w:rFonts w:ascii="Times New Roman" w:hAnsi="Times New Roman" w:cs="Times New Roman"/>
        </w:rPr>
        <w:t>n prioritas bisnis.</w:t>
      </w:r>
    </w:p>
    <w:p w14:paraId="0450245A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Roadmap 3 tahun mencakup 3 fase besar: fase foundational (kebijakan, data governance, integrasi awal), fase transformasi (modernisasi aplikasi, </w:t>
      </w:r>
    </w:p>
    <w:p w14:paraId="118F347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SOC, data lake), dan fase optimasi (digital twin, IoT, cloud migration, predictive analytic</w:t>
      </w:r>
      <w:r w:rsidRPr="007C2676">
        <w:rPr>
          <w:rFonts w:ascii="Times New Roman" w:hAnsi="Times New Roman" w:cs="Times New Roman"/>
        </w:rPr>
        <w:t>s). Milestone disusun berdasarkan prioritas bisnis.</w:t>
      </w:r>
    </w:p>
    <w:p w14:paraId="3DDB78D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Roadmap 3 tahun mencakup 3 fase besar: fase foundational (kebijakan, data governance, integrasi awal), fase transformasi (modernisasi aplikasi, </w:t>
      </w:r>
    </w:p>
    <w:p w14:paraId="27B6B26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SOC, data lake), dan fase optimasi (digital twin, IoT, clou</w:t>
      </w:r>
      <w:r w:rsidRPr="007C2676">
        <w:rPr>
          <w:rFonts w:ascii="Times New Roman" w:hAnsi="Times New Roman" w:cs="Times New Roman"/>
        </w:rPr>
        <w:t>d migration, predictive analytics). Milestone disusun berdasarkan prioritas bisnis.</w:t>
      </w:r>
    </w:p>
    <w:p w14:paraId="26E625E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Roadmap 3 tahun mencakup 3 fase besar: fase foundational (kebijakan, data governance, integrasi awal), fase transformasi (modernisasi aplikasi, </w:t>
      </w:r>
    </w:p>
    <w:p w14:paraId="6647FF2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SOC, data lake), dan fase o</w:t>
      </w:r>
      <w:r w:rsidRPr="007C2676">
        <w:rPr>
          <w:rFonts w:ascii="Times New Roman" w:hAnsi="Times New Roman" w:cs="Times New Roman"/>
        </w:rPr>
        <w:t>ptimasi (digital twin, IoT, cloud migration, predictive analytics). Milestone disusun berdasarkan prioritas bisnis.</w:t>
      </w:r>
    </w:p>
    <w:p w14:paraId="73137F62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11. Tata Kelola TI</w:t>
      </w:r>
    </w:p>
    <w:p w14:paraId="4E0AD01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Struktur governance mencakup Steering Committee, Enterprise Architecture Board, Data Governance Council, dan PMO TI. Pene</w:t>
      </w:r>
      <w:r w:rsidRPr="007C2676">
        <w:rPr>
          <w:rFonts w:ascii="Times New Roman" w:hAnsi="Times New Roman" w:cs="Times New Roman"/>
        </w:rPr>
        <w:t xml:space="preserve">rapan COBIT </w:t>
      </w:r>
    </w:p>
    <w:p w14:paraId="0FDE7F3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melibatkan domain EDM, APO, BAI, DSS, MEA. Mekanisme rapat, eskalasi, SLA, serta manajemen portofolio TI dijabarkan secara rinci.</w:t>
      </w:r>
    </w:p>
    <w:p w14:paraId="65C4226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Struktur governance mencakup Steering Committee, Enterprise Architecture Board, Data Governance Council, dan PMO </w:t>
      </w:r>
      <w:r w:rsidRPr="007C2676">
        <w:rPr>
          <w:rFonts w:ascii="Times New Roman" w:hAnsi="Times New Roman" w:cs="Times New Roman"/>
        </w:rPr>
        <w:t xml:space="preserve">TI. Penerapan COBIT </w:t>
      </w:r>
    </w:p>
    <w:p w14:paraId="30696C3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melibatkan domain EDM, APO, BAI, DSS, MEA. Mekanisme rapat, eskalasi, SLA, serta manajemen portofolio TI dijabarkan secara rinci.</w:t>
      </w:r>
    </w:p>
    <w:p w14:paraId="576951C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Struktur governance mencakup Steering Committee, Enterprise Architecture Board, Data Governance Council, dan PMO TI. Penerapan COBIT </w:t>
      </w:r>
    </w:p>
    <w:p w14:paraId="7E73D47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melibatkan domain EDM, APO, BAI, DSS, MEA. Mekanisme rapat, eskalasi, SLA, serta manajemen portofolio TI dijabarkan secara</w:t>
      </w:r>
      <w:r w:rsidRPr="007C2676">
        <w:rPr>
          <w:rFonts w:ascii="Times New Roman" w:hAnsi="Times New Roman" w:cs="Times New Roman"/>
        </w:rPr>
        <w:t xml:space="preserve"> rinci.</w:t>
      </w:r>
    </w:p>
    <w:p w14:paraId="3CAA3BB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Struktur governance mencakup Steering Committee, Enterprise Architecture Board, Data Governance Council, dan PMO TI. Penerapan COBIT </w:t>
      </w:r>
    </w:p>
    <w:p w14:paraId="69C1796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melibatkan domain EDM, APO, BAI, DSS, MEA. Mekanisme rapat, eskalasi, SLA, serta manajemen portofolio TI dijabarka</w:t>
      </w:r>
      <w:r w:rsidRPr="007C2676">
        <w:rPr>
          <w:rFonts w:ascii="Times New Roman" w:hAnsi="Times New Roman" w:cs="Times New Roman"/>
        </w:rPr>
        <w:t>n secara rinci.</w:t>
      </w:r>
    </w:p>
    <w:p w14:paraId="3E5A43EC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12. Kebijakan &amp; Keamanan</w:t>
      </w:r>
    </w:p>
    <w:p w14:paraId="27EC8BBA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Kebijakan inti mencakup keamanan informasi, IAM, data classification, backup &amp; DR, dan OT Security berbasis ISA/IEC 62443. </w:t>
      </w:r>
    </w:p>
    <w:p w14:paraId="38B933F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Kontrol kritikal meliputi SIEM, SOC, patch management, segregasi jaringan, serta pelatihan </w:t>
      </w:r>
      <w:r w:rsidRPr="007C2676">
        <w:rPr>
          <w:rFonts w:ascii="Times New Roman" w:hAnsi="Times New Roman" w:cs="Times New Roman"/>
        </w:rPr>
        <w:t>keamanan reguler.</w:t>
      </w:r>
    </w:p>
    <w:p w14:paraId="340C4D7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Kebijakan inti mencakup keamanan informasi, IAM, data classification, backup &amp; DR, dan OT Security berbasis ISA/IEC 62443. </w:t>
      </w:r>
    </w:p>
    <w:p w14:paraId="5703F4C4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Kontrol kritikal meliputi SIEM, SOC, patch management, segregasi jaringan, serta pelatihan keamanan reguler.</w:t>
      </w:r>
    </w:p>
    <w:p w14:paraId="4DD1E1B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Kebij</w:t>
      </w:r>
      <w:r w:rsidRPr="007C2676">
        <w:rPr>
          <w:rFonts w:ascii="Times New Roman" w:hAnsi="Times New Roman" w:cs="Times New Roman"/>
        </w:rPr>
        <w:t xml:space="preserve">akan inti mencakup keamanan informasi, IAM, data classification, backup &amp; DR, dan OT Security berbasis ISA/IEC 62443. </w:t>
      </w:r>
    </w:p>
    <w:p w14:paraId="07CBF8A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Kontrol kritikal meliputi SIEM, SOC, patch management, segregasi jaringan, serta pelatihan keamanan reguler.</w:t>
      </w:r>
    </w:p>
    <w:p w14:paraId="370EDEB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Kebijakan inti mencakup keam</w:t>
      </w:r>
      <w:r w:rsidRPr="007C2676">
        <w:rPr>
          <w:rFonts w:ascii="Times New Roman" w:hAnsi="Times New Roman" w:cs="Times New Roman"/>
        </w:rPr>
        <w:t xml:space="preserve">anan informasi, IAM, data classification, backup &amp; DR, dan OT Security berbasis ISA/IEC 62443. </w:t>
      </w:r>
    </w:p>
    <w:p w14:paraId="5083916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Kontrol kritikal meliputi SIEM, SOC, patch management, segregasi jaringan, serta pelatihan keamanan reguler.</w:t>
      </w:r>
    </w:p>
    <w:p w14:paraId="626D5A8E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13. Manajemen Perubahan (OCM)</w:t>
      </w:r>
    </w:p>
    <w:p w14:paraId="1837E064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Pendekatan OCM melipu</w:t>
      </w:r>
      <w:r w:rsidRPr="007C2676">
        <w:rPr>
          <w:rFonts w:ascii="Times New Roman" w:hAnsi="Times New Roman" w:cs="Times New Roman"/>
        </w:rPr>
        <w:t xml:space="preserve">ti peta pemangku kepentingan, training, kampanye awareness, pembentukan champion setiap unit, uji coba terbatas, </w:t>
      </w:r>
    </w:p>
    <w:p w14:paraId="32A817E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serta strategi adopsi bertahap. Resistensi pengguna dimitigasi melalui komunikasi rutin dan pengukuran tingkat adopsi.</w:t>
      </w:r>
    </w:p>
    <w:p w14:paraId="75A9958A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Pendekatan OCM meliputi</w:t>
      </w:r>
      <w:r w:rsidRPr="007C2676">
        <w:rPr>
          <w:rFonts w:ascii="Times New Roman" w:hAnsi="Times New Roman" w:cs="Times New Roman"/>
        </w:rPr>
        <w:t xml:space="preserve"> peta pemangku kepentingan, training, kampanye awareness, pembentukan champion setiap unit, uji coba terbatas, </w:t>
      </w:r>
    </w:p>
    <w:p w14:paraId="05DAB7D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serta strategi adopsi bertahap. Resistensi pengguna dimitigasi melalui komunikasi rutin dan pengukuran tingkat adopsi.</w:t>
      </w:r>
    </w:p>
    <w:p w14:paraId="32CA5099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Pendekatan OCM meliputi p</w:t>
      </w:r>
      <w:r w:rsidRPr="007C2676">
        <w:rPr>
          <w:rFonts w:ascii="Times New Roman" w:hAnsi="Times New Roman" w:cs="Times New Roman"/>
        </w:rPr>
        <w:t xml:space="preserve">eta pemangku kepentingan, training, kampanye awareness, pembentukan champion setiap unit, uji coba terbatas, </w:t>
      </w:r>
    </w:p>
    <w:p w14:paraId="1682D39A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serta strategi adopsi bertahap. Resistensi pengguna dimitigasi melalui komunikasi rutin dan pengukuran tingkat adopsi.</w:t>
      </w:r>
    </w:p>
    <w:p w14:paraId="33FC828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Pendekatan OCM meliputi pet</w:t>
      </w:r>
      <w:r w:rsidRPr="007C2676">
        <w:rPr>
          <w:rFonts w:ascii="Times New Roman" w:hAnsi="Times New Roman" w:cs="Times New Roman"/>
        </w:rPr>
        <w:t xml:space="preserve">a pemangku kepentingan, training, kampanye awareness, pembentukan champion setiap unit, uji coba terbatas, </w:t>
      </w:r>
    </w:p>
    <w:p w14:paraId="7927543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serta strategi adopsi bertahap. Resistensi pengguna dimitigasi melalui komunikasi rutin dan pengukuran tingkat adopsi.</w:t>
      </w:r>
    </w:p>
    <w:p w14:paraId="74D7D65E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14. KPI &amp; Manajemen Benefit</w:t>
      </w:r>
    </w:p>
    <w:p w14:paraId="1747BA2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K</w:t>
      </w:r>
      <w:r w:rsidRPr="007C2676">
        <w:rPr>
          <w:rFonts w:ascii="Times New Roman" w:hAnsi="Times New Roman" w:cs="Times New Roman"/>
        </w:rPr>
        <w:t xml:space="preserve">PI mencakup tingkat maturitas COBIT, downtime aplikasi, pengurangan insiden keamanan, integrasi data real-time, efisiensi supply chain, dan </w:t>
      </w:r>
    </w:p>
    <w:p w14:paraId="35BC3FB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tingkat adopsi pengguna. KPI dihubungkan langsung ke sasaran bisnis dan rencana monitoring dilakukan tiap kuartal.</w:t>
      </w:r>
    </w:p>
    <w:p w14:paraId="11E4D3AE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KPI mencakup tingkat maturitas COBIT, downtime aplikasi, pengurangan insiden keamanan, integrasi data real-time, efisiensi supply chain, dan </w:t>
      </w:r>
    </w:p>
    <w:p w14:paraId="12997449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tingkat adopsi pengguna. KPI dihubungkan langsung ke sasaran bisnis dan rencana monitoring dilakukan tiap kuartal.</w:t>
      </w:r>
    </w:p>
    <w:p w14:paraId="240EBF3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KPI mencakup tingkat maturitas COBIT, downtime aplikasi, pengurangan insiden keamanan, integrasi data real-time, efisiensi supply chain, dan </w:t>
      </w:r>
    </w:p>
    <w:p w14:paraId="64CB027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tingkat adopsi pengguna. KPI dihubungkan langsung ke sasaran bisnis dan rencana monitoring dilakukan tiap kuartal</w:t>
      </w:r>
      <w:r w:rsidRPr="007C2676">
        <w:rPr>
          <w:rFonts w:ascii="Times New Roman" w:hAnsi="Times New Roman" w:cs="Times New Roman"/>
        </w:rPr>
        <w:t>.</w:t>
      </w:r>
    </w:p>
    <w:p w14:paraId="5B2971E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KPI mencakup tingkat maturitas COBIT, downtime aplikasi, pengurangan insiden keamanan, integrasi data real-time, efisiensi supply chain, dan </w:t>
      </w:r>
    </w:p>
    <w:p w14:paraId="6002B3D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lastRenderedPageBreak/>
        <w:t>tingkat adopsi pengguna. KPI dihubungkan langsung ke sasaran bisnis dan rencana monitoring dilakukan tiap kuartal.</w:t>
      </w:r>
    </w:p>
    <w:p w14:paraId="62BAC0B5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15. Anggaran &amp; Sourcing</w:t>
      </w:r>
    </w:p>
    <w:p w14:paraId="317FCC0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Estimasi anggaran 3 tahun mencakup modernisasi aplikasi (25–35 M), data lake (10–15 M), SOC (20 M), integrasi API (5–7 M), dan cloud migration </w:t>
      </w:r>
    </w:p>
    <w:p w14:paraId="0EC2EE14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(8–10 M). Strategi sourcing menggunakan model hybrid antara internal dan vendor spesial</w:t>
      </w:r>
      <w:r w:rsidRPr="007C2676">
        <w:rPr>
          <w:rFonts w:ascii="Times New Roman" w:hAnsi="Times New Roman" w:cs="Times New Roman"/>
        </w:rPr>
        <w:t>is.</w:t>
      </w:r>
    </w:p>
    <w:p w14:paraId="67343E5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Estimasi anggaran 3 tahun mencakup modernisasi aplikasi (25–35 M), data lake (10–15 M), SOC (20 M), integrasi API (5–7 M), dan cloud migration </w:t>
      </w:r>
    </w:p>
    <w:p w14:paraId="5A47AD73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(8–10 M). Strategi sourcing menggunakan model hybrid antara internal dan vendor spesialis.</w:t>
      </w:r>
    </w:p>
    <w:p w14:paraId="0AD5F09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Estimasi anggaran 3 tahun mencakup modernisasi aplikasi (25–35 M), data lake (10–15 M), SOC (20 M), integrasi API (5–7 M), dan cloud migration </w:t>
      </w:r>
    </w:p>
    <w:p w14:paraId="4C7AB1B5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(8–10 M). Strategi sourcing menggunakan model hybrid antara internal dan vendor spesialis.</w:t>
      </w:r>
    </w:p>
    <w:p w14:paraId="1A004E17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Estimasi anggaran 3 t</w:t>
      </w:r>
      <w:r w:rsidRPr="007C2676">
        <w:rPr>
          <w:rFonts w:ascii="Times New Roman" w:hAnsi="Times New Roman" w:cs="Times New Roman"/>
        </w:rPr>
        <w:t xml:space="preserve">ahun mencakup modernisasi aplikasi (25–35 M), data lake (10–15 M), SOC (20 M), integrasi API (5–7 M), dan cloud migration </w:t>
      </w:r>
    </w:p>
    <w:p w14:paraId="18C079F6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(8–10 M). Strategi sourcing menggunakan model hybrid antara internal dan vendor spesialis.</w:t>
      </w:r>
    </w:p>
    <w:p w14:paraId="2B138F49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t>16. Risiko &amp; Kontinjensi</w:t>
      </w:r>
    </w:p>
    <w:p w14:paraId="286CB0D9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Risiko utama meli</w:t>
      </w:r>
      <w:r w:rsidRPr="007C2676">
        <w:rPr>
          <w:rFonts w:ascii="Times New Roman" w:hAnsi="Times New Roman" w:cs="Times New Roman"/>
        </w:rPr>
        <w:t xml:space="preserve">puti serangan siber, kegagalan integrasi SAP, resistensi pengguna, biaya tinggi, dan ketergantungan vendor. </w:t>
      </w:r>
    </w:p>
    <w:p w14:paraId="6CC939B0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Mitigasi mencakup perencanaan kontinjensi, SLA ketat, PoC sebelum implementasi penuh, pelatihan, serta pemilihan vendor yang memenuhi standar.</w:t>
      </w:r>
    </w:p>
    <w:p w14:paraId="7EB7125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Risi</w:t>
      </w:r>
      <w:r w:rsidRPr="007C2676">
        <w:rPr>
          <w:rFonts w:ascii="Times New Roman" w:hAnsi="Times New Roman" w:cs="Times New Roman"/>
        </w:rPr>
        <w:t xml:space="preserve">ko utama meliputi serangan siber, kegagalan integrasi SAP, resistensi pengguna, biaya tinggi, dan ketergantungan vendor. </w:t>
      </w:r>
    </w:p>
    <w:p w14:paraId="50487CA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Mitigasi mencakup perencanaan kontinjensi, SLA ketat, PoC sebelum implementasi penuh, pelatihan, serta pemilihan vendor yang memenuhi </w:t>
      </w:r>
      <w:r w:rsidRPr="007C2676">
        <w:rPr>
          <w:rFonts w:ascii="Times New Roman" w:hAnsi="Times New Roman" w:cs="Times New Roman"/>
        </w:rPr>
        <w:t>standar.</w:t>
      </w:r>
    </w:p>
    <w:p w14:paraId="07E42C0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Risiko utama meliputi serangan siber, kegagalan integrasi SAP, resistensi pengguna, biaya tinggi, dan ketergantungan vendor. </w:t>
      </w:r>
    </w:p>
    <w:p w14:paraId="5778E174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Mitigasi mencakup perencanaan kontinjensi, SLA ketat, PoC sebelum implementasi penuh, pelatihan, serta pemilihan vendor y</w:t>
      </w:r>
      <w:r w:rsidRPr="007C2676">
        <w:rPr>
          <w:rFonts w:ascii="Times New Roman" w:hAnsi="Times New Roman" w:cs="Times New Roman"/>
        </w:rPr>
        <w:t>ang memenuhi standar.</w:t>
      </w:r>
    </w:p>
    <w:p w14:paraId="536DF6B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Risiko utama meliputi serangan siber, kegagalan integrasi SAP, resistensi pengguna, biaya tinggi, dan ketergantungan vendor. </w:t>
      </w:r>
    </w:p>
    <w:p w14:paraId="3C9F4AB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Mitigasi mencakup perencanaan kontinjensi, SLA ketat, PoC sebelum implementasi penuh, pelatihan, serta pemil</w:t>
      </w:r>
      <w:r w:rsidRPr="007C2676">
        <w:rPr>
          <w:rFonts w:ascii="Times New Roman" w:hAnsi="Times New Roman" w:cs="Times New Roman"/>
        </w:rPr>
        <w:t>ihan vendor yang memenuhi standar.</w:t>
      </w:r>
    </w:p>
    <w:p w14:paraId="4602F03A" w14:textId="77777777" w:rsidR="003069B4" w:rsidRPr="007C2676" w:rsidRDefault="00F377A4" w:rsidP="007C2676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7C2676">
        <w:rPr>
          <w:rFonts w:ascii="Times New Roman" w:hAnsi="Times New Roman" w:cs="Times New Roman"/>
          <w:color w:val="auto"/>
        </w:rPr>
        <w:lastRenderedPageBreak/>
        <w:t>17. Kualitas Dokumen &amp; Penutup</w:t>
      </w:r>
    </w:p>
    <w:p w14:paraId="79C6CA6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Dokumen ini memenuhi standar akademik, dilengkapi tabel, gambar, referensi, dan mengikuti gaya penulisan profesional. </w:t>
      </w:r>
    </w:p>
    <w:p w14:paraId="5A50538B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 TI yang dirumuskan diharapkan mampu mendorong transformasi dig</w:t>
      </w:r>
      <w:r w:rsidRPr="007C2676">
        <w:rPr>
          <w:rFonts w:ascii="Times New Roman" w:hAnsi="Times New Roman" w:cs="Times New Roman"/>
        </w:rPr>
        <w:t>ital PT Petrokimia Gresik secara berkelanjutan.</w:t>
      </w:r>
    </w:p>
    <w:p w14:paraId="56A1F242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Dokumen ini memenuhi standar akademik, dilengkapi tabel, gambar, referensi, dan mengikuti gaya penulisan profesional. </w:t>
      </w:r>
    </w:p>
    <w:p w14:paraId="1DD7A3F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 TI yang dirumuskan diharapkan mampu mendorong transformasi digital PT Petrokimia</w:t>
      </w:r>
      <w:r w:rsidRPr="007C2676">
        <w:rPr>
          <w:rFonts w:ascii="Times New Roman" w:hAnsi="Times New Roman" w:cs="Times New Roman"/>
        </w:rPr>
        <w:t xml:space="preserve"> Gresik secara berkelanjutan.</w:t>
      </w:r>
    </w:p>
    <w:p w14:paraId="74BB3531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Dokumen ini memenuhi standar akademik, dilengkapi tabel, gambar, referensi, dan mengikuti gaya penulisan profesional. </w:t>
      </w:r>
    </w:p>
    <w:p w14:paraId="4CF4848C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 TI yang dirumuskan diharapkan mampu mendorong transformasi digital PT Petrokimia Gresik secara ber</w:t>
      </w:r>
      <w:r w:rsidRPr="007C2676">
        <w:rPr>
          <w:rFonts w:ascii="Times New Roman" w:hAnsi="Times New Roman" w:cs="Times New Roman"/>
        </w:rPr>
        <w:t>kelanjutan.</w:t>
      </w:r>
    </w:p>
    <w:p w14:paraId="5B8DD07D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 xml:space="preserve">Dokumen ini memenuhi standar akademik, dilengkapi tabel, gambar, referensi, dan mengikuti gaya penulisan profesional. </w:t>
      </w:r>
    </w:p>
    <w:p w14:paraId="6A843F3F" w14:textId="77777777" w:rsidR="003069B4" w:rsidRPr="007C2676" w:rsidRDefault="00F377A4" w:rsidP="007C2676">
      <w:pPr>
        <w:jc w:val="both"/>
        <w:rPr>
          <w:rFonts w:ascii="Times New Roman" w:hAnsi="Times New Roman" w:cs="Times New Roman"/>
        </w:rPr>
      </w:pPr>
      <w:r w:rsidRPr="007C2676">
        <w:rPr>
          <w:rFonts w:ascii="Times New Roman" w:hAnsi="Times New Roman" w:cs="Times New Roman"/>
        </w:rPr>
        <w:t>Strategi TI yang dirumuskan diharapkan mampu mendorong transformasi digital PT Petrokimia Gresik secara berkelanjutan.</w:t>
      </w:r>
    </w:p>
    <w:sectPr w:rsidR="003069B4" w:rsidRPr="007C2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9B4"/>
    <w:rsid w:val="00326F90"/>
    <w:rsid w:val="007C2676"/>
    <w:rsid w:val="00AA1D8D"/>
    <w:rsid w:val="00B47730"/>
    <w:rsid w:val="00CB0664"/>
    <w:rsid w:val="00F37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79430"/>
  <w14:defaultImageDpi w14:val="300"/>
  <w15:docId w15:val="{30AE3235-9856-424B-99F1-09073F65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2991</Words>
  <Characters>17051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Bagas Bawazir</cp:lastModifiedBy>
  <cp:revision>3</cp:revision>
  <dcterms:created xsi:type="dcterms:W3CDTF">2013-12-23T23:15:00Z</dcterms:created>
  <dcterms:modified xsi:type="dcterms:W3CDTF">2025-12-08T08:19:00Z</dcterms:modified>
  <cp:category/>
</cp:coreProperties>
</file>