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38"/>
        </w:rPr>
        <w:t>Panduan Telaah Ketepatan Rekomendasi</w:t>
      </w:r>
    </w:p>
    <w:p>
      <w:pPr>
        <w:spacing w:after="120"/>
      </w:pPr>
      <w:r>
        <w:rPr>
          <w:sz w:val="21"/>
        </w:rPr>
        <w:t>Terima kasih atas kesediaan Anda menilai.</w:t>
      </w:r>
    </w:p>
    <w:p>
      <w:pPr>
        <w:spacing w:after="120"/>
      </w:pPr>
      <w:r>
        <w:rPr>
          <w:sz w:val="21"/>
        </w:rPr>
        <w:t>Sebuah sistem membaca rekam medis pasien, mencocokkannya dengan panduan AHA/ACC untuk penyakit jantung koroner kronis (</w:t>
      </w:r>
      <w:r>
        <w:rPr>
          <w:i/>
          <w:sz w:val="21"/>
        </w:rPr>
        <w:t>chronic coronary disease</w:t>
      </w:r>
      <w:r>
        <w:rPr>
          <w:sz w:val="21"/>
        </w:rPr>
        <w:t xml:space="preserve">, CCD), lalu mengeluarkan sejumlah rekomendasi bagi pasien tersebut. Anda diminta menilai </w:t>
      </w:r>
      <w:r>
        <w:rPr>
          <w:b/>
          <w:sz w:val="21"/>
        </w:rPr>
        <w:t>apakah tiap rekomendasi itu tepat bagi pasien yang bersangkutan</w:t>
      </w:r>
      <w:r>
        <w:rPr>
          <w:sz w:val="21"/>
        </w:rPr>
        <w:t>.</w:t>
      </w:r>
    </w:p>
    <w:p>
      <w:pPr>
        <w:spacing w:after="120"/>
      </w:pPr>
      <w:r>
        <w:rPr>
          <w:sz w:val="21"/>
        </w:rPr>
        <w:t>Yang dinilai adalah rekomendasinya, bukan cara sistem menuliskannya.</w:t>
      </w:r>
    </w:p>
    <w:p>
      <w:pPr>
        <w:pStyle w:val="Heading2"/>
        <w:spacing w:before="320" w:after="60"/>
      </w:pPr>
      <w:r>
        <w:rPr>
          <w:b/>
          <w:color w:val="1A1A1A"/>
          <w:sz w:val="26"/>
        </w:rPr>
        <w:t>Isi lembar</w:t>
      </w:r>
    </w:p>
    <w:p>
      <w:pPr>
        <w:spacing w:after="120"/>
      </w:pPr>
      <w:r>
        <w:rPr>
          <w:sz w:val="21"/>
        </w:rPr>
        <w:t xml:space="preserve">Lembar telaah memuat 20 pasien, satu halaman untuk satu pasien. Untuk tiap pasien tersedia identitas singkat, </w:t>
      </w:r>
      <w:r>
        <w:rPr>
          <w:b/>
          <w:sz w:val="21"/>
        </w:rPr>
        <w:t>kesimpulan yang disusun sistem</w:t>
      </w:r>
      <w:r>
        <w:rPr>
          <w:sz w:val="21"/>
        </w:rPr>
        <w:t>, lalu tabel rekomendasi. Bacalah kesimpulannya lebih dahulu, baru tabelnya.</w:t>
      </w:r>
    </w:p>
    <w:p>
      <w:pPr>
        <w:spacing w:after="120"/>
      </w:pPr>
      <w:r>
        <w:rPr>
          <w:sz w:val="21"/>
        </w:rPr>
        <w:t>Jumlah keseluruhan 327 baris pada 20 pasien, rata-rata 16 baris per pasien. Perkiraan waktu sekitar satu setengah sampai dua jam, dan tidak perlu diselesaikan sekaligus.</w:t>
      </w:r>
    </w:p>
    <w:p>
      <w:pPr>
        <w:pStyle w:val="Heading2"/>
        <w:spacing w:before="320" w:after="60"/>
      </w:pPr>
      <w:r>
        <w:rPr>
          <w:b/>
          <w:color w:val="1A1A1A"/>
          <w:sz w:val="26"/>
        </w:rPr>
        <w:t>Kelompok rekomendasi</w:t>
      </w:r>
    </w:p>
    <w:tbl>
      <w:tblPr>
        <w:tblStyle w:val="TableGrid"/>
        <w:tblW w:type="auto" w:w="0"/>
        <w:tblLayout w:type="autofit"/>
        <w:tblLook w:firstColumn="1" w:firstRow="1" w:lastColumn="0" w:lastRow="0" w:noHBand="0" w:noVBand="1" w:val="04A0"/>
      </w:tblPr>
      <w:tblGrid>
        <w:gridCol w:w="4592"/>
        <w:gridCol w:w="4592"/>
      </w:tblGrid>
      <w:tr>
        <w:tc>
          <w:tcPr>
            <w:tcW w:type="dxa" w:w="4592"/>
          </w:tcPr>
          <w:p>
            <w:pPr>
              <w:spacing w:after="0"/>
            </w:pPr>
            <w:r>
              <w:rPr>
                <w:b/>
                <w:sz w:val="19"/>
              </w:rPr>
              <w:t>Kelompok</w:t>
            </w:r>
          </w:p>
        </w:tc>
        <w:tc>
          <w:tcPr>
            <w:tcW w:type="dxa" w:w="4592"/>
          </w:tcPr>
          <w:p>
            <w:pPr>
              <w:spacing w:after="0"/>
            </w:pPr>
            <w:r>
              <w:rPr>
                <w:b/>
                <w:sz w:val="19"/>
              </w:rPr>
              <w:t>Maksud</w:t>
            </w:r>
          </w:p>
        </w:tc>
      </w:tr>
      <w:tr>
        <w:tc>
          <w:tcPr>
            <w:tcW w:type="dxa" w:w="4592"/>
          </w:tcPr>
          <w:p>
            <w:pPr>
              <w:spacing w:after="0"/>
            </w:pPr>
            <w:r>
              <w:rPr>
                <w:rFonts w:ascii="Consolas" w:hAnsi="Consolas"/>
                <w:color w:val="334455"/>
                <w:sz w:val="17"/>
              </w:rPr>
              <w:t>Cek/stop</w:t>
            </w:r>
          </w:p>
        </w:tc>
        <w:tc>
          <w:tcPr>
            <w:tcW w:type="dxa" w:w="4592"/>
          </w:tcPr>
          <w:p>
            <w:pPr>
              <w:spacing w:after="0"/>
            </w:pPr>
            <w:r>
              <w:rPr>
                <w:sz w:val="19"/>
              </w:rPr>
              <w:t>Obat yang sedang dipakai pasien dan ditandai sistem sebagai perlu diperiksa atau dihentikan</w:t>
            </w:r>
          </w:p>
        </w:tc>
      </w:tr>
      <w:tr>
        <w:tc>
          <w:tcPr>
            <w:tcW w:type="dxa" w:w="4592"/>
          </w:tcPr>
          <w:p>
            <w:pPr>
              <w:spacing w:after="0"/>
            </w:pPr>
            <w:r>
              <w:rPr>
                <w:rFonts w:ascii="Consolas" w:hAnsi="Consolas"/>
                <w:color w:val="334455"/>
                <w:sz w:val="17"/>
              </w:rPr>
              <w:t>Tatalaksana</w:t>
            </w:r>
          </w:p>
        </w:tc>
        <w:tc>
          <w:tcPr>
            <w:tcW w:type="dxa" w:w="4592"/>
          </w:tcPr>
          <w:p>
            <w:pPr>
              <w:spacing w:after="0"/>
            </w:pPr>
            <w:r>
              <w:rPr>
                <w:sz w:val="19"/>
              </w:rPr>
              <w:t>Tindakan bukan obat: rujukan, konseling, target terapi, peninjauan ulang</w:t>
            </w:r>
          </w:p>
        </w:tc>
      </w:tr>
      <w:tr>
        <w:tc>
          <w:tcPr>
            <w:tcW w:type="dxa" w:w="4592"/>
          </w:tcPr>
          <w:p>
            <w:pPr>
              <w:spacing w:after="0"/>
            </w:pPr>
            <w:r>
              <w:rPr>
                <w:rFonts w:ascii="Consolas" w:hAnsi="Consolas"/>
                <w:color w:val="334455"/>
                <w:sz w:val="17"/>
              </w:rPr>
              <w:t>Medikamentosa</w:t>
            </w:r>
          </w:p>
        </w:tc>
        <w:tc>
          <w:tcPr>
            <w:tcW w:type="dxa" w:w="4592"/>
          </w:tcPr>
          <w:p>
            <w:pPr>
              <w:spacing w:after="0"/>
            </w:pPr>
            <w:r>
              <w:rPr>
                <w:sz w:val="19"/>
              </w:rPr>
              <w:t>Terapi obat yang disarankan</w:t>
            </w:r>
          </w:p>
        </w:tc>
      </w:tr>
    </w:tbl>
    <w:p>
      <w:pPr>
        <w:spacing w:after="40"/>
      </w:pPr>
    </w:p>
    <w:p>
      <w:pPr>
        <w:pStyle w:val="Heading2"/>
        <w:spacing w:before="320" w:after="60"/>
      </w:pPr>
      <w:r>
        <w:rPr>
          <w:b/>
          <w:color w:val="1A1A1A"/>
          <w:sz w:val="26"/>
        </w:rPr>
        <w:t>Tiga pilihan penilaian</w:t>
      </w:r>
    </w:p>
    <w:p>
      <w:pPr>
        <w:spacing w:after="120"/>
      </w:pPr>
      <w:r>
        <w:rPr>
          <w:sz w:val="21"/>
        </w:rPr>
        <w:t>Untuk tiap baris, pilih satu.</w:t>
      </w:r>
    </w:p>
    <w:tbl>
      <w:tblPr>
        <w:tblStyle w:val="TableGrid"/>
        <w:tblW w:type="auto" w:w="0"/>
        <w:tblLayout w:type="autofit"/>
        <w:tblLook w:firstColumn="1" w:firstRow="1" w:lastColumn="0" w:lastRow="0" w:noHBand="0" w:noVBand="1" w:val="04A0"/>
      </w:tblPr>
      <w:tblGrid>
        <w:gridCol w:w="4592"/>
        <w:gridCol w:w="4592"/>
      </w:tblGrid>
      <w:tr>
        <w:tc>
          <w:tcPr>
            <w:tcW w:type="dxa" w:w="4592"/>
          </w:tcPr>
          <w:p>
            <w:pPr>
              <w:spacing w:after="0"/>
            </w:pPr>
            <w:r>
              <w:rPr>
                <w:b/>
                <w:sz w:val="19"/>
              </w:rPr>
              <w:t>Pilihan</w:t>
            </w:r>
          </w:p>
        </w:tc>
        <w:tc>
          <w:tcPr>
            <w:tcW w:type="dxa" w:w="4592"/>
          </w:tcPr>
          <w:p>
            <w:pPr>
              <w:spacing w:after="0"/>
            </w:pPr>
            <w:r>
              <w:rPr>
                <w:b/>
                <w:sz w:val="19"/>
              </w:rPr>
              <w:t>Dipakai bila</w:t>
            </w:r>
          </w:p>
        </w:tc>
      </w:tr>
      <w:tr>
        <w:tc>
          <w:tcPr>
            <w:tcW w:type="dxa" w:w="4592"/>
          </w:tcPr>
          <w:p>
            <w:pPr>
              <w:spacing w:after="0"/>
            </w:pPr>
            <w:r>
              <w:rPr>
                <w:b/>
                <w:sz w:val="19"/>
              </w:rPr>
              <w:t>Tepat</w:t>
            </w:r>
          </w:p>
        </w:tc>
        <w:tc>
          <w:tcPr>
            <w:tcW w:type="dxa" w:w="4592"/>
          </w:tcPr>
          <w:p>
            <w:pPr>
              <w:spacing w:after="0"/>
            </w:pPr>
            <w:r>
              <w:rPr>
                <w:sz w:val="19"/>
              </w:rPr>
              <w:t>Rekomendasi ini sesuai bagi pasien tersebut</w:t>
            </w:r>
          </w:p>
        </w:tc>
      </w:tr>
      <w:tr>
        <w:tc>
          <w:tcPr>
            <w:tcW w:type="dxa" w:w="4592"/>
          </w:tcPr>
          <w:p>
            <w:pPr>
              <w:spacing w:after="0"/>
            </w:pPr>
            <w:r>
              <w:rPr>
                <w:b/>
                <w:sz w:val="19"/>
              </w:rPr>
              <w:t>Belum tepat</w:t>
            </w:r>
          </w:p>
        </w:tc>
        <w:tc>
          <w:tcPr>
            <w:tcW w:type="dxa" w:w="4592"/>
          </w:tcPr>
          <w:p>
            <w:pPr>
              <w:spacing w:after="0"/>
            </w:pPr>
            <w:r>
              <w:rPr>
                <w:sz w:val="19"/>
              </w:rPr>
              <w:t>Rekomendasi ini tidak sesuai, keliru, atau tidak seharusnya muncul bagi pasien ini</w:t>
            </w:r>
          </w:p>
        </w:tc>
      </w:tr>
      <w:tr>
        <w:tc>
          <w:tcPr>
            <w:tcW w:type="dxa" w:w="4592"/>
          </w:tcPr>
          <w:p>
            <w:pPr>
              <w:spacing w:after="0"/>
            </w:pPr>
            <w:r>
              <w:rPr>
                <w:b/>
                <w:sz w:val="19"/>
              </w:rPr>
              <w:t>Tidak dapat dinilai</w:t>
            </w:r>
          </w:p>
        </w:tc>
        <w:tc>
          <w:tcPr>
            <w:tcW w:type="dxa" w:w="4592"/>
          </w:tcPr>
          <w:p>
            <w:pPr>
              <w:spacing w:after="0"/>
            </w:pPr>
            <w:r>
              <w:rPr>
                <w:sz w:val="19"/>
              </w:rPr>
              <w:t>Informasi yang tersedia belum cukup untuk memutuskan</w:t>
            </w:r>
          </w:p>
        </w:tc>
      </w:tr>
    </w:tbl>
    <w:p>
      <w:pPr>
        <w:spacing w:after="40"/>
      </w:pPr>
    </w:p>
    <w:p>
      <w:pPr>
        <w:spacing w:after="120"/>
      </w:pPr>
      <w:r>
        <w:rPr>
          <w:b/>
          <w:sz w:val="21"/>
        </w:rPr>
        <w:t>"Tidak dapat dinilai" adalah jawaban yang sah.</w:t>
      </w:r>
      <w:r>
        <w:rPr>
          <w:sz w:val="21"/>
        </w:rPr>
        <w:t xml:space="preserve"> Penilaian dilakukan berdasarkan kesimpulan yang disusun sistem, dan kesimpulan itu memang tidak selalu memuat semua yang diperlukan — misalnya nilai fraksi ejeksi, tekanan darah, atau kadar LDL. Bila memang tidak cukup, pilihlah pilihan ketiga. Justru berapa sering hal itu terjadi merupakan salah satu hal yang hendak diukur penelitian ini, sehingga menebak akan mengaburkan hasilnya.</w:t>
      </w:r>
    </w:p>
    <w:p>
      <w:pPr>
        <w:pStyle w:val="Heading2"/>
        <w:spacing w:before="320" w:after="60"/>
      </w:pPr>
      <w:r>
        <w:rPr>
          <w:b/>
          <w:color w:val="1A1A1A"/>
          <w:sz w:val="26"/>
        </w:rPr>
        <w:t>Kolom saran</w:t>
      </w:r>
    </w:p>
    <w:p>
      <w:pPr>
        <w:spacing w:after="120"/>
      </w:pPr>
      <w:r>
        <w:rPr>
          <w:sz w:val="21"/>
        </w:rPr>
        <w:t xml:space="preserve">Bila Anda memilih </w:t>
      </w:r>
      <w:r>
        <w:rPr>
          <w:b/>
          <w:sz w:val="21"/>
        </w:rPr>
        <w:t>Belum tepat</w:t>
      </w:r>
      <w:r>
        <w:rPr>
          <w:sz w:val="21"/>
        </w:rPr>
        <w:t xml:space="preserve"> atau </w:t>
      </w:r>
      <w:r>
        <w:rPr>
          <w:b/>
          <w:sz w:val="21"/>
        </w:rPr>
        <w:t>Tidak dapat dinilai</w:t>
      </w:r>
      <w:r>
        <w:rPr>
          <w:sz w:val="21"/>
        </w:rPr>
        <w:t>, isilah kolom terakhir.</w:t>
      </w:r>
    </w:p>
    <w:p>
      <w:pPr>
        <w:pStyle w:val="ListBullet"/>
        <w:spacing w:after="60"/>
      </w:pPr>
      <w:r>
        <w:rPr>
          <w:sz w:val="21"/>
        </w:rPr>
        <w:t xml:space="preserve">Untuk </w:t>
      </w:r>
      <w:r>
        <w:rPr>
          <w:b/>
          <w:sz w:val="21"/>
        </w:rPr>
        <w:t>Belum tepat</w:t>
      </w:r>
      <w:r>
        <w:rPr>
          <w:sz w:val="21"/>
        </w:rPr>
        <w:t>: apa yang akan Anda sarankan bagi pasien tersebut, atau mengapa</w:t>
      </w:r>
    </w:p>
    <w:p>
      <w:pPr>
        <w:spacing w:after="120"/>
      </w:pPr>
      <w:r>
        <w:rPr>
          <w:sz w:val="21"/>
        </w:rPr>
        <w:t>rekomendasi itu tidak sesuai. Cukup satu kalimat pendek.</w:t>
      </w:r>
    </w:p>
    <w:p>
      <w:pPr>
        <w:pStyle w:val="ListBullet"/>
        <w:spacing w:after="60"/>
      </w:pPr>
      <w:r>
        <w:rPr>
          <w:sz w:val="21"/>
        </w:rPr>
        <w:t xml:space="preserve">Untuk </w:t>
      </w:r>
      <w:r>
        <w:rPr>
          <w:b/>
          <w:sz w:val="21"/>
        </w:rPr>
        <w:t>Tidak dapat dinilai</w:t>
      </w:r>
      <w:r>
        <w:rPr>
          <w:sz w:val="21"/>
        </w:rPr>
        <w:t>: keterangan apa yang Anda perlukan untuk dapat menilai.</w:t>
      </w:r>
    </w:p>
    <w:p>
      <w:pPr>
        <w:spacing w:after="120"/>
      </w:pPr>
      <w:r>
        <w:rPr>
          <w:sz w:val="21"/>
        </w:rPr>
        <w:t xml:space="preserve">Bila menurut Anda ada rekomendasi penting yang </w:t>
      </w:r>
      <w:r>
        <w:rPr>
          <w:b/>
          <w:sz w:val="21"/>
        </w:rPr>
        <w:t>seharusnya muncul tetapi tidak ada</w:t>
      </w:r>
      <w:r>
        <w:rPr>
          <w:sz w:val="21"/>
        </w:rPr>
        <w:t>, tuliskan pada kolom saran baris mana pun pada pasien tersebut. Hal itu tidak dapat ditangkap oleh tabel, padahal justru berharga.</w:t>
      </w:r>
    </w:p>
    <w:p>
      <w:pPr>
        <w:pStyle w:val="Heading2"/>
        <w:spacing w:before="320" w:after="60"/>
      </w:pPr>
      <w:r>
        <w:rPr>
          <w:b/>
          <w:color w:val="1A1A1A"/>
          <w:sz w:val="26"/>
        </w:rPr>
        <w:t>Aturan penting</w:t>
      </w:r>
    </w:p>
    <w:p>
      <w:pPr>
        <w:pStyle w:val="ListNumber"/>
        <w:spacing w:after="60"/>
      </w:pPr>
      <w:r>
        <w:rPr>
          <w:b/>
          <w:sz w:val="21"/>
        </w:rPr>
        <w:t>Jangan berdiskusi dengan penilai lain</w:t>
      </w:r>
      <w:r>
        <w:rPr>
          <w:sz w:val="21"/>
        </w:rPr>
        <w:t xml:space="preserve"> sebelum seluruh penilaian Anda selesai. Kesepakatan antarpenilai merupakan salah satu hal yang diukur, sehingga diskusi lebih awal akan merusak pengukurannya.</w:t>
      </w:r>
    </w:p>
    <w:p>
      <w:pPr>
        <w:pStyle w:val="ListNumber"/>
        <w:spacing w:after="60"/>
      </w:pPr>
      <w:r>
        <w:rPr>
          <w:sz w:val="21"/>
        </w:rPr>
        <w:t>Nilailah tiap baris secara terpisah. Tidak perlu menjaga konsistensi antar pasien.</w:t>
      </w:r>
    </w:p>
    <w:p>
      <w:pPr>
        <w:pStyle w:val="ListNumber"/>
        <w:spacing w:after="60"/>
      </w:pPr>
      <w:r>
        <w:rPr>
          <w:sz w:val="21"/>
        </w:rPr>
        <w:t>Tidak ada jawaban yang benar atau salah. Kritik justru merupakan hasil yang paling berguna bagi penelitian ini.</w:t>
      </w:r>
    </w:p>
    <w:p>
      <w:pPr>
        <w:pStyle w:val="Heading2"/>
        <w:spacing w:before="320" w:after="60"/>
      </w:pPr>
      <w:r>
        <w:rPr>
          <w:b/>
          <w:color w:val="1A1A1A"/>
          <w:sz w:val="26"/>
        </w:rPr>
        <w:t>Tentang datanya</w:t>
      </w:r>
    </w:p>
    <w:p>
      <w:pPr>
        <w:spacing w:after="120"/>
      </w:pPr>
      <w:r>
        <w:rPr>
          <w:sz w:val="21"/>
        </w:rPr>
        <w:t xml:space="preserve">Rekam medis yang dipakai seluruhnya </w:t>
      </w:r>
      <w:r>
        <w:rPr>
          <w:b/>
          <w:sz w:val="21"/>
        </w:rPr>
        <w:t>sintetis</w:t>
      </w:r>
      <w:r>
        <w:rPr>
          <w:sz w:val="21"/>
        </w:rPr>
        <w:t>, dibangkitkan komputer dengan Synthea, bukan pasien nyata. Karena itu sebagian pola klinis mungkin terasa tidak lazim.</w:t>
      </w:r>
    </w:p>
    <w:p>
      <w:pPr>
        <w:spacing w:after="120"/>
      </w:pPr>
      <w:r>
        <w:rPr>
          <w:sz w:val="21"/>
        </w:rPr>
        <w:t xml:space="preserve">Satu hal perlu diketahui di muka: data ini </w:t>
      </w:r>
      <w:r>
        <w:rPr>
          <w:b/>
          <w:sz w:val="21"/>
        </w:rPr>
        <w:t>tidak memuat keluhan subjektif yang bermakna</w:t>
      </w:r>
      <w:r>
        <w:rPr>
          <w:sz w:val="21"/>
        </w:rPr>
        <w:t>. Keluhan utama pasien bersifat statis sepanjang hidupnya dan tidak memuat gambaran angina, derajat keluhan, maupun kapasitas fungsional. Rekomendasi yang pada praktik nyata ditentukan oleh keluhan pasien karenanya tidak dapat dinilai sebagaimana mestinya, dan hal itu bukan kekurangan penilaian Anda.</w:t>
      </w:r>
    </w:p>
    <w:p>
      <w:pPr>
        <w:pStyle w:val="Heading2"/>
        <w:spacing w:before="320" w:after="60"/>
      </w:pPr>
      <w:r>
        <w:rPr>
          <w:b/>
          <w:color w:val="1A1A1A"/>
          <w:sz w:val="26"/>
        </w:rPr>
        <w:t>Cara mengisi</w:t>
      </w:r>
    </w:p>
    <w:p>
      <w:pPr>
        <w:spacing w:after="120"/>
      </w:pPr>
      <w:r>
        <w:rPr>
          <w:sz w:val="21"/>
        </w:rPr>
        <w:t xml:space="preserve">Lembar diisi dengan pena. Pada kolom </w:t>
      </w:r>
      <w:r>
        <w:rPr>
          <w:b/>
          <w:sz w:val="21"/>
        </w:rPr>
        <w:t>Penilaian</w:t>
      </w:r>
      <w:r>
        <w:rPr>
          <w:sz w:val="21"/>
        </w:rPr>
        <w:t xml:space="preserve">, beri tanda centang (✓) pada </w:t>
      </w:r>
      <w:r>
        <w:rPr>
          <w:b/>
          <w:sz w:val="21"/>
        </w:rPr>
        <w:t>satu</w:t>
      </w:r>
      <w:r>
        <w:rPr>
          <w:sz w:val="21"/>
        </w:rPr>
        <w:t xml:space="preserve"> kotak di tiap baris. Bila ingin mengganti pilihan, coret pilihan yang keliru dengan jelas, lalu centang kotak yang benar.</w:t>
      </w:r>
    </w:p>
    <w:p>
      <w:pPr>
        <w:spacing w:after="120"/>
      </w:pPr>
      <w:r>
        <w:rPr>
          <w:sz w:val="21"/>
        </w:rPr>
        <w:t>Tuliskan saran pada kolom terakhir. Bila tempatnya tidak cukup, lanjutkan di bagian belakang halaman yang sama dengan menyebutkan rekomendasi yang dimaksud.</w:t>
      </w:r>
    </w:p>
    <w:p>
      <w:pPr>
        <w:spacing w:after="120"/>
      </w:pPr>
      <w:r>
        <w:rPr>
          <w:sz w:val="21"/>
        </w:rPr>
        <w:t>Setelah selesai, kembalikan seluruh lembar kepada peneliti.</w:t>
      </w:r>
    </w:p>
    <w:p>
      <w:pPr>
        <w:spacing w:after="120"/>
      </w:pPr>
      <w:r>
        <w:rPr>
          <w:sz w:val="21"/>
        </w:rPr>
        <w:t>Identitas Anda tidak akan muncul pada naskah maupun data yang diterbitkan; yang dipakai hanya kode penilai.</w:t>
      </w:r>
    </w:p>
    <w:sectPr w:rsidR="00FC693F" w:rsidRPr="0006063C" w:rsidSect="00034616">
      <w:footerReference w:type="default" r:id="rId9"/>
      <w:pgSz w:w="11906" w:h="16838"/>
      <w:pgMar w:top="1134" w:right="1361"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val="0"/>
        <w:color w:val="606060"/>
        <w:sz w:val="16"/>
      </w:rPr>
      <w:t xml:space="preserve">Panduan Penilaian — Telaah Klinisi     </w:t>
    </w:r>
    <w:r>
      <w:fldChar w:fldCharType="begin"/>
      <w:instrText xml:space="preserve">PAGE</w:instrText>
      <w:fldChar w:fldCharType="separate">
        <w:t>1</w:t>
      </w:fldChar>
      <w:fldChar w:fldCharType="end"/>
    </w:r>
    <w:r>
      <w:rPr>
        <w:i w:val="0"/>
        <w:color w:val="606060"/>
        <w:sz w:val="16"/>
      </w:rPr>
      <w:t xml:space="preserve"> / </w:t>
    </w:r>
    <w:r>
      <w:fldChar w:fldCharType="begin"/>
      <w:instrText xml:space="preserve">NUMPAGES</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