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9C0006"/>
          <w:sz w:val="32"/>
        </w:rPr>
        <w:t>TEMPLATE PERENCANAAN DATA PENELITIAN</w:t>
        <w:br/>
        <w:t>(DATA MANAGEMENT PLAN)</w:t>
      </w:r>
    </w:p>
    <w:p>
      <w:pPr>
        <w:jc w:val="center"/>
      </w:pPr>
      <w:r>
        <w:rPr>
          <w:b/>
          <w:sz w:val="24"/>
        </w:rPr>
        <w:t>RIIM KOMPETISI 2026 - DRAF PENGISIAN</w:t>
      </w:r>
    </w:p>
    <w:p>
      <w:pPr>
        <w:pStyle w:val="Heading1"/>
      </w:pPr>
      <w:r>
        <w:t>1. Metadata</w:t>
      </w:r>
    </w:p>
    <w:tbl>
      <w:tblPr>
        <w:tblStyle w:val="TableGrid"/>
        <w:tblW w:type="auto" w:w="0"/>
        <w:jc w:val="center"/>
        <w:tblLook w:firstColumn="1" w:firstRow="1" w:lastColumn="0" w:lastRow="0" w:noHBand="0" w:noVBand="1" w:val="04A0"/>
      </w:tblPr>
      <w:tblGrid>
        <w:gridCol w:w="3041"/>
        <w:gridCol w:w="3041"/>
        <w:gridCol w:w="3041"/>
      </w:tblGrid>
      <w:tr>
        <w:tc>
          <w:tcPr>
            <w:tcW w:type="dxa" w:w="1247"/>
            <w:vAlign w:val="center"/>
            <w:shd w:fill="D9EAF7"/>
          </w:tcPr>
          <w:p>
            <w:pPr>
              <w:spacing w:after="0"/>
            </w:pPr>
            <w:r/>
            <w:r>
              <w:rPr>
                <w:rFonts w:ascii="Times New Roman" w:hAnsi="Times New Roman"/>
                <w:b/>
                <w:sz w:val="20"/>
              </w:rPr>
              <w:t>1.1</w:t>
            </w:r>
          </w:p>
        </w:tc>
        <w:tc>
          <w:tcPr>
            <w:tcW w:type="dxa" w:w="2268"/>
            <w:vAlign w:val="center"/>
            <w:shd w:fill="D9EAF7"/>
          </w:tcPr>
          <w:p>
            <w:pPr>
              <w:spacing w:after="0"/>
            </w:pPr>
            <w:r/>
            <w:r>
              <w:rPr>
                <w:rFonts w:ascii="Times New Roman" w:hAnsi="Times New Roman"/>
                <w:b/>
                <w:sz w:val="20"/>
              </w:rPr>
              <w:t>Judul Riset</w:t>
            </w:r>
          </w:p>
        </w:tc>
        <w:tc>
          <w:tcPr>
            <w:tcW w:type="dxa" w:w="6236"/>
            <w:vAlign w:val="center"/>
          </w:tcPr>
          <w:p>
            <w:r/>
            <w:r>
              <w:rPr>
                <w:b w:val="0"/>
              </w:rPr>
              <w:t>Pengembangan Smart Charging Hub Solar Hybrid PV–BESS–Grid Berbasis AI dan IoT-Edge dengan EMS Adaptif, Mode Islanding, dan Layanan Digital</w:t>
            </w:r>
          </w:p>
        </w:tc>
      </w:tr>
      <w:tr>
        <w:tc>
          <w:tcPr>
            <w:tcW w:type="dxa" w:w="1247"/>
            <w:vAlign w:val="center"/>
            <w:shd w:fill="D9EAF7"/>
          </w:tcPr>
          <w:p>
            <w:pPr>
              <w:spacing w:after="0"/>
            </w:pPr>
            <w:r/>
            <w:r>
              <w:rPr>
                <w:rFonts w:ascii="Times New Roman" w:hAnsi="Times New Roman"/>
                <w:b/>
                <w:sz w:val="20"/>
              </w:rPr>
              <w:t>1.2</w:t>
            </w:r>
          </w:p>
        </w:tc>
        <w:tc>
          <w:tcPr>
            <w:tcW w:type="dxa" w:w="2268"/>
            <w:vAlign w:val="center"/>
            <w:shd w:fill="D9EAF7"/>
          </w:tcPr>
          <w:p>
            <w:pPr>
              <w:spacing w:after="0"/>
            </w:pPr>
            <w:r/>
            <w:r>
              <w:rPr>
                <w:rFonts w:ascii="Times New Roman" w:hAnsi="Times New Roman"/>
                <w:b/>
                <w:sz w:val="20"/>
              </w:rPr>
              <w:t>Durasi Riset</w:t>
            </w:r>
          </w:p>
        </w:tc>
        <w:tc>
          <w:tcPr>
            <w:tcW w:type="dxa" w:w="6236"/>
            <w:vAlign w:val="center"/>
          </w:tcPr>
          <w:p>
            <w:pPr>
              <w:spacing w:after="0"/>
            </w:pPr>
            <w:r/>
            <w:r>
              <w:rPr>
                <w:rFonts w:ascii="Times New Roman" w:hAnsi="Times New Roman"/>
                <w:b w:val="0"/>
                <w:sz w:val="20"/>
              </w:rPr>
              <w:t>Mulai: [DIISI SESUAI TANGGAL KONTRAK]</w:t>
              <w:br/>
              <w:t>Akhir: 24 bulan setelah tanggal mulai kontrak</w:t>
            </w:r>
          </w:p>
        </w:tc>
      </w:tr>
      <w:tr>
        <w:tc>
          <w:tcPr>
            <w:tcW w:type="dxa" w:w="1247"/>
            <w:vAlign w:val="center"/>
            <w:shd w:fill="D9EAF7"/>
          </w:tcPr>
          <w:p>
            <w:pPr>
              <w:spacing w:after="0"/>
            </w:pPr>
            <w:r/>
            <w:r>
              <w:rPr>
                <w:rFonts w:ascii="Times New Roman" w:hAnsi="Times New Roman"/>
                <w:b/>
                <w:sz w:val="20"/>
              </w:rPr>
              <w:t>1.3</w:t>
            </w:r>
          </w:p>
        </w:tc>
        <w:tc>
          <w:tcPr>
            <w:tcW w:type="dxa" w:w="2268"/>
            <w:vAlign w:val="center"/>
            <w:shd w:fill="D9EAF7"/>
          </w:tcPr>
          <w:p>
            <w:pPr>
              <w:spacing w:after="0"/>
            </w:pPr>
            <w:r/>
            <w:r>
              <w:rPr>
                <w:rFonts w:ascii="Times New Roman" w:hAnsi="Times New Roman"/>
                <w:b/>
                <w:sz w:val="20"/>
              </w:rPr>
              <w:t>Ketua Tim Riset</w:t>
            </w:r>
          </w:p>
        </w:tc>
        <w:tc>
          <w:tcPr>
            <w:tcW w:type="dxa" w:w="6236"/>
            <w:vAlign w:val="center"/>
          </w:tcPr>
          <w:p>
            <w:pPr>
              <w:spacing w:after="0"/>
            </w:pPr>
            <w:r>
              <w:t>Nama: Prof. Dr. Subiyanto, S.T., M.T.</w:t>
              <w:br/>
              <w:t>Afiliasi: Universitas Negeri Semarang</w:t>
              <w:br/>
              <w:t>NIP/NIK: 197411232005011001</w:t>
              <w:br/>
              <w:t>E-mail: subiyanto@mail.unnes.ac.id</w:t>
              <w:br/>
              <w:t>No. HP: +62 857-2757-4192</w:t>
            </w:r>
            <w:r>
              <w:rPr>
                <w:rFonts w:ascii="Times New Roman" w:hAnsi="Times New Roman"/>
                <w:b w:val="0"/>
                <w:sz w:val="20"/>
              </w:rPr>
            </w:r>
          </w:p>
        </w:tc>
      </w:tr>
      <w:tr>
        <w:tc>
          <w:tcPr>
            <w:tcW w:type="dxa" w:w="1247"/>
            <w:vAlign w:val="center"/>
            <w:shd w:fill="D9EAF7"/>
          </w:tcPr>
          <w:p>
            <w:pPr>
              <w:spacing w:after="0"/>
            </w:pPr>
            <w:r/>
            <w:r>
              <w:rPr>
                <w:rFonts w:ascii="Times New Roman" w:hAnsi="Times New Roman"/>
                <w:b/>
                <w:sz w:val="20"/>
              </w:rPr>
            </w:r>
          </w:p>
        </w:tc>
        <w:tc>
          <w:tcPr>
            <w:tcW w:type="dxa" w:w="2268"/>
            <w:vAlign w:val="center"/>
            <w:shd w:fill="D9EAF7"/>
          </w:tcPr>
          <w:p>
            <w:pPr>
              <w:spacing w:after="0"/>
            </w:pPr>
            <w:r/>
            <w:r>
              <w:rPr>
                <w:rFonts w:ascii="Times New Roman" w:hAnsi="Times New Roman"/>
                <w:b/>
                <w:sz w:val="20"/>
              </w:rPr>
              <w:t>Anggota Tim Riset</w:t>
            </w:r>
          </w:p>
        </w:tc>
        <w:tc>
          <w:tcPr>
            <w:tcW w:type="dxa" w:w="6236"/>
            <w:vAlign w:val="center"/>
          </w:tcPr>
          <w:p>
            <w:pPr>
              <w:spacing w:after="0"/>
            </w:pPr>
            <w:r>
              <w:t>1. Bagaskoro Saputro, S.Si., M.Cs. – BINUS University</w:t>
              <w:br/>
              <w:t>2. Mario Norman Syah, S.Pd., M.Eng. – Universitas Negeri Semarang</w:t>
              <w:br/>
              <w:t>3. Adhe Lingga Dewi, S.Si., M.Si. – BINUS University</w:t>
              <w:br/>
              <w:t>4. Ir. Turnad Lenggo Ginta, S.T., M.T., Ph.D. – BRIN</w:t>
            </w:r>
            <w:r>
              <w:rPr>
                <w:rFonts w:ascii="Times New Roman" w:hAnsi="Times New Roman"/>
                <w:b w:val="0"/>
                <w:sz w:val="20"/>
              </w:rPr>
            </w:r>
          </w:p>
        </w:tc>
      </w:tr>
      <w:tr>
        <w:tc>
          <w:tcPr>
            <w:tcW w:type="dxa" w:w="1247"/>
            <w:vAlign w:val="center"/>
            <w:shd w:fill="D9EAF7"/>
          </w:tcPr>
          <w:p>
            <w:pPr>
              <w:spacing w:after="0"/>
            </w:pPr>
            <w:r/>
            <w:r>
              <w:rPr>
                <w:rFonts w:ascii="Times New Roman" w:hAnsi="Times New Roman"/>
                <w:b/>
                <w:sz w:val="20"/>
              </w:rPr>
              <w:t>1.4</w:t>
            </w:r>
          </w:p>
        </w:tc>
        <w:tc>
          <w:tcPr>
            <w:tcW w:type="dxa" w:w="2268"/>
            <w:vAlign w:val="center"/>
            <w:shd w:fill="D9EAF7"/>
          </w:tcPr>
          <w:p>
            <w:pPr>
              <w:spacing w:after="0"/>
            </w:pPr>
            <w:r/>
            <w:r>
              <w:rPr>
                <w:rFonts w:ascii="Times New Roman" w:hAnsi="Times New Roman"/>
                <w:b/>
                <w:sz w:val="20"/>
              </w:rPr>
              <w:t>Subjek Riset</w:t>
            </w:r>
          </w:p>
        </w:tc>
        <w:tc>
          <w:tcPr>
            <w:tcW w:type="dxa" w:w="6236"/>
            <w:vAlign w:val="center"/>
          </w:tcPr>
          <w:p>
            <w:r/>
            <w:r>
              <w:rPr>
                <w:b w:val="0"/>
              </w:rPr>
              <w:t>☒ Engineering</w:t>
              <w:br/>
              <w:t>☒ Computer and Information Sciences</w:t>
              <w:br/>
              <w:t>☒ Earth and Environmental Sciences (energi terbarukan dan emisi)</w:t>
              <w:br/>
              <w:t>☒ Business and Management (operasi layanan digital sebagai aspek sekunder)</w:t>
            </w:r>
          </w:p>
        </w:tc>
      </w:tr>
      <w:tr>
        <w:tc>
          <w:tcPr>
            <w:tcW w:type="dxa" w:w="1247"/>
            <w:vAlign w:val="center"/>
            <w:shd w:fill="D9EAF7"/>
          </w:tcPr>
          <w:p>
            <w:pPr>
              <w:spacing w:after="0"/>
            </w:pPr>
            <w:r/>
            <w:r>
              <w:rPr>
                <w:rFonts w:ascii="Times New Roman" w:hAnsi="Times New Roman"/>
                <w:b/>
                <w:sz w:val="20"/>
              </w:rPr>
              <w:t>1.5</w:t>
            </w:r>
          </w:p>
        </w:tc>
        <w:tc>
          <w:tcPr>
            <w:tcW w:type="dxa" w:w="2268"/>
            <w:vAlign w:val="center"/>
            <w:shd w:fill="D9EAF7"/>
          </w:tcPr>
          <w:p>
            <w:pPr>
              <w:spacing w:after="0"/>
            </w:pPr>
            <w:r/>
            <w:r>
              <w:rPr>
                <w:rFonts w:ascii="Times New Roman" w:hAnsi="Times New Roman"/>
                <w:b/>
                <w:sz w:val="20"/>
              </w:rPr>
              <w:t>Deskripsi Riset</w:t>
            </w:r>
          </w:p>
        </w:tc>
        <w:tc>
          <w:tcPr>
            <w:tcW w:type="dxa" w:w="6236"/>
            <w:vAlign w:val="center"/>
          </w:tcPr>
          <w:p>
            <w:r>
              <w:t>Riset mengembangkan smart charging hub solar hybrid PV–BESS–Grid berbasis AI dan IoT-edge dengan PV 19,8 kWp, BESS 20,48 kWh, charger AC/DC, smart socket, display digital, EMS adaptif, peak shaving, dan mode islanding terbatas. Data teknis digunakan untuk memvalidasi energi, resiliensi, battery health, kualitas layanan, dan kesiapterapan TKT 3–6. Sebagian aset utama charger, display, PV, BESS, inverter, dan fasilitas lokasi dipenuhi melalui perangkat eksisting institusi/mitra, kontribusi in-kind, atau skema sewa.</w:t>
            </w:r>
            <w:r>
              <w:rPr>
                <w:b w:val="0"/>
              </w:rPr>
            </w:r>
          </w:p>
        </w:tc>
      </w:tr>
      <w:tr>
        <w:tc>
          <w:tcPr>
            <w:tcW w:type="dxa" w:w="1247"/>
            <w:vAlign w:val="center"/>
            <w:shd w:fill="D9EAF7"/>
          </w:tcPr>
          <w:p>
            <w:pPr>
              <w:spacing w:after="0"/>
            </w:pPr>
            <w:r/>
            <w:r>
              <w:rPr>
                <w:rFonts w:ascii="Times New Roman" w:hAnsi="Times New Roman"/>
                <w:b/>
                <w:sz w:val="20"/>
              </w:rPr>
              <w:t>1.6</w:t>
            </w:r>
          </w:p>
        </w:tc>
        <w:tc>
          <w:tcPr>
            <w:tcW w:type="dxa" w:w="2268"/>
            <w:vAlign w:val="center"/>
            <w:shd w:fill="D9EAF7"/>
          </w:tcPr>
          <w:p>
            <w:pPr>
              <w:spacing w:after="0"/>
            </w:pPr>
            <w:r/>
            <w:r>
              <w:rPr>
                <w:rFonts w:ascii="Times New Roman" w:hAnsi="Times New Roman"/>
                <w:b/>
                <w:sz w:val="20"/>
              </w:rPr>
              <w:t>Sumber Dana Riset</w:t>
            </w:r>
          </w:p>
        </w:tc>
        <w:tc>
          <w:tcPr>
            <w:tcW w:type="dxa" w:w="6236"/>
            <w:vAlign w:val="center"/>
          </w:tcPr>
          <w:p>
            <w:pPr>
              <w:spacing w:after="0"/>
            </w:pPr>
            <w:r>
              <w:t>Riset dan Inovasi untuk Indonesia Maju (RIIM) Kompetisi – BRIN/LPDP. Usulan anggaran: Tahun I Rp250.000.000 dan Tahun II Rp250.000.000; total Rp500.000.000, di luar dukungan in-kind dan/atau co-funding PT. Arunika Sains Teknologi sesuai surat komitmen.</w:t>
            </w:r>
            <w:r>
              <w:rPr>
                <w:rFonts w:ascii="Times New Roman" w:hAnsi="Times New Roman"/>
                <w:b w:val="0"/>
                <w:sz w:val="20"/>
              </w:rPr>
            </w:r>
          </w:p>
        </w:tc>
      </w:tr>
    </w:tbl>
    <w:p>
      <w:pPr>
        <w:pStyle w:val="Heading1"/>
      </w:pPr>
      <w:r>
        <w:t>2. Tipe Data</w:t>
      </w:r>
    </w:p>
    <w:p>
      <w:r>
        <w:t>Data yang dikumpulkan dan dihasilkan mencakup data primer eksperimen, data sekunder operasional, model, source code, serta dokumen validasi. Data disimpan pada format terbuka sejauh memungkinkan agar dapat digunakan ulang.</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vAlign w:val="center"/>
            <w:shd w:fill="B4C6E7"/>
          </w:tcPr>
          <w:p>
            <w:pPr>
              <w:spacing w:after="0"/>
            </w:pPr>
            <w:r/>
            <w:r>
              <w:rPr>
                <w:rFonts w:ascii="Times New Roman" w:hAnsi="Times New Roman"/>
                <w:b/>
                <w:sz w:val="20"/>
              </w:rPr>
              <w:t>No.</w:t>
            </w:r>
          </w:p>
        </w:tc>
        <w:tc>
          <w:tcPr>
            <w:tcW w:type="dxa" w:w="2280"/>
            <w:vAlign w:val="center"/>
            <w:shd w:fill="B4C6E7"/>
          </w:tcPr>
          <w:p>
            <w:pPr>
              <w:spacing w:after="0"/>
            </w:pPr>
            <w:r/>
            <w:r>
              <w:rPr>
                <w:rFonts w:ascii="Times New Roman" w:hAnsi="Times New Roman"/>
                <w:b/>
                <w:sz w:val="20"/>
              </w:rPr>
              <w:t>Jenis Data</w:t>
            </w:r>
          </w:p>
        </w:tc>
        <w:tc>
          <w:tcPr>
            <w:tcW w:type="dxa" w:w="2280"/>
            <w:vAlign w:val="center"/>
            <w:shd w:fill="B4C6E7"/>
          </w:tcPr>
          <w:p>
            <w:pPr>
              <w:spacing w:after="0"/>
            </w:pPr>
            <w:r/>
            <w:r>
              <w:rPr>
                <w:rFonts w:ascii="Times New Roman" w:hAnsi="Times New Roman"/>
                <w:b/>
                <w:sz w:val="20"/>
              </w:rPr>
              <w:t>Deskripsi</w:t>
            </w:r>
          </w:p>
        </w:tc>
        <w:tc>
          <w:tcPr>
            <w:tcW w:type="dxa" w:w="2280"/>
            <w:vAlign w:val="center"/>
            <w:shd w:fill="B4C6E7"/>
          </w:tcPr>
          <w:p>
            <w:pPr>
              <w:spacing w:after="0"/>
            </w:pPr>
            <w:r/>
            <w:r>
              <w:rPr>
                <w:rFonts w:ascii="Times New Roman" w:hAnsi="Times New Roman"/>
                <w:b/>
                <w:sz w:val="20"/>
              </w:rPr>
              <w:t>Format File</w:t>
            </w:r>
          </w:p>
        </w:tc>
      </w:tr>
      <w:tr>
        <w:tc>
          <w:tcPr>
            <w:tcW w:type="dxa" w:w="2280"/>
            <w:vAlign w:val="center"/>
          </w:tcPr>
          <w:p>
            <w:r/>
            <w:r>
              <w:rPr>
                <w:b w:val="0"/>
              </w:rPr>
              <w:t>1</w:t>
            </w:r>
          </w:p>
        </w:tc>
        <w:tc>
          <w:tcPr>
            <w:tcW w:type="dxa" w:w="2280"/>
            <w:vAlign w:val="center"/>
          </w:tcPr>
          <w:p>
            <w:r/>
            <w:r>
              <w:rPr>
                <w:b w:val="0"/>
              </w:rPr>
              <w:t>Telemetri PV–BESS–Grid</w:t>
            </w:r>
          </w:p>
        </w:tc>
        <w:tc>
          <w:tcPr>
            <w:tcW w:type="dxa" w:w="2280"/>
            <w:vAlign w:val="center"/>
          </w:tcPr>
          <w:p>
            <w:r/>
            <w:r>
              <w:rPr>
                <w:b w:val="0"/>
              </w:rPr>
              <w:t>Tegangan, arus, daya, energi, frekuensi, faktor daya, SOC, SOH proxy, temperatur, alarm, status ATS/islanding.</w:t>
            </w:r>
          </w:p>
        </w:tc>
        <w:tc>
          <w:tcPr>
            <w:tcW w:type="dxa" w:w="2280"/>
            <w:vAlign w:val="center"/>
          </w:tcPr>
          <w:p>
            <w:r/>
            <w:r>
              <w:rPr>
                <w:b w:val="0"/>
              </w:rPr>
              <w:t>CSV, Parquet, JSON</w:t>
            </w:r>
          </w:p>
        </w:tc>
      </w:tr>
      <w:tr>
        <w:tc>
          <w:tcPr>
            <w:tcW w:type="dxa" w:w="2280"/>
            <w:vAlign w:val="center"/>
          </w:tcPr>
          <w:p>
            <w:r/>
            <w:r>
              <w:rPr>
                <w:b w:val="0"/>
              </w:rPr>
              <w:t>2</w:t>
            </w:r>
          </w:p>
        </w:tc>
        <w:tc>
          <w:tcPr>
            <w:tcW w:type="dxa" w:w="2280"/>
            <w:vAlign w:val="center"/>
          </w:tcPr>
          <w:p>
            <w:r/>
            <w:r>
              <w:rPr>
                <w:b w:val="0"/>
              </w:rPr>
              <w:t>Telemetri charger dan smart socket</w:t>
            </w:r>
          </w:p>
        </w:tc>
        <w:tc>
          <w:tcPr>
            <w:tcW w:type="dxa" w:w="2280"/>
            <w:vAlign w:val="center"/>
          </w:tcPr>
          <w:p>
            <w:r/>
            <w:r>
              <w:rPr>
                <w:b w:val="0"/>
              </w:rPr>
              <w:t>Session ID pseudonim, meter values, status connector, charging profile, requested/served energy, duration.</w:t>
            </w:r>
          </w:p>
        </w:tc>
        <w:tc>
          <w:tcPr>
            <w:tcW w:type="dxa" w:w="2280"/>
            <w:vAlign w:val="center"/>
          </w:tcPr>
          <w:p>
            <w:r/>
            <w:r>
              <w:rPr>
                <w:b w:val="0"/>
              </w:rPr>
              <w:t>CSV, JSON, OCPP log</w:t>
            </w:r>
          </w:p>
        </w:tc>
      </w:tr>
      <w:tr>
        <w:tc>
          <w:tcPr>
            <w:tcW w:type="dxa" w:w="2280"/>
            <w:vAlign w:val="center"/>
          </w:tcPr>
          <w:p>
            <w:r/>
            <w:r>
              <w:rPr>
                <w:b w:val="0"/>
              </w:rPr>
              <w:t>3</w:t>
            </w:r>
          </w:p>
        </w:tc>
        <w:tc>
          <w:tcPr>
            <w:tcW w:type="dxa" w:w="2280"/>
            <w:vAlign w:val="center"/>
          </w:tcPr>
          <w:p>
            <w:r/>
            <w:r>
              <w:rPr>
                <w:b w:val="0"/>
              </w:rPr>
              <w:t>Log display dan CMS</w:t>
            </w:r>
          </w:p>
        </w:tc>
        <w:tc>
          <w:tcPr>
            <w:tcW w:type="dxa" w:w="2280"/>
            <w:vAlign w:val="center"/>
          </w:tcPr>
          <w:p>
            <w:r/>
            <w:r>
              <w:rPr>
                <w:b w:val="0"/>
              </w:rPr>
              <w:t>Display ID, content schedule, playback status, uptime, latency, renewable-fraction message; tanpa identitas audiens.</w:t>
            </w:r>
          </w:p>
        </w:tc>
        <w:tc>
          <w:tcPr>
            <w:tcW w:type="dxa" w:w="2280"/>
            <w:vAlign w:val="center"/>
          </w:tcPr>
          <w:p>
            <w:r/>
            <w:r>
              <w:rPr>
                <w:b w:val="0"/>
              </w:rPr>
              <w:t>CSV, JSON</w:t>
            </w:r>
          </w:p>
        </w:tc>
      </w:tr>
      <w:tr>
        <w:tc>
          <w:tcPr>
            <w:tcW w:type="dxa" w:w="2280"/>
            <w:vAlign w:val="center"/>
          </w:tcPr>
          <w:p>
            <w:r/>
            <w:r>
              <w:rPr>
                <w:b w:val="0"/>
              </w:rPr>
              <w:t>4</w:t>
            </w:r>
          </w:p>
        </w:tc>
        <w:tc>
          <w:tcPr>
            <w:tcW w:type="dxa" w:w="2280"/>
            <w:vAlign w:val="center"/>
          </w:tcPr>
          <w:p>
            <w:r/>
            <w:r>
              <w:rPr>
                <w:b w:val="0"/>
              </w:rPr>
              <w:t>Log IoT gateway dan komunikasi</w:t>
            </w:r>
          </w:p>
        </w:tc>
        <w:tc>
          <w:tcPr>
            <w:tcW w:type="dxa" w:w="2280"/>
            <w:vAlign w:val="center"/>
          </w:tcPr>
          <w:p>
            <w:r/>
            <w:r>
              <w:rPr>
                <w:b w:val="0"/>
              </w:rPr>
              <w:t>Device ID pseudonim, protocol register/topic, timestamp, packet loss, reconnect, local buffer, firmware version.</w:t>
            </w:r>
          </w:p>
        </w:tc>
        <w:tc>
          <w:tcPr>
            <w:tcW w:type="dxa" w:w="2280"/>
            <w:vAlign w:val="center"/>
          </w:tcPr>
          <w:p>
            <w:r/>
            <w:r>
              <w:rPr>
                <w:b w:val="0"/>
              </w:rPr>
              <w:t>JSON, CSV, TXT</w:t>
            </w:r>
          </w:p>
        </w:tc>
      </w:tr>
      <w:tr>
        <w:tc>
          <w:tcPr>
            <w:tcW w:type="dxa" w:w="2280"/>
            <w:vAlign w:val="center"/>
          </w:tcPr>
          <w:p>
            <w:r/>
            <w:r>
              <w:rPr>
                <w:b w:val="0"/>
              </w:rPr>
              <w:t>5</w:t>
            </w:r>
          </w:p>
        </w:tc>
        <w:tc>
          <w:tcPr>
            <w:tcW w:type="dxa" w:w="2280"/>
            <w:vAlign w:val="center"/>
          </w:tcPr>
          <w:p>
            <w:r/>
            <w:r>
              <w:rPr>
                <w:b w:val="0"/>
              </w:rPr>
              <w:t>Data cuaca dan PV</w:t>
            </w:r>
          </w:p>
        </w:tc>
        <w:tc>
          <w:tcPr>
            <w:tcW w:type="dxa" w:w="2280"/>
            <w:vAlign w:val="center"/>
          </w:tcPr>
          <w:p>
            <w:r/>
            <w:r>
              <w:rPr>
                <w:b w:val="0"/>
              </w:rPr>
              <w:t>Iradiasi, temperatur lingkungan/modul, shading note, prakiraan cuaca, keluaran PV.</w:t>
            </w:r>
          </w:p>
        </w:tc>
        <w:tc>
          <w:tcPr>
            <w:tcW w:type="dxa" w:w="2280"/>
            <w:vAlign w:val="center"/>
          </w:tcPr>
          <w:p>
            <w:r/>
            <w:r>
              <w:rPr>
                <w:b w:val="0"/>
              </w:rPr>
              <w:t>CSV, NetCDF/JSON</w:t>
            </w:r>
          </w:p>
        </w:tc>
      </w:tr>
      <w:tr>
        <w:tc>
          <w:tcPr>
            <w:tcW w:type="dxa" w:w="2280"/>
            <w:vAlign w:val="center"/>
          </w:tcPr>
          <w:p>
            <w:r/>
            <w:r>
              <w:rPr>
                <w:b w:val="0"/>
              </w:rPr>
              <w:t>6</w:t>
            </w:r>
          </w:p>
        </w:tc>
        <w:tc>
          <w:tcPr>
            <w:tcW w:type="dxa" w:w="2280"/>
            <w:vAlign w:val="center"/>
          </w:tcPr>
          <w:p>
            <w:r/>
            <w:r>
              <w:rPr>
                <w:b w:val="0"/>
              </w:rPr>
              <w:t>Data kalibrasi dan keselamatan</w:t>
            </w:r>
          </w:p>
        </w:tc>
        <w:tc>
          <w:tcPr>
            <w:tcW w:type="dxa" w:w="2280"/>
            <w:vAlign w:val="center"/>
          </w:tcPr>
          <w:p>
            <w:r/>
            <w:r>
              <w:rPr>
                <w:b w:val="0"/>
              </w:rPr>
              <w:t>Reference value, error, correction curve, trip/alarm, emergency stop, transfer time, inspection checklist.</w:t>
            </w:r>
          </w:p>
        </w:tc>
        <w:tc>
          <w:tcPr>
            <w:tcW w:type="dxa" w:w="2280"/>
            <w:vAlign w:val="center"/>
          </w:tcPr>
          <w:p>
            <w:r/>
            <w:r>
              <w:rPr>
                <w:b w:val="0"/>
              </w:rPr>
              <w:t>CSV, XLSX, PDF</w:t>
            </w:r>
          </w:p>
        </w:tc>
      </w:tr>
      <w:tr>
        <w:tc>
          <w:tcPr>
            <w:tcW w:type="dxa" w:w="2280"/>
            <w:vAlign w:val="center"/>
          </w:tcPr>
          <w:p>
            <w:r/>
            <w:r>
              <w:rPr>
                <w:b w:val="0"/>
              </w:rPr>
              <w:t>7</w:t>
            </w:r>
          </w:p>
        </w:tc>
        <w:tc>
          <w:tcPr>
            <w:tcW w:type="dxa" w:w="2280"/>
            <w:vAlign w:val="center"/>
          </w:tcPr>
          <w:p>
            <w:r/>
            <w:r>
              <w:rPr>
                <w:b w:val="0"/>
              </w:rPr>
              <w:t>Data AI dan EMS</w:t>
            </w:r>
          </w:p>
        </w:tc>
        <w:tc>
          <w:tcPr>
            <w:tcW w:type="dxa" w:w="2280"/>
            <w:vAlign w:val="center"/>
          </w:tcPr>
          <w:p>
            <w:r/>
            <w:r>
              <w:rPr>
                <w:b w:val="0"/>
              </w:rPr>
              <w:t>Feature, forecast, quantile, anomaly score, setpoint, objective value, constraint slack, fallback event.</w:t>
            </w:r>
          </w:p>
        </w:tc>
        <w:tc>
          <w:tcPr>
            <w:tcW w:type="dxa" w:w="2280"/>
            <w:vAlign w:val="center"/>
          </w:tcPr>
          <w:p>
            <w:r/>
            <w:r>
              <w:rPr>
                <w:b w:val="0"/>
              </w:rPr>
              <w:t>CSV, Parquet, JSON</w:t>
            </w:r>
          </w:p>
        </w:tc>
      </w:tr>
      <w:tr>
        <w:tc>
          <w:tcPr>
            <w:tcW w:type="dxa" w:w="2280"/>
            <w:vAlign w:val="center"/>
          </w:tcPr>
          <w:p>
            <w:r/>
            <w:r>
              <w:rPr>
                <w:b w:val="0"/>
              </w:rPr>
              <w:t>8</w:t>
            </w:r>
          </w:p>
        </w:tc>
        <w:tc>
          <w:tcPr>
            <w:tcW w:type="dxa" w:w="2280"/>
            <w:vAlign w:val="center"/>
          </w:tcPr>
          <w:p>
            <w:r/>
            <w:r>
              <w:rPr>
                <w:b w:val="0"/>
              </w:rPr>
              <w:t>Artefak perangkat lunak/model</w:t>
            </w:r>
          </w:p>
        </w:tc>
        <w:tc>
          <w:tcPr>
            <w:tcW w:type="dxa" w:w="2280"/>
            <w:vAlign w:val="center"/>
          </w:tcPr>
          <w:p>
            <w:r/>
            <w:r>
              <w:rPr>
                <w:b w:val="0"/>
              </w:rPr>
              <w:t>Source code, konfigurasi, model artifact, model card, API/ICD, container/dependency.</w:t>
            </w:r>
          </w:p>
        </w:tc>
        <w:tc>
          <w:tcPr>
            <w:tcW w:type="dxa" w:w="2280"/>
            <w:vAlign w:val="center"/>
          </w:tcPr>
          <w:p>
            <w:r/>
            <w:r>
              <w:rPr>
                <w:b w:val="0"/>
              </w:rPr>
              <w:t>PY, IPYNB, YAML, JSON, MD, Dockerfile</w:t>
            </w:r>
          </w:p>
        </w:tc>
      </w:tr>
      <w:tr>
        <w:tc>
          <w:tcPr>
            <w:tcW w:type="dxa" w:w="2280"/>
            <w:vAlign w:val="center"/>
          </w:tcPr>
          <w:p>
            <w:r/>
            <w:r>
              <w:rPr>
                <w:b w:val="0"/>
              </w:rPr>
              <w:t>9</w:t>
            </w:r>
          </w:p>
        </w:tc>
        <w:tc>
          <w:tcPr>
            <w:tcW w:type="dxa" w:w="2280"/>
            <w:vAlign w:val="center"/>
          </w:tcPr>
          <w:p>
            <w:r/>
            <w:r>
              <w:rPr>
                <w:b w:val="0"/>
              </w:rPr>
              <w:t>Dokumen riset dan teknis</w:t>
            </w:r>
          </w:p>
        </w:tc>
        <w:tc>
          <w:tcPr>
            <w:tcW w:type="dxa" w:w="2280"/>
            <w:vAlign w:val="center"/>
          </w:tcPr>
          <w:p>
            <w:r/>
            <w:r>
              <w:rPr>
                <w:b w:val="0"/>
              </w:rPr>
              <w:t>SLD, sizing report, SOP operasi/islanding/maintenance, commissioning report, KTI/KI.</w:t>
            </w:r>
          </w:p>
        </w:tc>
        <w:tc>
          <w:tcPr>
            <w:tcW w:type="dxa" w:w="2280"/>
            <w:vAlign w:val="center"/>
          </w:tcPr>
          <w:p>
            <w:r/>
            <w:r>
              <w:rPr>
                <w:b w:val="0"/>
              </w:rPr>
              <w:t>DOCX, PDF, SVG/PNG</w:t>
            </w:r>
          </w:p>
        </w:tc>
      </w:tr>
      <w:tr>
        <w:tc>
          <w:tcPr>
            <w:tcW w:type="dxa" w:w="2280"/>
            <w:vAlign w:val="center"/>
          </w:tcPr>
          <w:p>
            <w:pPr>
              <w:spacing w:after="0"/>
            </w:pPr>
            <w:r/>
            <w:r>
              <w:rPr>
                <w:rFonts w:ascii="Times New Roman" w:hAnsi="Times New Roman"/>
                <w:b w:val="0"/>
                <w:sz w:val="20"/>
              </w:rPr>
              <w:t>10</w:t>
            </w:r>
          </w:p>
        </w:tc>
        <w:tc>
          <w:tcPr>
            <w:tcW w:type="dxa" w:w="2280"/>
            <w:vAlign w:val="center"/>
          </w:tcPr>
          <w:p>
            <w:pPr>
              <w:spacing w:after="0"/>
            </w:pPr>
            <w:r/>
            <w:r>
              <w:rPr>
                <w:rFonts w:ascii="Times New Roman" w:hAnsi="Times New Roman"/>
                <w:b w:val="0"/>
                <w:sz w:val="20"/>
              </w:rPr>
              <w:t>Source code dan konfigurasi</w:t>
            </w:r>
          </w:p>
        </w:tc>
        <w:tc>
          <w:tcPr>
            <w:tcW w:type="dxa" w:w="2280"/>
            <w:vAlign w:val="center"/>
          </w:tcPr>
          <w:p>
            <w:pPr>
              <w:spacing w:after="0"/>
            </w:pPr>
            <w:r/>
            <w:r>
              <w:rPr>
                <w:rFonts w:ascii="Times New Roman" w:hAnsi="Times New Roman"/>
                <w:b w:val="0"/>
                <w:sz w:val="20"/>
              </w:rPr>
              <w:t>Kode ingest, calibration, forecasting, anomaly detection, optimizer, gateway/protocol adapter, dashboard, test script, container dan deployment configuration.</w:t>
            </w:r>
          </w:p>
        </w:tc>
        <w:tc>
          <w:tcPr>
            <w:tcW w:type="dxa" w:w="2280"/>
            <w:vAlign w:val="center"/>
          </w:tcPr>
          <w:p>
            <w:pPr>
              <w:spacing w:after="0"/>
            </w:pPr>
            <w:r/>
            <w:r>
              <w:rPr>
                <w:rFonts w:ascii="Times New Roman" w:hAnsi="Times New Roman"/>
                <w:b w:val="0"/>
                <w:sz w:val="20"/>
              </w:rPr>
              <w:t>PY, M, C/C++, YAML, JSON, Dockerfile, Markdown</w:t>
            </w:r>
          </w:p>
        </w:tc>
      </w:tr>
      <w:tr>
        <w:tc>
          <w:tcPr>
            <w:tcW w:type="dxa" w:w="2280"/>
            <w:vAlign w:val="center"/>
          </w:tcPr>
          <w:p>
            <w:pPr>
              <w:spacing w:after="0"/>
            </w:pPr>
            <w:r/>
            <w:r>
              <w:rPr>
                <w:rFonts w:ascii="Times New Roman" w:hAnsi="Times New Roman"/>
                <w:b w:val="0"/>
                <w:sz w:val="20"/>
              </w:rPr>
              <w:t>11</w:t>
            </w:r>
          </w:p>
        </w:tc>
        <w:tc>
          <w:tcPr>
            <w:tcW w:type="dxa" w:w="2280"/>
            <w:vAlign w:val="center"/>
          </w:tcPr>
          <w:p>
            <w:r>
              <w:t>Data hasil uji uji fungsional laboratorium</w:t>
            </w:r>
          </w:p>
        </w:tc>
        <w:tc>
          <w:tcPr>
            <w:tcW w:type="dxa" w:w="2280"/>
            <w:vAlign w:val="center"/>
          </w:tcPr>
          <w:p>
            <w:pPr>
              <w:spacing w:after="0"/>
            </w:pPr>
            <w:r/>
            <w:r>
              <w:rPr>
                <w:rFonts w:ascii="Times New Roman" w:hAnsi="Times New Roman"/>
                <w:b w:val="0"/>
                <w:sz w:val="20"/>
              </w:rPr>
              <w:t>Waveform, respons step, skenario normal/ekstrem/gangguan, fault injection data/model/communication, dan KPI.</w:t>
            </w:r>
          </w:p>
        </w:tc>
        <w:tc>
          <w:tcPr>
            <w:tcW w:type="dxa" w:w="2280"/>
            <w:vAlign w:val="center"/>
          </w:tcPr>
          <w:p>
            <w:pPr>
              <w:spacing w:after="0"/>
            </w:pPr>
            <w:r/>
            <w:r>
              <w:rPr>
                <w:rFonts w:ascii="Times New Roman" w:hAnsi="Times New Roman"/>
                <w:b w:val="0"/>
                <w:sz w:val="20"/>
              </w:rPr>
              <w:t>CSV, MAT, HDF5, PNG/SVG, PDF</w:t>
            </w:r>
          </w:p>
        </w:tc>
      </w:tr>
      <w:tr>
        <w:tc>
          <w:tcPr>
            <w:tcW w:type="dxa" w:w="2280"/>
            <w:vAlign w:val="center"/>
          </w:tcPr>
          <w:p>
            <w:pPr>
              <w:spacing w:after="0"/>
            </w:pPr>
            <w:r/>
            <w:r>
              <w:rPr>
                <w:rFonts w:ascii="Times New Roman" w:hAnsi="Times New Roman"/>
                <w:b w:val="0"/>
                <w:sz w:val="20"/>
              </w:rPr>
              <w:t>12</w:t>
            </w:r>
          </w:p>
        </w:tc>
        <w:tc>
          <w:tcPr>
            <w:tcW w:type="dxa" w:w="2280"/>
            <w:vAlign w:val="center"/>
          </w:tcPr>
          <w:p>
            <w:pPr>
              <w:spacing w:after="0"/>
            </w:pPr>
            <w:r/>
            <w:r>
              <w:rPr>
                <w:rFonts w:ascii="Times New Roman" w:hAnsi="Times New Roman"/>
                <w:b w:val="0"/>
                <w:sz w:val="20"/>
              </w:rPr>
              <w:t>Dokumen teknis dan luaran</w:t>
            </w:r>
          </w:p>
        </w:tc>
        <w:tc>
          <w:tcPr>
            <w:tcW w:type="dxa" w:w="2280"/>
            <w:vAlign w:val="center"/>
          </w:tcPr>
          <w:p>
            <w:pPr>
              <w:spacing w:after="0"/>
            </w:pPr>
            <w:r/>
            <w:r>
              <w:rPr>
                <w:rFonts w:ascii="Times New Roman" w:hAnsi="Times New Roman"/>
                <w:b w:val="0"/>
                <w:sz w:val="20"/>
              </w:rPr>
              <w:t>URS, data dictionary, ICD, SOP, test protocol, model card, risk log, laporan, artikel, prior-art search, dan dokumen paten.</w:t>
            </w:r>
          </w:p>
        </w:tc>
        <w:tc>
          <w:tcPr>
            <w:tcW w:type="dxa" w:w="2280"/>
            <w:vAlign w:val="center"/>
          </w:tcPr>
          <w:p>
            <w:pPr>
              <w:spacing w:after="0"/>
            </w:pPr>
            <w:r/>
            <w:r>
              <w:rPr>
                <w:rFonts w:ascii="Times New Roman" w:hAnsi="Times New Roman"/>
                <w:b w:val="0"/>
                <w:sz w:val="20"/>
              </w:rPr>
              <w:t>DOCX, PDF/A, XLSX, RIS/BibTeX, PNG/SVG</w:t>
            </w:r>
          </w:p>
        </w:tc>
      </w:tr>
      <w:tr>
        <w:tc>
          <w:tcPr>
            <w:tcW w:type="dxa" w:w="2280"/>
            <w:vAlign w:val="center"/>
          </w:tcPr>
          <w:p>
            <w:pPr>
              <w:spacing w:after="0"/>
            </w:pPr>
            <w:r/>
            <w:r>
              <w:rPr>
                <w:rFonts w:ascii="Times New Roman" w:hAnsi="Times New Roman"/>
                <w:b w:val="0"/>
                <w:sz w:val="20"/>
              </w:rPr>
              <w:t>13</w:t>
            </w:r>
          </w:p>
        </w:tc>
        <w:tc>
          <w:tcPr>
            <w:tcW w:type="dxa" w:w="2280"/>
            <w:vAlign w:val="center"/>
          </w:tcPr>
          <w:p>
            <w:pPr>
              <w:spacing w:after="0"/>
            </w:pPr>
            <w:r/>
            <w:r>
              <w:rPr>
                <w:rFonts w:ascii="Times New Roman" w:hAnsi="Times New Roman"/>
                <w:b w:val="0"/>
                <w:sz w:val="20"/>
              </w:rPr>
              <w:t>Data kuesioner/FGD (bila dilakukan)</w:t>
            </w:r>
          </w:p>
        </w:tc>
        <w:tc>
          <w:tcPr>
            <w:tcW w:type="dxa" w:w="2280"/>
            <w:vAlign w:val="center"/>
          </w:tcPr>
          <w:p>
            <w:pPr>
              <w:spacing w:after="0"/>
            </w:pPr>
            <w:r/>
            <w:r>
              <w:rPr>
                <w:rFonts w:ascii="Times New Roman" w:hAnsi="Times New Roman"/>
                <w:b w:val="0"/>
                <w:sz w:val="20"/>
              </w:rPr>
              <w:t>Masukan teknis mitra/operator terkait kebutuhan, alarm, dashboard, dan acceptance; disimpan teranonymisasi.</w:t>
            </w:r>
          </w:p>
        </w:tc>
        <w:tc>
          <w:tcPr>
            <w:tcW w:type="dxa" w:w="2280"/>
            <w:vAlign w:val="center"/>
          </w:tcPr>
          <w:p>
            <w:pPr>
              <w:spacing w:after="0"/>
            </w:pPr>
            <w:r/>
            <w:r>
              <w:rPr>
                <w:rFonts w:ascii="Times New Roman" w:hAnsi="Times New Roman"/>
                <w:b w:val="0"/>
                <w:sz w:val="20"/>
              </w:rPr>
              <w:t>CSV/XLSX, PDF, audio/transkrip hanya dengan persetujuan</w:t>
            </w:r>
          </w:p>
        </w:tc>
      </w:tr>
    </w:tbl>
    <w:p>
      <w:pPr>
        <w:pStyle w:val="Heading1"/>
      </w:pPr>
      <w:r>
        <w:t>3. Penyimpanan dan Pengamanan Data</w:t>
      </w:r>
    </w:p>
    <w:p>
      <w:pPr>
        <w:pStyle w:val="Heading2"/>
      </w:pPr>
      <w:r>
        <w:t>3.1 Lokasi penyimpanan selama riset</w:t>
      </w:r>
    </w:p>
    <w:p>
      <w:pPr>
        <w:pStyle w:val="ListBullet"/>
      </w:pPr>
      <w:r>
        <w:t>☒ Penyimpanan institusi/laboratorium UNNES untuk data kerja dan hasil eksperimen.</w:t>
      </w:r>
    </w:p>
    <w:p>
      <w:pPr>
        <w:pStyle w:val="ListBullet"/>
      </w:pPr>
      <w:r>
        <w:t>☒ Layanan cloud institusional (Google Drive/OneDrive institusi) dengan akses berbasis akun dan autentikasi dua faktor.</w:t>
      </w:r>
    </w:p>
    <w:p>
      <w:pPr>
        <w:pStyle w:val="ListBullet"/>
      </w:pPr>
      <w:r>
        <w:t>☒ Repositori Git privat untuk source code, konfigurasi, issue tracking, dan version control.</w:t>
      </w:r>
    </w:p>
    <w:p>
      <w:pPr>
        <w:pStyle w:val="ListBullet"/>
      </w:pPr>
      <w:r>
        <w:t>☒ Media cadangan terenkripsi pada penyimpanan eksternal yang dikelola ketua/administrator data.</w:t>
      </w:r>
    </w:p>
    <w:p>
      <w:pPr>
        <w:pStyle w:val="ListBullet"/>
      </w:pPr>
      <w:r>
        <w:t>☒ Repositori Ilmiah Nasional (RIN) untuk deposit dataset dan data primer sesuai ketentuan BRIN.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fill="B4C6E7"/>
          </w:tcPr>
          <w:p>
            <w:pPr>
              <w:spacing w:after="0"/>
            </w:pPr>
            <w:r/>
            <w:r>
              <w:rPr>
                <w:rFonts w:ascii="Times New Roman" w:hAnsi="Times New Roman"/>
                <w:b/>
                <w:sz w:val="20"/>
              </w:rPr>
              <w:t>Aspek</w:t>
            </w:r>
          </w:p>
        </w:tc>
        <w:tc>
          <w:tcPr>
            <w:tcW w:type="dxa" w:w="2280"/>
            <w:vAlign w:val="center"/>
            <w:shd w:fill="B4C6E7"/>
          </w:tcPr>
          <w:p>
            <w:pPr>
              <w:spacing w:after="0"/>
            </w:pPr>
            <w:r/>
            <w:r>
              <w:rPr>
                <w:rFonts w:ascii="Times New Roman" w:hAnsi="Times New Roman"/>
                <w:b/>
                <w:sz w:val="20"/>
              </w:rPr>
              <w:t>Mekanisme</w:t>
            </w:r>
          </w:p>
        </w:tc>
        <w:tc>
          <w:tcPr>
            <w:tcW w:type="dxa" w:w="2280"/>
            <w:vAlign w:val="center"/>
            <w:shd w:fill="B4C6E7"/>
          </w:tcPr>
          <w:p>
            <w:pPr>
              <w:spacing w:after="0"/>
            </w:pPr>
            <w:r/>
            <w:r>
              <w:rPr>
                <w:rFonts w:ascii="Times New Roman" w:hAnsi="Times New Roman"/>
                <w:b/>
                <w:sz w:val="20"/>
              </w:rPr>
              <w:t>Frekuensi</w:t>
            </w:r>
          </w:p>
        </w:tc>
        <w:tc>
          <w:tcPr>
            <w:tcW w:type="dxa" w:w="2280"/>
            <w:vAlign w:val="center"/>
            <w:shd w:fill="B4C6E7"/>
          </w:tcPr>
          <w:p>
            <w:pPr>
              <w:spacing w:after="0"/>
            </w:pPr>
            <w:r/>
            <w:r>
              <w:rPr>
                <w:rFonts w:ascii="Times New Roman" w:hAnsi="Times New Roman"/>
                <w:b/>
                <w:sz w:val="20"/>
              </w:rPr>
              <w:t>Penanggung Jawab</w:t>
            </w:r>
          </w:p>
        </w:tc>
      </w:tr>
      <w:tr>
        <w:tc>
          <w:tcPr>
            <w:tcW w:type="dxa" w:w="2280"/>
            <w:vAlign w:val="center"/>
          </w:tcPr>
          <w:p>
            <w:pPr>
              <w:spacing w:after="0"/>
            </w:pPr>
            <w:r/>
            <w:r>
              <w:rPr>
                <w:rFonts w:ascii="Times New Roman" w:hAnsi="Times New Roman"/>
                <w:b w:val="0"/>
                <w:sz w:val="20"/>
              </w:rPr>
              <w:t>Backup</w:t>
            </w:r>
          </w:p>
        </w:tc>
        <w:tc>
          <w:tcPr>
            <w:tcW w:type="dxa" w:w="2280"/>
            <w:vAlign w:val="center"/>
          </w:tcPr>
          <w:p>
            <w:pPr>
              <w:spacing w:after="0"/>
            </w:pPr>
            <w:r/>
            <w:r>
              <w:rPr>
                <w:rFonts w:ascii="Times New Roman" w:hAnsi="Times New Roman"/>
                <w:b w:val="0"/>
                <w:sz w:val="20"/>
              </w:rPr>
              <w:t>Aturan 3-2-1: salinan kerja, cloud institusi, dan cadangan eksternal terenkripsi.</w:t>
            </w:r>
          </w:p>
        </w:tc>
        <w:tc>
          <w:tcPr>
            <w:tcW w:type="dxa" w:w="2280"/>
            <w:vAlign w:val="center"/>
          </w:tcPr>
          <w:p>
            <w:pPr>
              <w:spacing w:after="0"/>
            </w:pPr>
            <w:r/>
            <w:r>
              <w:rPr>
                <w:rFonts w:ascii="Times New Roman" w:hAnsi="Times New Roman"/>
                <w:b w:val="0"/>
                <w:sz w:val="20"/>
              </w:rPr>
              <w:t>Sinkronisasi harian; full backup mingguan</w:t>
            </w:r>
          </w:p>
        </w:tc>
        <w:tc>
          <w:tcPr>
            <w:tcW w:type="dxa" w:w="2280"/>
            <w:vAlign w:val="center"/>
          </w:tcPr>
          <w:p>
            <w:pPr>
              <w:spacing w:after="0"/>
            </w:pPr>
            <w:r/>
            <w:r>
              <w:rPr>
                <w:rFonts w:ascii="Times New Roman" w:hAnsi="Times New Roman"/>
                <w:b w:val="0"/>
                <w:sz w:val="20"/>
              </w:rPr>
              <w:t>Data manager/ketua WP</w:t>
            </w:r>
          </w:p>
        </w:tc>
      </w:tr>
      <w:tr>
        <w:tc>
          <w:tcPr>
            <w:tcW w:type="dxa" w:w="2280"/>
            <w:vAlign w:val="center"/>
          </w:tcPr>
          <w:p>
            <w:pPr>
              <w:spacing w:after="0"/>
            </w:pPr>
            <w:r/>
            <w:r>
              <w:rPr>
                <w:rFonts w:ascii="Times New Roman" w:hAnsi="Times New Roman"/>
                <w:b w:val="0"/>
                <w:sz w:val="20"/>
              </w:rPr>
              <w:t>Version control</w:t>
            </w:r>
          </w:p>
        </w:tc>
        <w:tc>
          <w:tcPr>
            <w:tcW w:type="dxa" w:w="2280"/>
            <w:vAlign w:val="center"/>
          </w:tcPr>
          <w:p>
            <w:pPr>
              <w:spacing w:after="0"/>
            </w:pPr>
            <w:r/>
            <w:r>
              <w:rPr>
                <w:rFonts w:ascii="Times New Roman" w:hAnsi="Times New Roman"/>
                <w:b w:val="0"/>
                <w:sz w:val="20"/>
              </w:rPr>
              <w:t>Git branch, tag rilis, changelog, code review, dan checksum dataset.</w:t>
            </w:r>
          </w:p>
        </w:tc>
        <w:tc>
          <w:tcPr>
            <w:tcW w:type="dxa" w:w="2280"/>
            <w:vAlign w:val="center"/>
          </w:tcPr>
          <w:p>
            <w:pPr>
              <w:spacing w:after="0"/>
            </w:pPr>
            <w:r/>
            <w:r>
              <w:rPr>
                <w:rFonts w:ascii="Times New Roman" w:hAnsi="Times New Roman"/>
                <w:b w:val="0"/>
                <w:sz w:val="20"/>
              </w:rPr>
              <w:t>Setiap perubahan/versi rilis</w:t>
            </w:r>
          </w:p>
        </w:tc>
        <w:tc>
          <w:tcPr>
            <w:tcW w:type="dxa" w:w="2280"/>
            <w:vAlign w:val="center"/>
          </w:tcPr>
          <w:p>
            <w:pPr>
              <w:spacing w:after="0"/>
            </w:pPr>
            <w:r/>
            <w:r>
              <w:rPr>
                <w:rFonts w:ascii="Times New Roman" w:hAnsi="Times New Roman"/>
                <w:b w:val="0"/>
                <w:sz w:val="20"/>
              </w:rPr>
              <w:t>Lead software/data</w:t>
            </w:r>
          </w:p>
        </w:tc>
      </w:tr>
      <w:tr>
        <w:tc>
          <w:tcPr>
            <w:tcW w:type="dxa" w:w="2280"/>
            <w:vAlign w:val="center"/>
          </w:tcPr>
          <w:p>
            <w:pPr>
              <w:spacing w:after="0"/>
            </w:pPr>
            <w:r/>
            <w:r>
              <w:rPr>
                <w:rFonts w:ascii="Times New Roman" w:hAnsi="Times New Roman"/>
                <w:b w:val="0"/>
                <w:sz w:val="20"/>
              </w:rPr>
              <w:t>Kontrol akses</w:t>
            </w:r>
          </w:p>
        </w:tc>
        <w:tc>
          <w:tcPr>
            <w:tcW w:type="dxa" w:w="2280"/>
            <w:vAlign w:val="center"/>
          </w:tcPr>
          <w:p>
            <w:pPr>
              <w:spacing w:after="0"/>
            </w:pPr>
            <w:r/>
            <w:r>
              <w:rPr>
                <w:rFonts w:ascii="Times New Roman" w:hAnsi="Times New Roman"/>
                <w:b w:val="0"/>
                <w:sz w:val="20"/>
              </w:rPr>
              <w:t>Role-based access; least privilege; daftar akses ditinjau berkala.</w:t>
            </w:r>
          </w:p>
        </w:tc>
        <w:tc>
          <w:tcPr>
            <w:tcW w:type="dxa" w:w="2280"/>
            <w:vAlign w:val="center"/>
          </w:tcPr>
          <w:p>
            <w:pPr>
              <w:spacing w:after="0"/>
            </w:pPr>
            <w:r/>
            <w:r>
              <w:rPr>
                <w:rFonts w:ascii="Times New Roman" w:hAnsi="Times New Roman"/>
                <w:b w:val="0"/>
                <w:sz w:val="20"/>
              </w:rPr>
              <w:t>Review triwulanan dan saat anggota berubah</w:t>
            </w:r>
          </w:p>
        </w:tc>
        <w:tc>
          <w:tcPr>
            <w:tcW w:type="dxa" w:w="2280"/>
            <w:vAlign w:val="center"/>
          </w:tcPr>
          <w:p>
            <w:pPr>
              <w:spacing w:after="0"/>
            </w:pPr>
            <w:r/>
            <w:r>
              <w:rPr>
                <w:rFonts w:ascii="Times New Roman" w:hAnsi="Times New Roman"/>
                <w:b w:val="0"/>
                <w:sz w:val="20"/>
              </w:rPr>
              <w:t>Ketua tim</w:t>
            </w:r>
          </w:p>
        </w:tc>
      </w:tr>
      <w:tr>
        <w:tc>
          <w:tcPr>
            <w:tcW w:type="dxa" w:w="2280"/>
            <w:vAlign w:val="center"/>
          </w:tcPr>
          <w:p>
            <w:pPr>
              <w:spacing w:after="0"/>
            </w:pPr>
            <w:r/>
            <w:r>
              <w:rPr>
                <w:rFonts w:ascii="Times New Roman" w:hAnsi="Times New Roman"/>
                <w:b w:val="0"/>
                <w:sz w:val="20"/>
              </w:rPr>
              <w:t>Keamanan transmisi</w:t>
            </w:r>
          </w:p>
        </w:tc>
        <w:tc>
          <w:tcPr>
            <w:tcW w:type="dxa" w:w="2280"/>
            <w:vAlign w:val="center"/>
          </w:tcPr>
          <w:p>
            <w:pPr>
              <w:spacing w:after="0"/>
            </w:pPr>
            <w:r/>
            <w:r>
              <w:rPr>
                <w:rFonts w:ascii="Times New Roman" w:hAnsi="Times New Roman"/>
                <w:b w:val="0"/>
                <w:sz w:val="20"/>
              </w:rPr>
              <w:t>TLS/VPN, autentikasi perangkat, pemisahan jaringan kontrol dan publik.</w:t>
            </w:r>
          </w:p>
        </w:tc>
        <w:tc>
          <w:tcPr>
            <w:tcW w:type="dxa" w:w="2280"/>
            <w:vAlign w:val="center"/>
          </w:tcPr>
          <w:p>
            <w:pPr>
              <w:spacing w:after="0"/>
            </w:pPr>
            <w:r/>
            <w:r>
              <w:rPr>
                <w:rFonts w:ascii="Times New Roman" w:hAnsi="Times New Roman"/>
                <w:b w:val="0"/>
                <w:sz w:val="20"/>
              </w:rPr>
              <w:t>Selama akuisisi dan pertukaran data</w:t>
            </w:r>
          </w:p>
        </w:tc>
        <w:tc>
          <w:tcPr>
            <w:tcW w:type="dxa" w:w="2280"/>
            <w:vAlign w:val="center"/>
          </w:tcPr>
          <w:p>
            <w:pPr>
              <w:spacing w:after="0"/>
            </w:pPr>
            <w:r/>
            <w:r>
              <w:rPr>
                <w:rFonts w:ascii="Times New Roman" w:hAnsi="Times New Roman"/>
                <w:b w:val="0"/>
                <w:sz w:val="20"/>
              </w:rPr>
              <w:t>Lead IoT/cybersecurity</w:t>
            </w:r>
          </w:p>
        </w:tc>
      </w:tr>
      <w:tr>
        <w:tc>
          <w:tcPr>
            <w:tcW w:type="dxa" w:w="2280"/>
            <w:vAlign w:val="center"/>
          </w:tcPr>
          <w:p>
            <w:pPr>
              <w:spacing w:after="0"/>
            </w:pPr>
            <w:r/>
            <w:r>
              <w:rPr>
                <w:rFonts w:ascii="Times New Roman" w:hAnsi="Times New Roman"/>
                <w:b w:val="0"/>
                <w:sz w:val="20"/>
              </w:rPr>
              <w:t>Integritas</w:t>
            </w:r>
          </w:p>
        </w:tc>
        <w:tc>
          <w:tcPr>
            <w:tcW w:type="dxa" w:w="2280"/>
            <w:vAlign w:val="center"/>
          </w:tcPr>
          <w:p>
            <w:pPr>
              <w:spacing w:after="0"/>
            </w:pPr>
            <w:r/>
            <w:r>
              <w:rPr>
                <w:rFonts w:ascii="Times New Roman" w:hAnsi="Times New Roman"/>
                <w:b w:val="0"/>
                <w:sz w:val="20"/>
              </w:rPr>
              <w:t>Timestamp tersinkron, hash/checksum, validasi rentang, audit log, dan data-quality report.</w:t>
            </w:r>
          </w:p>
        </w:tc>
        <w:tc>
          <w:tcPr>
            <w:tcW w:type="dxa" w:w="2280"/>
            <w:vAlign w:val="center"/>
          </w:tcPr>
          <w:p>
            <w:pPr>
              <w:spacing w:after="0"/>
            </w:pPr>
            <w:r/>
            <w:r>
              <w:rPr>
                <w:rFonts w:ascii="Times New Roman" w:hAnsi="Times New Roman"/>
                <w:b w:val="0"/>
                <w:sz w:val="20"/>
              </w:rPr>
              <w:t>Otomatis setiap ingest dan sebelum analisis</w:t>
            </w:r>
          </w:p>
        </w:tc>
        <w:tc>
          <w:tcPr>
            <w:tcW w:type="dxa" w:w="2280"/>
            <w:vAlign w:val="center"/>
          </w:tcPr>
          <w:p>
            <w:pPr>
              <w:spacing w:after="0"/>
            </w:pPr>
            <w:r/>
            <w:r>
              <w:rPr>
                <w:rFonts w:ascii="Times New Roman" w:hAnsi="Times New Roman"/>
                <w:b w:val="0"/>
                <w:sz w:val="20"/>
              </w:rPr>
              <w:t>Data engineer</w:t>
            </w:r>
          </w:p>
        </w:tc>
      </w:tr>
      <w:tr>
        <w:tc>
          <w:tcPr>
            <w:tcW w:type="dxa" w:w="2280"/>
            <w:vAlign w:val="center"/>
          </w:tcPr>
          <w:p>
            <w:pPr>
              <w:spacing w:after="0"/>
            </w:pPr>
            <w:r/>
            <w:r>
              <w:rPr>
                <w:rFonts w:ascii="Times New Roman" w:hAnsi="Times New Roman"/>
                <w:b w:val="0"/>
                <w:sz w:val="20"/>
              </w:rPr>
              <w:t>Retensi</w:t>
            </w:r>
          </w:p>
        </w:tc>
        <w:tc>
          <w:tcPr>
            <w:tcW w:type="dxa" w:w="2280"/>
            <w:vAlign w:val="center"/>
          </w:tcPr>
          <w:p>
            <w:pPr>
              <w:spacing w:after="0"/>
            </w:pPr>
            <w:r/>
            <w:r>
              <w:rPr>
                <w:rFonts w:ascii="Times New Roman" w:hAnsi="Times New Roman"/>
                <w:b w:val="0"/>
                <w:sz w:val="20"/>
              </w:rPr>
              <w:t>Raw data dipertahankan; data turunan dapat diregenerasi melalui pipeline terdokumentasi.</w:t>
            </w:r>
          </w:p>
        </w:tc>
        <w:tc>
          <w:tcPr>
            <w:tcW w:type="dxa" w:w="2280"/>
            <w:vAlign w:val="center"/>
          </w:tcPr>
          <w:p>
            <w:pPr>
              <w:spacing w:after="0"/>
            </w:pPr>
            <w:r/>
            <w:r>
              <w:rPr>
                <w:rFonts w:ascii="Times New Roman" w:hAnsi="Times New Roman"/>
                <w:b w:val="0"/>
                <w:sz w:val="20"/>
              </w:rPr>
              <w:t>Selama riset dan minimal sesuai kebijakan institusi/BRIN</w:t>
            </w:r>
          </w:p>
        </w:tc>
        <w:tc>
          <w:tcPr>
            <w:tcW w:type="dxa" w:w="2280"/>
            <w:vAlign w:val="center"/>
          </w:tcPr>
          <w:p>
            <w:pPr>
              <w:spacing w:after="0"/>
            </w:pPr>
            <w:r/>
            <w:r>
              <w:rPr>
                <w:rFonts w:ascii="Times New Roman" w:hAnsi="Times New Roman"/>
                <w:b w:val="0"/>
                <w:sz w:val="20"/>
              </w:rPr>
              <w:t>Ketua tim</w:t>
            </w:r>
          </w:p>
        </w:tc>
      </w:tr>
    </w:tbl>
    <w:p>
      <w:pPr>
        <w:pStyle w:val="Heading2"/>
      </w:pPr>
      <w:r>
        <w:t>3.2 Rencana deposit ke Repositori Ilmiah Nasional</w:t>
      </w:r>
    </w:p>
    <w:p>
      <w:r>
        <w:rPr>
          <w:b/>
        </w:rPr>
        <w:t xml:space="preserve">Waktu deposit: </w:t>
      </w:r>
      <w:r>
        <w:t>[MM/YY – paling lambat satu bulan sebelum dimulainya periode terakhir kegiatan], kemudian diperbarui maksimal tiga bulan setelah data primer baru dihasilkan dan maksimal tiga bulan setelah keluaran dipublikasikan. Jadwal pasti disesuaikan dengan tanggal kontrak dan ketentuan RIN yang berlaku.</w:t>
      </w:r>
    </w:p>
    <w:p>
      <w:pPr>
        <w:pStyle w:val="Heading1"/>
      </w:pPr>
      <w:r>
        <w:t>4. Pengelolaan Privasi, Kerahasiaan, dan Berbagi Data</w:t>
      </w:r>
    </w:p>
    <w:p>
      <w:r>
        <w:rPr>
          <w:b w:val="0"/>
          <w:i w:val="0"/>
        </w:rPr>
        <w:t>Apakah data mengandung data pribadi/sensitif? ☐ Tidak untuk data teknis utama. Data sesi menggunakan identifier pseudonim. CMS/display tidak menyimpan citra, biometrik, plat nomor, atau identitas audiens. Kuesioner/FGD, apabila dilakukan, menggunakan informed consent dan data teragregasi.</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B4C6E7"/>
          </w:tcPr>
          <w:p>
            <w:pPr>
              <w:spacing w:after="0"/>
            </w:pPr>
            <w:r/>
            <w:r>
              <w:rPr>
                <w:rFonts w:ascii="Times New Roman" w:hAnsi="Times New Roman"/>
                <w:b/>
                <w:sz w:val="20"/>
              </w:rPr>
              <w:t>Aspek</w:t>
            </w:r>
          </w:p>
        </w:tc>
        <w:tc>
          <w:tcPr>
            <w:tcW w:type="dxa" w:w="4561"/>
            <w:vAlign w:val="center"/>
            <w:shd w:fill="B4C6E7"/>
          </w:tcPr>
          <w:p>
            <w:pPr>
              <w:spacing w:after="0"/>
            </w:pPr>
            <w:r/>
            <w:r>
              <w:rPr>
                <w:rFonts w:ascii="Times New Roman" w:hAnsi="Times New Roman"/>
                <w:b/>
                <w:sz w:val="20"/>
              </w:rPr>
              <w:t>Penanganan</w:t>
            </w:r>
          </w:p>
        </w:tc>
      </w:tr>
      <w:tr>
        <w:tc>
          <w:tcPr>
            <w:tcW w:type="dxa" w:w="4561"/>
            <w:vAlign w:val="center"/>
          </w:tcPr>
          <w:p>
            <w:pPr>
              <w:spacing w:after="0"/>
            </w:pPr>
            <w:r/>
            <w:r>
              <w:rPr>
                <w:rFonts w:ascii="Times New Roman" w:hAnsi="Times New Roman"/>
                <w:b/>
                <w:sz w:val="20"/>
              </w:rPr>
              <w:t>Minimisasi data</w:t>
            </w:r>
          </w:p>
        </w:tc>
        <w:tc>
          <w:tcPr>
            <w:tcW w:type="dxa" w:w="4561"/>
            <w:vAlign w:val="center"/>
          </w:tcPr>
          <w:p>
            <w:r/>
            <w:r>
              <w:rPr>
                <w:b w:val="0"/>
              </w:rPr>
              <w:t>Data teknis hanya menyimpan session/device ID pseudonim, timestamp, energi, status, dan log sistem. Tidak ada kamera analitik atau penyimpanan identitas audiens dalam ruang lingkup riset.</w:t>
            </w:r>
          </w:p>
        </w:tc>
      </w:tr>
      <w:tr>
        <w:tc>
          <w:tcPr>
            <w:tcW w:type="dxa" w:w="4561"/>
            <w:vAlign w:val="center"/>
          </w:tcPr>
          <w:p>
            <w:pPr>
              <w:spacing w:after="0"/>
            </w:pPr>
            <w:r/>
            <w:r>
              <w:rPr>
                <w:rFonts w:ascii="Times New Roman" w:hAnsi="Times New Roman"/>
                <w:b/>
                <w:sz w:val="20"/>
              </w:rPr>
              <w:t>Pseudonimisasi</w:t>
            </w:r>
          </w:p>
        </w:tc>
        <w:tc>
          <w:tcPr>
            <w:tcW w:type="dxa" w:w="4561"/>
            <w:vAlign w:val="center"/>
          </w:tcPr>
          <w:p>
            <w:pPr>
              <w:spacing w:after="0"/>
            </w:pPr>
            <w:r/>
            <w:r>
              <w:rPr>
                <w:rFonts w:ascii="Times New Roman" w:hAnsi="Times New Roman"/>
                <w:b w:val="0"/>
                <w:sz w:val="20"/>
              </w:rPr>
              <w:t>Identifier operasional di-hash atau diganti kode acak; kunci pemetaan, bila benar-benar diperlukan, disimpan terpisah dan terenkripsi oleh mitra.</w:t>
            </w:r>
          </w:p>
        </w:tc>
      </w:tr>
      <w:tr>
        <w:tc>
          <w:tcPr>
            <w:tcW w:type="dxa" w:w="4561"/>
            <w:vAlign w:val="center"/>
          </w:tcPr>
          <w:p>
            <w:pPr>
              <w:spacing w:after="0"/>
            </w:pPr>
            <w:r/>
            <w:r>
              <w:rPr>
                <w:rFonts w:ascii="Times New Roman" w:hAnsi="Times New Roman"/>
                <w:b/>
                <w:sz w:val="20"/>
              </w:rPr>
              <w:t>Persetujuan dan etik</w:t>
            </w:r>
          </w:p>
        </w:tc>
        <w:tc>
          <w:tcPr>
            <w:tcW w:type="dxa" w:w="4561"/>
            <w:vAlign w:val="center"/>
          </w:tcPr>
          <w:p>
            <w:r/>
            <w:r>
              <w:rPr>
                <w:b w:val="0"/>
              </w:rPr>
              <w:t>Kuesioner/FGD hanya dilakukan setelah informed consent dan penetapan kebutuhan klirens etik. Respons dipisahkan dari identitas dan dilaporkan secara agregat.</w:t>
            </w:r>
          </w:p>
        </w:tc>
      </w:tr>
      <w:tr>
        <w:tc>
          <w:tcPr>
            <w:tcW w:type="dxa" w:w="4561"/>
            <w:vAlign w:val="center"/>
          </w:tcPr>
          <w:p>
            <w:pPr>
              <w:spacing w:after="0"/>
            </w:pPr>
            <w:r/>
            <w:r>
              <w:rPr>
                <w:rFonts w:ascii="Times New Roman" w:hAnsi="Times New Roman"/>
                <w:b/>
                <w:sz w:val="20"/>
              </w:rPr>
              <w:t>Kerahasiaan mitra</w:t>
            </w:r>
          </w:p>
        </w:tc>
        <w:tc>
          <w:tcPr>
            <w:tcW w:type="dxa" w:w="4561"/>
            <w:vAlign w:val="center"/>
          </w:tcPr>
          <w:p>
            <w:pPr>
              <w:spacing w:after="0"/>
            </w:pPr>
            <w:r/>
            <w:r>
              <w:rPr>
                <w:rFonts w:ascii="Times New Roman" w:hAnsi="Times New Roman"/>
                <w:b w:val="0"/>
                <w:sz w:val="20"/>
              </w:rPr>
              <w:t>Data konfigurasi komersial, tarif kontraktual, topologi sensitif, dan credential perangkat tunduk pada NDA/data sharing agreement dan tidak dipublikasikan.</w:t>
            </w:r>
          </w:p>
        </w:tc>
      </w:tr>
      <w:tr>
        <w:tc>
          <w:tcPr>
            <w:tcW w:type="dxa" w:w="4561"/>
            <w:vAlign w:val="center"/>
          </w:tcPr>
          <w:p>
            <w:pPr>
              <w:spacing w:after="0"/>
            </w:pPr>
            <w:r/>
            <w:r>
              <w:rPr>
                <w:rFonts w:ascii="Times New Roman" w:hAnsi="Times New Roman"/>
                <w:b/>
                <w:sz w:val="20"/>
              </w:rPr>
              <w:t>Berbagi data</w:t>
            </w:r>
          </w:p>
        </w:tc>
        <w:tc>
          <w:tcPr>
            <w:tcW w:type="dxa" w:w="4561"/>
            <w:vAlign w:val="center"/>
          </w:tcPr>
          <w:p>
            <w:pPr>
              <w:spacing w:after="0"/>
            </w:pPr>
            <w:r/>
            <w:r>
              <w:rPr>
                <w:rFonts w:ascii="Times New Roman" w:hAnsi="Times New Roman"/>
                <w:b w:val="0"/>
                <w:sz w:val="20"/>
              </w:rPr>
              <w:t>Dataset publik merupakan data teranonymisasi/teragregasi beserta metadata, data dictionary, lisensi, dan README. Data terbatas dibagikan melalui controlled access.</w:t>
            </w:r>
          </w:p>
        </w:tc>
      </w:tr>
      <w:tr>
        <w:tc>
          <w:tcPr>
            <w:tcW w:type="dxa" w:w="4561"/>
            <w:vAlign w:val="center"/>
          </w:tcPr>
          <w:p>
            <w:pPr>
              <w:spacing w:after="0"/>
            </w:pPr>
            <w:r/>
            <w:r>
              <w:rPr>
                <w:rFonts w:ascii="Times New Roman" w:hAnsi="Times New Roman"/>
                <w:b/>
                <w:sz w:val="20"/>
              </w:rPr>
              <w:t>Hak akses dan lisensi</w:t>
            </w:r>
          </w:p>
        </w:tc>
        <w:tc>
          <w:tcPr>
            <w:tcW w:type="dxa" w:w="4561"/>
            <w:vAlign w:val="center"/>
          </w:tcPr>
          <w:p>
            <w:pPr>
              <w:spacing w:after="0"/>
            </w:pPr>
            <w:r/>
            <w:r>
              <w:rPr>
                <w:rFonts w:ascii="Times New Roman" w:hAnsi="Times New Roman"/>
                <w:b w:val="0"/>
                <w:sz w:val="20"/>
              </w:rPr>
              <w:t>Hak atas source code, dataset, dan KI mengikuti perjanjian konsorsium/mitra. Komponen yang dapat dibuka menggunakan lisensi yang disepakati tanpa mengungkap rahasia dagang.</w:t>
            </w:r>
          </w:p>
        </w:tc>
      </w:tr>
      <w:tr>
        <w:tc>
          <w:tcPr>
            <w:tcW w:type="dxa" w:w="4561"/>
            <w:vAlign w:val="center"/>
          </w:tcPr>
          <w:p>
            <w:pPr>
              <w:spacing w:after="0"/>
            </w:pPr>
            <w:r/>
            <w:r>
              <w:rPr>
                <w:rFonts w:ascii="Times New Roman" w:hAnsi="Times New Roman"/>
                <w:b/>
                <w:sz w:val="20"/>
              </w:rPr>
              <w:t>Insiden</w:t>
            </w:r>
          </w:p>
        </w:tc>
        <w:tc>
          <w:tcPr>
            <w:tcW w:type="dxa" w:w="4561"/>
            <w:vAlign w:val="center"/>
          </w:tcPr>
          <w:p>
            <w:pPr>
              <w:spacing w:after="0"/>
            </w:pPr>
            <w:r/>
            <w:r>
              <w:rPr>
                <w:rFonts w:ascii="Times New Roman" w:hAnsi="Times New Roman"/>
                <w:b w:val="0"/>
                <w:sz w:val="20"/>
              </w:rPr>
              <w:t>Kebocoran, kehilangan, atau perubahan data dilaporkan kepada ketua tim dan unit keamanan informasi; akses dicabut, token dirotasi, backup dipulihkan, dan insiden didokumentasikan.</w:t>
            </w:r>
          </w:p>
        </w:tc>
      </w:tr>
    </w:tbl>
    <w:p>
      <w:pPr>
        <w:pStyle w:val="Heading1"/>
      </w:pPr>
      <w:r>
        <w:t>5. Dokumentasi, Standar Metadata, dan Penjaminan Mutu</w:t>
      </w:r>
    </w:p>
    <w:p>
      <w:pPr>
        <w:pStyle w:val="ListBullet"/>
      </w:pPr>
      <w:r>
        <w:t>Setiap dataset memiliki README, data dictionary, unit, timezone, missing-value code, metode akuisisi, versi firmware, dan provenance.</w:t>
      </w:r>
    </w:p>
    <w:p>
      <w:pPr>
        <w:pStyle w:val="ListBullet"/>
      </w:pPr>
      <w:r>
        <w:t>Nama file menggunakan pola: project_workpackage_datatype_location_YYYYMMDD_version.ext.</w:t>
      </w:r>
    </w:p>
    <w:p>
      <w:pPr>
        <w:pStyle w:val="ListBullet"/>
      </w:pPr>
      <w:r>
        <w:t>Kalibrasi sensor dan meter didokumentasikan; hasil uji dilengkapi ketidakpastian pengukuran bila relevan.</w:t>
      </w:r>
    </w:p>
    <w:p>
      <w:pPr>
        <w:pStyle w:val="ListBullet"/>
      </w:pPr>
      <w:r>
        <w:t>Pipeline analisis menyimpan environment/dependency, random seed, configuration file, dan script reproduksi.</w:t>
      </w:r>
    </w:p>
    <w:p>
      <w:pPr>
        <w:pStyle w:val="ListBullet"/>
      </w:pPr>
      <w:r>
        <w:t>Kualitas diperiksa melalui completeness, validity, consistency, timeliness, duplicate check, range check, dan cross-meter energy balance.</w:t>
      </w:r>
    </w:p>
    <w:p>
      <w:pPr>
        <w:pStyle w:val="ListBullet"/>
      </w:pPr>
      <w:r>
        <w:t>Versi dataset yang mendukung publikasi dibekukan, diberi DOI/identifier RIN bila tersedia, dan tidak ditimpa oleh versi berikutnya.</w:t>
      </w:r>
    </w:p>
    <w:p>
      <w:pPr>
        <w:pStyle w:val="Heading1"/>
      </w:pPr>
      <w:r>
        <w:t>6. Tanggung Jawab Pengelolaan Data</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B4C6E7"/>
          </w:tcPr>
          <w:p>
            <w:pPr>
              <w:spacing w:after="0"/>
            </w:pPr>
            <w:r/>
            <w:r>
              <w:rPr>
                <w:rFonts w:ascii="Times New Roman" w:hAnsi="Times New Roman"/>
                <w:b/>
                <w:sz w:val="20"/>
              </w:rPr>
              <w:t>Peran</w:t>
            </w:r>
          </w:p>
        </w:tc>
        <w:tc>
          <w:tcPr>
            <w:tcW w:type="dxa" w:w="3041"/>
            <w:vAlign w:val="center"/>
            <w:shd w:fill="B4C6E7"/>
          </w:tcPr>
          <w:p>
            <w:pPr>
              <w:spacing w:after="0"/>
            </w:pPr>
            <w:r/>
            <w:r>
              <w:rPr>
                <w:rFonts w:ascii="Times New Roman" w:hAnsi="Times New Roman"/>
                <w:b/>
                <w:sz w:val="20"/>
              </w:rPr>
              <w:t>Personel</w:t>
            </w:r>
          </w:p>
        </w:tc>
        <w:tc>
          <w:tcPr>
            <w:tcW w:type="dxa" w:w="3041"/>
            <w:vAlign w:val="center"/>
            <w:shd w:fill="B4C6E7"/>
          </w:tcPr>
          <w:p>
            <w:pPr>
              <w:spacing w:after="0"/>
            </w:pPr>
            <w:r/>
            <w:r>
              <w:rPr>
                <w:rFonts w:ascii="Times New Roman" w:hAnsi="Times New Roman"/>
                <w:b/>
                <w:sz w:val="20"/>
              </w:rPr>
              <w:t>Tanggung Jawab</w:t>
            </w:r>
          </w:p>
        </w:tc>
      </w:tr>
      <w:tr>
        <w:tc>
          <w:tcPr>
            <w:tcW w:type="dxa" w:w="3041"/>
            <w:vAlign w:val="center"/>
          </w:tcPr>
          <w:p>
            <w:pPr>
              <w:spacing w:after="0"/>
            </w:pPr>
            <w:r/>
            <w:r>
              <w:rPr>
                <w:rFonts w:ascii="Times New Roman" w:hAnsi="Times New Roman"/>
                <w:b w:val="0"/>
                <w:sz w:val="20"/>
              </w:rPr>
              <w:t>Data owner/PI</w:t>
            </w:r>
          </w:p>
        </w:tc>
        <w:tc>
          <w:tcPr>
            <w:tcW w:type="dxa" w:w="3041"/>
            <w:vAlign w:val="center"/>
          </w:tcPr>
          <w:p>
            <w:pPr>
              <w:spacing w:after="0"/>
            </w:pPr>
            <w:r>
              <w:t>Prof. Dr. Subiyanto, S.T., M.T.</w:t>
            </w:r>
            <w:r>
              <w:rPr>
                <w:rFonts w:ascii="Times New Roman" w:hAnsi="Times New Roman"/>
                <w:b w:val="0"/>
                <w:sz w:val="20"/>
              </w:rPr>
            </w:r>
          </w:p>
        </w:tc>
        <w:tc>
          <w:tcPr>
            <w:tcW w:type="dxa" w:w="3041"/>
            <w:vAlign w:val="center"/>
          </w:tcPr>
          <w:p>
            <w:pPr>
              <w:spacing w:after="0"/>
            </w:pPr>
            <w:r/>
            <w:r>
              <w:rPr>
                <w:rFonts w:ascii="Times New Roman" w:hAnsi="Times New Roman"/>
                <w:b w:val="0"/>
                <w:sz w:val="20"/>
              </w:rPr>
              <w:t>Persetujuan akses, kepatuhan DMP, keputusan publikasi dan deposit.</w:t>
            </w:r>
          </w:p>
        </w:tc>
      </w:tr>
      <w:tr>
        <w:tc>
          <w:tcPr>
            <w:tcW w:type="dxa" w:w="3041"/>
            <w:vAlign w:val="center"/>
          </w:tcPr>
          <w:p>
            <w:pPr>
              <w:spacing w:after="0"/>
            </w:pPr>
            <w:r/>
            <w:r>
              <w:rPr>
                <w:rFonts w:ascii="Times New Roman" w:hAnsi="Times New Roman"/>
                <w:b w:val="0"/>
                <w:sz w:val="20"/>
              </w:rPr>
              <w:t>Data manager</w:t>
            </w:r>
          </w:p>
        </w:tc>
        <w:tc>
          <w:tcPr>
            <w:tcW w:type="dxa" w:w="3041"/>
            <w:vAlign w:val="center"/>
          </w:tcPr>
          <w:p>
            <w:pPr>
              <w:spacing w:after="0"/>
            </w:pPr>
            <w:r>
              <w:t>Adhe Lingga Dewi, S.Si., M.Si.</w:t>
            </w:r>
            <w:r>
              <w:rPr>
                <w:rFonts w:ascii="Times New Roman" w:hAnsi="Times New Roman"/>
                <w:b w:val="0"/>
                <w:sz w:val="20"/>
              </w:rPr>
            </w:r>
          </w:p>
        </w:tc>
        <w:tc>
          <w:tcPr>
            <w:tcW w:type="dxa" w:w="3041"/>
            <w:vAlign w:val="center"/>
          </w:tcPr>
          <w:p>
            <w:pPr>
              <w:spacing w:after="0"/>
            </w:pPr>
            <w:r/>
            <w:r>
              <w:rPr>
                <w:rFonts w:ascii="Times New Roman" w:hAnsi="Times New Roman"/>
                <w:b w:val="0"/>
                <w:sz w:val="20"/>
              </w:rPr>
              <w:t>Struktur folder, metadata, backup, RIN deposit, data-quality register.</w:t>
            </w:r>
          </w:p>
        </w:tc>
      </w:tr>
      <w:tr>
        <w:tc>
          <w:tcPr>
            <w:tcW w:type="dxa" w:w="3041"/>
            <w:vAlign w:val="center"/>
          </w:tcPr>
          <w:p>
            <w:pPr>
              <w:spacing w:after="0"/>
            </w:pPr>
            <w:r/>
            <w:r>
              <w:rPr>
                <w:rFonts w:ascii="Times New Roman" w:hAnsi="Times New Roman"/>
                <w:b w:val="0"/>
                <w:sz w:val="20"/>
              </w:rPr>
              <w:t>Lead EMS/power system</w:t>
            </w:r>
          </w:p>
        </w:tc>
        <w:tc>
          <w:tcPr>
            <w:tcW w:type="dxa" w:w="3041"/>
            <w:vAlign w:val="center"/>
          </w:tcPr>
          <w:p>
            <w:pPr>
              <w:spacing w:after="0"/>
            </w:pPr>
            <w:r/>
            <w:r>
              <w:rPr>
                <w:rFonts w:ascii="Times New Roman" w:hAnsi="Times New Roman"/>
                <w:b w:val="0"/>
                <w:sz w:val="20"/>
              </w:rPr>
              <w:t>Mario Norman Syah dan tim UNNES</w:t>
            </w:r>
          </w:p>
        </w:tc>
        <w:tc>
          <w:tcPr>
            <w:tcW w:type="dxa" w:w="3041"/>
            <w:vAlign w:val="center"/>
          </w:tcPr>
          <w:p>
            <w:r/>
            <w:r>
              <w:rPr>
                <w:b w:val="0"/>
              </w:rPr>
              <w:t>Validasi model, sizing PV–BESS, parameter EMS, telemetri daya, islanding, dan hasil eksperimen.</w:t>
            </w:r>
          </w:p>
        </w:tc>
      </w:tr>
      <w:tr>
        <w:tc>
          <w:tcPr>
            <w:tcW w:type="dxa" w:w="3041"/>
            <w:vAlign w:val="center"/>
          </w:tcPr>
          <w:p>
            <w:pPr>
              <w:spacing w:after="0"/>
            </w:pPr>
            <w:r/>
            <w:r>
              <w:rPr>
                <w:rFonts w:ascii="Times New Roman" w:hAnsi="Times New Roman"/>
                <w:b w:val="0"/>
                <w:sz w:val="20"/>
              </w:rPr>
              <w:t>Lead IoT/software</w:t>
            </w:r>
          </w:p>
        </w:tc>
        <w:tc>
          <w:tcPr>
            <w:tcW w:type="dxa" w:w="3041"/>
            <w:vAlign w:val="center"/>
          </w:tcPr>
          <w:p>
            <w:pPr>
              <w:spacing w:after="0"/>
            </w:pPr>
            <w:r>
              <w:t>Bagaskoro Saputro, S.Si., M.Cs.</w:t>
            </w:r>
            <w:r>
              <w:rPr>
                <w:rFonts w:ascii="Times New Roman" w:hAnsi="Times New Roman"/>
                <w:b w:val="0"/>
                <w:sz w:val="20"/>
              </w:rPr>
            </w:r>
          </w:p>
        </w:tc>
        <w:tc>
          <w:tcPr>
            <w:tcW w:type="dxa" w:w="3041"/>
            <w:vAlign w:val="center"/>
          </w:tcPr>
          <w:p>
            <w:r>
              <w:t>IoT architecture, OCPP/MQTT/Modbus/CAN log, CSMS/CMS, dashboard, cybersecurity, version control, dan deployment record.</w:t>
            </w:r>
            <w:r>
              <w:rPr>
                <w:b w:val="0"/>
              </w:rPr>
            </w:r>
          </w:p>
        </w:tc>
      </w:tr>
      <w:tr>
        <w:tc>
          <w:tcPr>
            <w:tcW w:type="dxa" w:w="3041"/>
            <w:vAlign w:val="center"/>
          </w:tcPr>
          <w:p>
            <w:pPr>
              <w:spacing w:after="0"/>
            </w:pPr>
            <w:r/>
            <w:r>
              <w:rPr>
                <w:rFonts w:ascii="Times New Roman" w:hAnsi="Times New Roman"/>
                <w:b w:val="0"/>
                <w:sz w:val="20"/>
              </w:rPr>
              <w:t>Lead AI/data quality</w:t>
            </w:r>
          </w:p>
        </w:tc>
        <w:tc>
          <w:tcPr>
            <w:tcW w:type="dxa" w:w="3041"/>
            <w:vAlign w:val="center"/>
          </w:tcPr>
          <w:p>
            <w:pPr>
              <w:spacing w:after="0"/>
            </w:pPr>
            <w:r/>
            <w:r>
              <w:rPr>
                <w:rFonts w:ascii="Times New Roman" w:hAnsi="Times New Roman"/>
                <w:b w:val="0"/>
                <w:sz w:val="20"/>
              </w:rPr>
              <w:t>Adhe Lingga Dewi, S.Si., M.Si.</w:t>
            </w:r>
          </w:p>
        </w:tc>
        <w:tc>
          <w:tcPr>
            <w:tcW w:type="dxa" w:w="3041"/>
            <w:vAlign w:val="center"/>
          </w:tcPr>
          <w:p>
            <w:r/>
            <w:r>
              <w:rPr>
                <w:b w:val="0"/>
              </w:rPr>
              <w:t>Kalibrasi, data-quality register, chronological split, model card, forecasting/anomaly metrics, dan drift monitoring.</w:t>
            </w:r>
          </w:p>
        </w:tc>
      </w:tr>
      <w:tr>
        <w:tc>
          <w:tcPr>
            <w:tcW w:type="dxa" w:w="3041"/>
          </w:tcPr>
          <w:p>
            <w:r>
              <w:t>Lead techno-economic/hilirisasi</w:t>
            </w:r>
          </w:p>
        </w:tc>
        <w:tc>
          <w:tcPr>
            <w:tcW w:type="dxa" w:w="3041"/>
          </w:tcPr>
          <w:p>
            <w:r>
              <w:t>Ir. Turnad Lenggo Ginta, S.T., M.T., Ph.D.</w:t>
            </w:r>
          </w:p>
        </w:tc>
        <w:tc>
          <w:tcPr>
            <w:tcW w:type="dxa" w:w="3041"/>
          </w:tcPr>
          <w:p>
            <w:r>
              <w:t>Analisis biaya-emisi-resiliensi, kebijakan energi, ESG, feasibility brief, dan rencana hilirisasi.</w:t>
            </w:r>
          </w:p>
        </w:tc>
      </w:tr>
      <w:tr>
        <w:tc>
          <w:tcPr>
            <w:tcW w:type="dxa" w:w="3041"/>
            <w:vAlign w:val="center"/>
          </w:tcPr>
          <w:p>
            <w:pPr>
              <w:spacing w:after="0"/>
            </w:pPr>
            <w:r/>
            <w:r>
              <w:rPr>
                <w:rFonts w:ascii="Times New Roman" w:hAnsi="Times New Roman"/>
                <w:b w:val="0"/>
                <w:sz w:val="20"/>
              </w:rPr>
              <w:t>Mitra/operator</w:t>
            </w:r>
          </w:p>
        </w:tc>
        <w:tc>
          <w:tcPr>
            <w:tcW w:type="dxa" w:w="3041"/>
            <w:vAlign w:val="center"/>
          </w:tcPr>
          <w:p>
            <w:pPr>
              <w:spacing w:after="0"/>
            </w:pPr>
            <w:r>
              <w:t>PT. Arunika Sains Teknologi</w:t>
            </w:r>
            <w:r>
              <w:rPr>
                <w:rFonts w:ascii="Times New Roman" w:hAnsi="Times New Roman"/>
                <w:b w:val="0"/>
                <w:sz w:val="20"/>
              </w:rPr>
            </w:r>
          </w:p>
        </w:tc>
        <w:tc>
          <w:tcPr>
            <w:tcW w:type="dxa" w:w="3041"/>
            <w:vAlign w:val="center"/>
          </w:tcPr>
          <w:p>
            <w:pPr>
              <w:spacing w:after="0"/>
            </w:pPr>
            <w:r/>
            <w:r>
              <w:rPr>
                <w:rFonts w:ascii="Times New Roman" w:hAnsi="Times New Roman"/>
                <w:b w:val="0"/>
                <w:sz w:val="20"/>
              </w:rPr>
              <w:t>Legal basis akses data, anonimisasi sumber, batas publikasi, dan validasi operasional.</w:t>
            </w:r>
          </w:p>
        </w:tc>
      </w:tr>
    </w:tbl>
    <w:p>
      <w:pPr>
        <w:spacing w:before="400"/>
      </w:pPr>
    </w:p>
    <w:tbl>
      <w:tblPr>
        <w:tblW w:type="auto" w:w="0"/>
        <w:jc w:val="center"/>
        <w:tblLook w:firstColumn="1" w:firstRow="1" w:lastColumn="0" w:lastRow="0" w:noHBand="0" w:noVBand="1" w:val="04A0"/>
      </w:tblPr>
      <w:tblGrid>
        <w:gridCol w:w="4561"/>
        <w:gridCol w:w="4561"/>
      </w:tblGrid>
      <w:tr>
        <w:tc>
          <w:tcPr>
            <w:tcW w:type="dxa" w:w="4561"/>
            <w:vAlign w:val="center"/>
          </w:tcPr>
          <w:p>
            <w:pPr>
              <w:spacing w:after="0"/>
              <w:jc w:val="center"/>
            </w:pPr>
            <w:r/>
            <w:r>
              <w:rPr>
                <w:rFonts w:ascii="Times New Roman" w:hAnsi="Times New Roman"/>
                <w:b w:val="0"/>
                <w:sz w:val="22"/>
              </w:rPr>
              <w:t>Mengesahkan,</w:t>
              <w:br/>
              <w:t>Kepala Unit Kerja/Program Studi</w:t>
              <w:br/>
              <w:br/>
              <w:br/>
              <w:br/>
              <w:t>[Nama dan Jabatan]</w:t>
              <w:br/>
              <w:t>NIP [DIISI]</w:t>
            </w:r>
          </w:p>
        </w:tc>
        <w:tc>
          <w:tcPr>
            <w:tcW w:type="dxa" w:w="4561"/>
            <w:vAlign w:val="center"/>
          </w:tcPr>
          <w:p>
            <w:pPr>
              <w:spacing w:after="0"/>
              <w:jc w:val="center"/>
            </w:pPr>
            <w:r>
              <w:t>Semarang, [Tanggal Bulan Tahun]</w:t>
              <w:br/>
              <w:t>Ketua Tim Riset</w:t>
              <w:br/>
              <w:br/>
              <w:br/>
              <w:br/>
              <w:t>Prof. Dr. Subiyanto, S.T., M.T.</w:t>
              <w:br/>
              <w:t>NIP/NIK 197411232005011001</w:t>
            </w:r>
            <w:r>
              <w:rPr>
                <w:rFonts w:ascii="Times New Roman" w:hAnsi="Times New Roman"/>
                <w:b w:val="0"/>
                <w:sz w:val="22"/>
              </w:rPr>
            </w:r>
          </w:p>
        </w:tc>
      </w:tr>
    </w:tbl>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DMP RIIM Kompetisi 2026 | Smart Charging Hub Solar Hybrid PV-BESS-Grid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9C000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9C0006"/>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