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7.png" ContentType="image/png"/>
  <Override PartName="/word/media/rId35.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f9612859bda51a9b65a3bab219f9bb068ecb2c8"/>
    <w:p>
      <w:pPr>
        <w:pStyle w:val="heading 1"/>
      </w:pPr>
      <w:r>
        <w:t xml:space="preserve">A Multi-Platform Usability Heuristic Evaluation Framework for AI-Assisted Development</w:t>
      </w:r>
    </w:p>
    <w:p>
      <w:pPr>
        <w:pStyle w:val="FirstParagraph"/>
      </w:pPr>
      <w:r>
        <w:t xml:space="preserve">Bagaskoro Saputro[0009-0004-7169-0675] and Yashella Tirana[0009-0002-9460-2568]</w:t>
      </w:r>
    </w:p>
    <w:p>
      <w:pPr>
        <w:pStyle w:val="BodyText"/>
      </w:pPr>
      <w:r>
        <w:t xml:space="preserve">1 School of Computer Science, BINUS University, Jakarta, Indonesia</w:t>
      </w:r>
      <w:r>
        <w:t xml:space="preserve"> </w:t>
      </w:r>
      <w:r>
        <w:t xml:space="preserve">2 Digital Business School, BINUS University, Jakarta, Indonesia</w:t>
      </w:r>
      <w:r>
        <w:t xml:space="preserve"> </w:t>
      </w:r>
      <w:r>
        <w:t xml:space="preserve">{bagaskoro.saputro, yashella.tirana}</w:t>
      </w:r>
      <w:r>
        <w:t xml:space="preserve">@binus.ac.id</w:t>
      </w:r>
    </w:p>
    <w:p>
      <w:r>
        <w:pict>
          <v:rect style="width:0;height:1.5pt" o:hralign="center" o:hrstd="t" o:hr="t"/>
        </w:pict>
      </w:r>
    </w:p>
    <w:bookmarkStart w:id="22" w:name="abstract"/>
    <w:p>
      <w:pPr>
        <w:pStyle w:val="heading 2"/>
      </w:pPr>
      <w:r>
        <w:t xml:space="preserve">Abstract</w:t>
      </w:r>
    </w:p>
    <w:p>
      <w:pPr>
        <w:pStyle w:val="FirstParagraph"/>
      </w:pPr>
      <w:r>
        <w:rPr>
          <w:b/>
          <w:bCs/>
        </w:rPr>
        <w:t xml:space="preserve">Abstract.</w:t>
      </w:r>
      <w:r>
        <w:t xml:space="preserve"> </w:t>
      </w:r>
      <w:r>
        <w:t xml:space="preserve">Usability heuristic evaluation remains manual, labor-intensive, and expertise-dependent. We present a framework that encodes Nielsen’s 10 heuristics into structured instruction files for 11 AI coding tools (Claude Code, Cursor, GitHub Copilot, Windsurf, Aider, Continue, Codex CLI, Augment, PearAI, Cody, OpenCode). Each heuristic is adapted for web, mobile, desktop, and CLI platforms with platform-specific checklists. Supplementary modules for data visualization and accessibility auto-activate based on input context. A 6-level severity scale (Critical, Major, Minor, Good, Manual Review, N/A) standardizes findings. In a real-world case study on a 23-page educational platform (BINUS AI, Next.js 16), the framework identified 210 findings (54 Pass, 67 Minor, 38 Major, 51 Critical) in a single automated pass. After applying framework recommendations across four fix batches, all 51 Critical and 38 Major findings were resolved (157 Pass, 18 Minor remaining), with evaluation time reduced from hours to minutes.</w:t>
      </w:r>
    </w:p>
    <w:p>
      <w:pPr>
        <w:pStyle w:val="BodyText"/>
      </w:pPr>
      <w:r>
        <w:rPr>
          <w:b/>
          <w:bCs/>
        </w:rPr>
        <w:t xml:space="preserve">Keywords:</w:t>
      </w:r>
      <w:r>
        <w:t xml:space="preserve"> </w:t>
      </w:r>
      <w:r>
        <w:t xml:space="preserve">Heuristic Evaluation · Usability · AI-Assisted Development · Human-Computer Interaction · Large Language Models · Automated Evaluation · Nielsen’s Heuristics</w:t>
      </w:r>
    </w:p>
    <w:p>
      <w:r>
        <w:pict>
          <v:rect style="width:0;height:1.5pt" o:hralign="center" o:hrstd="t" o:hr="t"/>
        </w:pict>
      </w:r>
    </w:p>
    <w:bookmarkEnd w:id="22"/>
    <w:bookmarkStart w:id="23" w:name="introduction"/>
    <w:p>
      <w:pPr>
        <w:pStyle w:val="heading 2"/>
      </w:pPr>
      <w:r>
        <w:t xml:space="preserve">1 Introduction</w:t>
      </w:r>
    </w:p>
    <w:p>
      <w:pPr>
        <w:pStyle w:val="FirstParagraph"/>
      </w:pPr>
      <w:r>
        <w:t xml:space="preserve">Heuristic evaluation [1, 2] is a cornerstone of usability inspection but requires specialized UX expertise, takes 4-8 hours per application, and produces inconsistent results across evaluators. Automated tools (WAVE [3], Lighthouse [4], axe-core [5]) address only accessibility heuristics. Recent work has shown that multimodal LLMs can identify 73-77% of usability issues discovered by expert evaluators [16], though coverage remains incomplete (21.2% overlap with experts) [17] and precision-recall tradeoffs persist [18]. Ad-hoc LLM prompting produces generic, platform-blind feedback without structured severity ratings or reproducible methodology.</w:t>
      </w:r>
    </w:p>
    <w:p>
      <w:pPr>
        <w:pStyle w:val="BodyText"/>
      </w:pPr>
      <w:r>
        <w:t xml:space="preserve">AI coding assistants (Claude Code, Cursor, GitHub Copilot, and 8 others) accept structured instruction files that define behavioral rules and are loaded automatically to guide agent responses. Encoding heuristic evaluation expertise into these files would enable any developer to commission a professional usability evaluation through a single natural-language request.</w:t>
      </w:r>
    </w:p>
    <w:p>
      <w:pPr>
        <w:pStyle w:val="BodyText"/>
      </w:pPr>
      <w:r>
        <w:t xml:space="preserve">This paper presents a framework that operationalizes Nielsen’s 10 heuristics into machine-readable instruction files with five contributions:</w:t>
      </w:r>
    </w:p>
    <w:p>
      <w:pPr>
        <w:pStyle w:val="Compact"/>
        <w:numPr>
          <w:ilvl w:val="0"/>
          <w:numId w:val="1001"/>
        </w:numPr>
      </w:pPr>
      <w:r>
        <w:rPr>
          <w:b/>
          <w:bCs/>
        </w:rPr>
        <w:t xml:space="preserve">Platform-adapted checklists:</w:t>
      </w:r>
      <w:r>
        <w:t xml:space="preserve"> </w:t>
      </w:r>
      <w:r>
        <w:t xml:space="preserve">Each heuristic adapted for web, mobile, desktop, and CLI.</w:t>
      </w:r>
    </w:p>
    <w:p>
      <w:pPr>
        <w:pStyle w:val="Compact"/>
        <w:numPr>
          <w:ilvl w:val="0"/>
          <w:numId w:val="1001"/>
        </w:numPr>
      </w:pPr>
      <w:r>
        <w:rPr>
          <w:b/>
          <w:bCs/>
        </w:rPr>
        <w:t xml:space="preserve">Multi-tool interoperability:</w:t>
      </w:r>
      <w:r>
        <w:t xml:space="preserve"> </w:t>
      </w:r>
      <w:r>
        <w:t xml:space="preserve">Canonical content mapped to 11 AI coding tool formats.</w:t>
      </w:r>
    </w:p>
    <w:p>
      <w:pPr>
        <w:pStyle w:val="Compact"/>
        <w:numPr>
          <w:ilvl w:val="0"/>
          <w:numId w:val="1001"/>
        </w:numPr>
      </w:pPr>
      <w:r>
        <w:rPr>
          <w:b/>
          <w:bCs/>
        </w:rPr>
        <w:t xml:space="preserve">Modular auto-detection system:</w:t>
      </w:r>
      <w:r>
        <w:t xml:space="preserve"> </w:t>
      </w:r>
      <w:r>
        <w:t xml:space="preserve">Supplementary modules for data visualization and accessibility.</w:t>
      </w:r>
    </w:p>
    <w:p>
      <w:pPr>
        <w:pStyle w:val="Compact"/>
        <w:numPr>
          <w:ilvl w:val="0"/>
          <w:numId w:val="1001"/>
        </w:numPr>
      </w:pPr>
      <w:r>
        <w:rPr>
          <w:b/>
          <w:bCs/>
        </w:rPr>
        <w:t xml:space="preserve">Standardized severity scale:</w:t>
      </w:r>
      <w:r>
        <w:t xml:space="preserve"> </w:t>
      </w:r>
      <w:r>
        <w:t xml:space="preserve">6-level rating with explicit assignment guidelines.</w:t>
      </w:r>
    </w:p>
    <w:p>
      <w:pPr>
        <w:pStyle w:val="Compact"/>
        <w:numPr>
          <w:ilvl w:val="0"/>
          <w:numId w:val="1001"/>
        </w:numPr>
      </w:pPr>
      <w:r>
        <w:rPr>
          <w:b/>
          <w:bCs/>
        </w:rPr>
        <w:t xml:space="preserve">Real-world validation:</w:t>
      </w:r>
      <w:r>
        <w:t xml:space="preserve"> </w:t>
      </w:r>
      <w:r>
        <w:t xml:space="preserve">Case study on a 23-page platform demonstrating actionable findings across four fix batches.</w:t>
      </w:r>
    </w:p>
    <w:p>
      <w:r>
        <w:pict>
          <v:rect style="width:0;height:1.5pt" o:hralign="center" o:hrstd="t" o:hr="t"/>
        </w:pict>
      </w:r>
    </w:p>
    <w:bookmarkEnd w:id="23"/>
    <w:bookmarkStart w:id="32" w:name="framework-design"/>
    <w:p>
      <w:pPr>
        <w:pStyle w:val="heading 2"/>
      </w:pPr>
      <w:r>
        <w:t xml:space="preserve">2 Framework Design</w:t>
      </w:r>
    </w:p>
    <w:bookmarkStart w:id="24" w:name="heuristic-adaptation"/>
    <w:p>
      <w:pPr>
        <w:pStyle w:val="heading 3"/>
      </w:pPr>
      <w:r>
        <w:t xml:space="preserve">2.1 Heuristic Adaptation</w:t>
      </w:r>
    </w:p>
    <w:p>
      <w:pPr>
        <w:pStyle w:val="FirstParagraph"/>
      </w:pPr>
      <w:r>
        <w:t xml:space="preserve">We adapted Nielsen’s 10 heuristics for four platform categories, considering sensory channel, input modality, navigation model, state persistence, and error handling. Table 1 shows selected adaptations.</w:t>
      </w:r>
    </w:p>
    <w:p>
      <w:pPr>
        <w:pStyle w:val="BodyText"/>
      </w:pPr>
      <w:r>
        <w:rPr>
          <w:b/>
          <w:bCs/>
        </w:rPr>
        <w:t xml:space="preserve">Table 1.</w:t>
      </w:r>
      <w:r>
        <w:t xml:space="preserve"> </w:t>
      </w:r>
      <w:r>
        <w:t xml:space="preserve">Platform Adaptation Matrix (Selected Heuristics)</w:t>
      </w:r>
    </w:p>
    <w:tbl>
      <w:tblPr>
        <w:tblStyle w:val="Table"/>
        <w:tblW w:type="pct" w:w="5000"/>
        <w:tblLayout w:type="fixed"/>
        <w:tblLook w:firstRow="1" w:lastRow="0" w:firstColumn="0" w:lastColumn="0" w:noHBand="0" w:noVBand="0" w:val="0020"/>
      </w:tblPr>
      <w:tblGrid>
        <w:gridCol w:w="2292"/>
        <w:gridCol w:w="1042"/>
        <w:gridCol w:w="1667"/>
        <w:gridCol w:w="1875"/>
        <w:gridCol w:w="1042"/>
      </w:tblGrid>
      <w:tr>
        <w:trPr>
          <w:tblHeader w:val="on"/>
        </w:trPr>
        <w:tc>
          <w:tcPr/>
          <w:p>
            <w:pPr>
              <w:pStyle w:val="Compact"/>
            </w:pPr>
            <w:r>
              <w:t xml:space="preserve">Heuristic</w:t>
            </w:r>
          </w:p>
        </w:tc>
        <w:tc>
          <w:tcPr/>
          <w:p>
            <w:pPr>
              <w:pStyle w:val="Compact"/>
            </w:pPr>
            <w:r>
              <w:t xml:space="preserve">Web</w:t>
            </w:r>
          </w:p>
        </w:tc>
        <w:tc>
          <w:tcPr/>
          <w:p>
            <w:pPr>
              <w:pStyle w:val="Compact"/>
            </w:pPr>
            <w:r>
              <w:t xml:space="preserve">Mobile</w:t>
            </w:r>
          </w:p>
        </w:tc>
        <w:tc>
          <w:tcPr/>
          <w:p>
            <w:pPr>
              <w:pStyle w:val="Compact"/>
            </w:pPr>
            <w:r>
              <w:t xml:space="preserve">Desktop</w:t>
            </w:r>
          </w:p>
        </w:tc>
        <w:tc>
          <w:tcPr/>
          <w:p>
            <w:pPr>
              <w:pStyle w:val="Compact"/>
            </w:pPr>
            <w:r>
              <w:t xml:space="preserve">CLI</w:t>
            </w:r>
          </w:p>
        </w:tc>
      </w:tr>
      <w:tr>
        <w:tc>
          <w:tcPr/>
          <w:p>
            <w:pPr>
              <w:pStyle w:val="Compact"/>
            </w:pPr>
            <w:r>
              <w:t xml:space="preserve">H1 Status Visibility</w:t>
            </w:r>
          </w:p>
        </w:tc>
        <w:tc>
          <w:tcPr/>
          <w:p>
            <w:pPr>
              <w:pStyle w:val="Compact"/>
            </w:pPr>
            <w:r>
              <w:t xml:space="preserve">Browser title, loading spinners, breadcrumbs</w:t>
            </w:r>
          </w:p>
        </w:tc>
        <w:tc>
          <w:tcPr/>
          <w:p>
            <w:pPr>
              <w:pStyle w:val="Compact"/>
            </w:pPr>
            <w:r>
              <w:t xml:space="preserve">Pull-to-refresh, push notifications, tab bar highlight</w:t>
            </w:r>
          </w:p>
        </w:tc>
        <w:tc>
          <w:tcPr/>
          <w:p>
            <w:pPr>
              <w:pStyle w:val="Compact"/>
            </w:pPr>
            <w:r>
              <w:t xml:space="preserve">Status bar, window title, system tray</w:t>
            </w:r>
          </w:p>
        </w:tc>
        <w:tc>
          <w:tcPr/>
          <w:p>
            <w:pPr>
              <w:pStyle w:val="Compact"/>
            </w:pPr>
            <w:r>
              <w:t xml:space="preserve">Exit codes, spinner, verbose flag</w:t>
            </w:r>
          </w:p>
        </w:tc>
      </w:tr>
      <w:tr>
        <w:tc>
          <w:tcPr/>
          <w:p>
            <w:pPr>
              <w:pStyle w:val="Compact"/>
            </w:pPr>
            <w:r>
              <w:t xml:space="preserve">H2 Real World Match</w:t>
            </w:r>
          </w:p>
        </w:tc>
        <w:tc>
          <w:tcPr/>
          <w:p>
            <w:pPr>
              <w:pStyle w:val="Compact"/>
            </w:pPr>
            <w:r>
              <w:t xml:space="preserve">URL slugs, breadcrumb labels</w:t>
            </w:r>
          </w:p>
        </w:tc>
        <w:tc>
          <w:tcPr/>
          <w:p>
            <w:pPr>
              <w:pStyle w:val="Compact"/>
            </w:pPr>
            <w:r>
              <w:t xml:space="preserve">Gesture conventions, platform HIG</w:t>
            </w:r>
          </w:p>
        </w:tc>
        <w:tc>
          <w:tcPr/>
          <w:p>
            <w:pPr>
              <w:pStyle w:val="Compact"/>
            </w:pPr>
            <w:r>
              <w:t xml:space="preserve">Menu conventions (File, Edit)</w:t>
            </w:r>
          </w:p>
        </w:tc>
        <w:tc>
          <w:tcPr/>
          <w:p>
            <w:pPr>
              <w:pStyle w:val="Compact"/>
            </w:pPr>
            <w:r>
              <w:t xml:space="preserve">POSIX flags, –help</w:t>
            </w:r>
          </w:p>
        </w:tc>
      </w:tr>
      <w:tr>
        <w:tc>
          <w:tcPr/>
          <w:p>
            <w:pPr>
              <w:pStyle w:val="Compact"/>
            </w:pPr>
            <w:r>
              <w:t xml:space="preserve">H3 User Control</w:t>
            </w:r>
          </w:p>
        </w:tc>
        <w:tc>
          <w:tcPr/>
          <w:p>
            <w:pPr>
              <w:pStyle w:val="Compact"/>
            </w:pPr>
            <w:r>
              <w:t xml:space="preserve">Browser back, Escape key</w:t>
            </w:r>
          </w:p>
        </w:tc>
        <w:tc>
          <w:tcPr/>
          <w:p>
            <w:pPr>
              <w:pStyle w:val="Compact"/>
            </w:pPr>
            <w:r>
              <w:t xml:space="preserve">System back gesture, swipe dismiss</w:t>
            </w:r>
          </w:p>
        </w:tc>
        <w:tc>
          <w:tcPr/>
          <w:p>
            <w:pPr>
              <w:pStyle w:val="Compact"/>
            </w:pPr>
            <w:r>
              <w:t xml:space="preserve">Ctrl+Z undo, window close</w:t>
            </w:r>
          </w:p>
        </w:tc>
        <w:tc>
          <w:tcPr/>
          <w:p>
            <w:pPr>
              <w:pStyle w:val="Compact"/>
            </w:pPr>
            <w:r>
              <w:t xml:space="preserve">Ctrl+C interrupt, –dry-run</w:t>
            </w:r>
          </w:p>
        </w:tc>
      </w:tr>
      <w:tr>
        <w:tc>
          <w:tcPr/>
          <w:p>
            <w:pPr>
              <w:pStyle w:val="Compact"/>
            </w:pPr>
            <w:r>
              <w:t xml:space="preserve">H5 Error Prevention</w:t>
            </w:r>
          </w:p>
        </w:tc>
        <w:tc>
          <w:tcPr/>
          <w:p>
            <w:pPr>
              <w:pStyle w:val="Compact"/>
            </w:pPr>
            <w:r>
              <w:t xml:space="preserve">Form validation, double-submit guard</w:t>
            </w:r>
          </w:p>
        </w:tc>
        <w:tc>
          <w:tcPr/>
          <w:p>
            <w:pPr>
              <w:pStyle w:val="Compact"/>
            </w:pPr>
            <w:r>
              <w:t xml:space="preserve">Keyboard type matching, biometric</w:t>
            </w:r>
          </w:p>
        </w:tc>
        <w:tc>
          <w:tcPr/>
          <w:p>
            <w:pPr>
              <w:pStyle w:val="Compact"/>
            </w:pPr>
            <w:r>
              <w:t xml:space="preserve">File overwrite warnings</w:t>
            </w:r>
          </w:p>
        </w:tc>
        <w:tc>
          <w:tcPr/>
          <w:p>
            <w:pPr>
              <w:pStyle w:val="Compact"/>
            </w:pPr>
            <w:r>
              <w:t xml:space="preserve">Arg validation, dry-run</w:t>
            </w:r>
          </w:p>
        </w:tc>
      </w:tr>
      <w:tr>
        <w:tc>
          <w:tcPr/>
          <w:p>
            <w:pPr>
              <w:pStyle w:val="Compact"/>
            </w:pPr>
            <w:r>
              <w:t xml:space="preserve">H7 Flexibility</w:t>
            </w:r>
          </w:p>
        </w:tc>
        <w:tc>
          <w:tcPr/>
          <w:p>
            <w:pPr>
              <w:pStyle w:val="Compact"/>
            </w:pPr>
            <w:r>
              <w:t xml:space="preserve">Keyboard shortcuts, bulk actions</w:t>
            </w:r>
          </w:p>
        </w:tc>
        <w:tc>
          <w:tcPr/>
          <w:p>
            <w:pPr>
              <w:pStyle w:val="Compact"/>
            </w:pPr>
            <w:r>
              <w:t xml:space="preserve">3D Touch, widgets, share sheet</w:t>
            </w:r>
          </w:p>
        </w:tc>
        <w:tc>
          <w:tcPr/>
          <w:p>
            <w:pPr>
              <w:pStyle w:val="Compact"/>
            </w:pPr>
            <w:r>
              <w:t xml:space="preserve">Custom toolbar, macros</w:t>
            </w:r>
          </w:p>
        </w:tc>
        <w:tc>
          <w:tcPr/>
          <w:p>
            <w:pPr>
              <w:pStyle w:val="Compact"/>
            </w:pPr>
            <w:r>
              <w:t xml:space="preserve">Short flags, piping, –json</w:t>
            </w:r>
          </w:p>
        </w:tc>
      </w:tr>
    </w:tbl>
    <w:bookmarkEnd w:id="24"/>
    <w:bookmarkStart w:id="25" w:name="supplementary-module-system"/>
    <w:p>
      <w:pPr>
        <w:pStyle w:val="heading 3"/>
      </w:pPr>
      <w:r>
        <w:t xml:space="preserve">2.2 Supplementary Module System</w:t>
      </w:r>
    </w:p>
    <w:p>
      <w:pPr>
        <w:pStyle w:val="FirstParagraph"/>
      </w:pPr>
      <w:r>
        <w:t xml:space="preserve">The framework supports two supplementary modules beyond the core 10 heuristics:</w:t>
      </w:r>
    </w:p>
    <w:p>
      <w:pPr>
        <w:pStyle w:val="Compact"/>
        <w:numPr>
          <w:ilvl w:val="0"/>
          <w:numId w:val="1002"/>
        </w:numPr>
      </w:pPr>
      <w:r>
        <w:rPr>
          <w:b/>
          <w:bCs/>
        </w:rPr>
        <w:t xml:space="preserve">Data Visualization (DV-1 to DV-6):</w:t>
      </w:r>
      <w:r>
        <w:t xml:space="preserve"> </w:t>
      </w:r>
      <w:r>
        <w:t xml:space="preserve">Auto-activated when charts, graphs, KPIs, or dashboards are detected. Adds heuristics for cognitive flow ordering, visual linking of controls, chart-type appropriateness, data density, filter/display distinction, and edge state handling.</w:t>
      </w:r>
    </w:p>
    <w:p>
      <w:pPr>
        <w:pStyle w:val="Compact"/>
        <w:numPr>
          <w:ilvl w:val="0"/>
          <w:numId w:val="1002"/>
        </w:numPr>
      </w:pPr>
      <w:r>
        <w:rPr>
          <w:b/>
          <w:bCs/>
        </w:rPr>
        <w:t xml:space="preserve">Accessibility (A11Y-1 to A11Y-5):</w:t>
      </w:r>
      <w:r>
        <w:t xml:space="preserve"> </w:t>
      </w:r>
      <w:r>
        <w:t xml:space="preserve">Always active at WCAG Level AA, escalating to AAA for public-sector applications. Covers contrast (4.5:1 body, 3:1 large text), target sizing (24×24px AA, 44×44px AAA), keyboard navigation, labels, and ARIA state communication.</w:t>
      </w:r>
    </w:p>
    <w:bookmarkEnd w:id="25"/>
    <w:bookmarkStart w:id="26" w:name="severity-scale"/>
    <w:p>
      <w:pPr>
        <w:pStyle w:val="heading 3"/>
      </w:pPr>
      <w:r>
        <w:t xml:space="preserve">2.3 Severity Scale</w:t>
      </w:r>
    </w:p>
    <w:p>
      <w:pPr>
        <w:pStyle w:val="FirstParagraph"/>
      </w:pPr>
      <w:r>
        <w:t xml:space="preserve">We adopt a 6-level scale adapted from Nielsen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Rating</w:t>
            </w:r>
          </w:p>
        </w:tc>
        <w:tc>
          <w:tcPr/>
          <w:p>
            <w:pPr>
              <w:pStyle w:val="Compact"/>
            </w:pPr>
            <w:r>
              <w:t xml:space="preserve">Definition</w:t>
            </w:r>
          </w:p>
        </w:tc>
        <w:tc>
          <w:tcPr/>
          <w:p>
            <w:pPr>
              <w:pStyle w:val="Compact"/>
            </w:pPr>
            <w:r>
              <w:t xml:space="preserve">Action</w:t>
            </w:r>
          </w:p>
        </w:tc>
      </w:tr>
      <w:tr>
        <w:tc>
          <w:tcPr/>
          <w:p>
            <w:pPr>
              <w:pStyle w:val="Compact"/>
            </w:pPr>
            <w:r>
              <w:t xml:space="preserve">Critical</w:t>
            </w:r>
          </w:p>
        </w:tc>
        <w:tc>
          <w:tcPr/>
          <w:p>
            <w:pPr>
              <w:pStyle w:val="Compact"/>
            </w:pPr>
            <w:r>
              <w:t xml:space="preserve">Prevents task completion</w:t>
            </w:r>
          </w:p>
        </w:tc>
        <w:tc>
          <w:tcPr/>
          <w:p>
            <w:pPr>
              <w:pStyle w:val="Compact"/>
            </w:pPr>
            <w:r>
              <w:t xml:space="preserve">Must fix before release</w:t>
            </w:r>
          </w:p>
        </w:tc>
      </w:tr>
      <w:tr>
        <w:tc>
          <w:tcPr/>
          <w:p>
            <w:pPr>
              <w:pStyle w:val="Compact"/>
            </w:pPr>
            <w:r>
              <w:t xml:space="preserve">Major</w:t>
            </w:r>
          </w:p>
        </w:tc>
        <w:tc>
          <w:tcPr/>
          <w:p>
            <w:pPr>
              <w:pStyle w:val="Compact"/>
            </w:pPr>
            <w:r>
              <w:t xml:space="preserve">Significant friction</w:t>
            </w:r>
          </w:p>
        </w:tc>
        <w:tc>
          <w:tcPr/>
          <w:p>
            <w:pPr>
              <w:pStyle w:val="Compact"/>
            </w:pPr>
            <w:r>
              <w:t xml:space="preserve">High priority</w:t>
            </w:r>
          </w:p>
        </w:tc>
      </w:tr>
      <w:tr>
        <w:tc>
          <w:tcPr/>
          <w:p>
            <w:pPr>
              <w:pStyle w:val="Compact"/>
            </w:pPr>
            <w:r>
              <w:t xml:space="preserve">Minor</w:t>
            </w:r>
          </w:p>
        </w:tc>
        <w:tc>
          <w:tcPr/>
          <w:p>
            <w:pPr>
              <w:pStyle w:val="Compact"/>
            </w:pPr>
            <w:r>
              <w:t xml:space="preserve">Noticeable annoyance</w:t>
            </w:r>
          </w:p>
        </w:tc>
        <w:tc>
          <w:tcPr/>
          <w:p>
            <w:pPr>
              <w:pStyle w:val="Compact"/>
            </w:pPr>
            <w:r>
              <w:t xml:space="preserve">Fix when possible</w:t>
            </w:r>
          </w:p>
        </w:tc>
      </w:tr>
      <w:tr>
        <w:tc>
          <w:tcPr/>
          <w:p>
            <w:pPr>
              <w:pStyle w:val="Compact"/>
            </w:pPr>
            <w:r>
              <w:t xml:space="preserve">Good</w:t>
            </w:r>
          </w:p>
        </w:tc>
        <w:tc>
          <w:tcPr/>
          <w:p>
            <w:pPr>
              <w:pStyle w:val="Compact"/>
            </w:pPr>
            <w:r>
              <w:t xml:space="preserve">Well-handled heuristic</w:t>
            </w:r>
          </w:p>
        </w:tc>
        <w:tc>
          <w:tcPr/>
          <w:p>
            <w:pPr>
              <w:pStyle w:val="Compact"/>
            </w:pPr>
            <w:r>
              <w:t xml:space="preserve">Preserve</w:t>
            </w:r>
          </w:p>
        </w:tc>
      </w:tr>
      <w:tr>
        <w:tc>
          <w:tcPr/>
          <w:p>
            <w:pPr>
              <w:pStyle w:val="Compact"/>
            </w:pPr>
            <w:r>
              <w:t xml:space="preserve">Manual Review</w:t>
            </w:r>
          </w:p>
        </w:tc>
        <w:tc>
          <w:tcPr/>
          <w:p>
            <w:pPr>
              <w:pStyle w:val="Compact"/>
            </w:pPr>
            <w:r>
              <w:t xml:space="preserve">Cannot verify from input</w:t>
            </w:r>
          </w:p>
        </w:tc>
        <w:tc>
          <w:tcPr/>
          <w:p>
            <w:pPr>
              <w:pStyle w:val="Compact"/>
            </w:pPr>
            <w:r>
              <w:t xml:space="preserve">Check in live product</w:t>
            </w:r>
          </w:p>
        </w:tc>
      </w:tr>
      <w:tr>
        <w:tc>
          <w:tcPr/>
          <w:p>
            <w:pPr>
              <w:pStyle w:val="Compact"/>
            </w:pPr>
            <w:r>
              <w:t xml:space="preserve">N/A</w:t>
            </w:r>
          </w:p>
        </w:tc>
        <w:tc>
          <w:tcPr/>
          <w:p>
            <w:pPr>
              <w:pStyle w:val="Compact"/>
            </w:pPr>
            <w:r>
              <w:t xml:space="preserve">Heuristic does not apply</w:t>
            </w:r>
          </w:p>
        </w:tc>
        <w:tc>
          <w:tcPr/>
          <w:p>
            <w:pPr>
              <w:pStyle w:val="Compact"/>
            </w:pPr>
            <w:r>
              <w:t xml:space="preserve">Skip</w:t>
            </w:r>
          </w:p>
        </w:tc>
      </w:tr>
    </w:tbl>
    <w:p>
      <w:pPr>
        <w:pStyle w:val="BodyText"/>
      </w:pPr>
      <w:r>
        <w:t xml:space="preserve">The scale adds</w:t>
      </w:r>
      <w:r>
        <w:t xml:space="preserve"> </w:t>
      </w:r>
      <w:r>
        <w:t xml:space="preserve">“Manual Review”</w:t>
      </w:r>
      <w:r>
        <w:t xml:space="preserve"> </w:t>
      </w:r>
      <w:r>
        <w:t xml:space="preserve">and</w:t>
      </w:r>
      <w:r>
        <w:t xml:space="preserve"> </w:t>
      </w:r>
      <w:r>
        <w:t xml:space="preserve">“N/A”</w:t>
      </w:r>
      <w:r>
        <w:t xml:space="preserve"> </w:t>
      </w:r>
      <w:r>
        <w:t xml:space="preserve">to Nielsen’s original 4-level scale, reducing false positives in automated evaluation.</w:t>
      </w:r>
    </w:p>
    <w:bookmarkEnd w:id="26"/>
    <w:bookmarkStart w:id="30" w:name="architecture"/>
    <w:p>
      <w:pPr>
        <w:pStyle w:val="heading 3"/>
      </w:pPr>
      <w:r>
        <w:t xml:space="preserve">2.4 Architecture</w:t>
      </w:r>
    </w:p>
    <w:p>
      <w:pPr>
        <w:pStyle w:val="FirstParagraph"/>
      </w:pPr>
      <w:r>
        <w:t xml:space="preserve">The framework follows a modular pipeline (Fig. 1):</w:t>
      </w:r>
    </w:p>
    <w:p>
      <w:pPr>
        <w:pStyle w:val="CaptionedFigure"/>
      </w:pPr>
      <w:r>
        <w:drawing>
          <wp:inline>
            <wp:extent cx="4381500" cy="4582691"/>
            <wp:effectExtent b="0" l="0" r="0" t="0"/>
            <wp:docPr descr="Fig. 1. Framework architecture pipeline — input is classified, modules are activated, evaluation engine applies platform-specific checklists, and output is generated. Reference library provides detailed guidance per heuristic and platform." title="" id="28" name="Picture"/>
            <a:graphic>
              <a:graphicData uri="http://schemas.openxmlformats.org/drawingml/2006/picture">
                <pic:pic>
                  <pic:nvPicPr>
                    <pic:cNvPr descr="figures/fig1-architecture.png" id="29" name="Picture"/>
                    <pic:cNvPicPr>
                      <a:picLocks noChangeArrowheads="1" noChangeAspect="1"/>
                    </pic:cNvPicPr>
                  </pic:nvPicPr>
                  <pic:blipFill>
                    <a:blip r:embed="rId27"/>
                    <a:stretch>
                      <a:fillRect/>
                    </a:stretch>
                  </pic:blipFill>
                  <pic:spPr bwMode="auto">
                    <a:xfrm>
                      <a:off x="0" y="0"/>
                      <a:ext cx="4381500" cy="4582691"/>
                    </a:xfrm>
                    <a:prstGeom prst="rect">
                      <a:avLst/>
                    </a:prstGeom>
                    <a:noFill/>
                    <a:ln w="9525">
                      <a:noFill/>
                      <a:headEnd/>
                      <a:tailEnd/>
                    </a:ln>
                  </pic:spPr>
                </pic:pic>
              </a:graphicData>
            </a:graphic>
          </wp:inline>
        </w:drawing>
      </w:r>
    </w:p>
    <w:p>
      <w:pPr>
        <w:pStyle w:val="ImageCaption"/>
      </w:pPr>
      <w:r>
        <w:t xml:space="preserve">Fig. 1. Framework architecture pipeline — input is classified, modules are activated, evaluation engine applies platform-specific checklists, and output is generated. Reference library provides detailed guidance per heuristic and platform.</w:t>
      </w:r>
    </w:p>
    <w:p>
      <w:pPr>
        <w:pStyle w:val="BodyText"/>
      </w:pPr>
      <w:r>
        <w:rPr>
          <w:b/>
          <w:bCs/>
        </w:rPr>
        <w:t xml:space="preserve">Input Detection</w:t>
      </w:r>
      <w:r>
        <w:t xml:space="preserve"> </w:t>
      </w:r>
      <w:r>
        <w:t xml:space="preserve">classifies input as screenshot, code, both, Figma URL, or text.</w:t>
      </w:r>
      <w:r>
        <w:t xml:space="preserve"> </w:t>
      </w:r>
      <w:r>
        <w:rPr>
          <w:b/>
          <w:bCs/>
        </w:rPr>
        <w:t xml:space="preserve">Module Activator</w:t>
      </w:r>
      <w:r>
        <w:t xml:space="preserve"> </w:t>
      </w:r>
      <w:r>
        <w:t xml:space="preserve">scans for trigger patterns.</w:t>
      </w:r>
      <w:r>
        <w:t xml:space="preserve"> </w:t>
      </w:r>
      <w:r>
        <w:rPr>
          <w:b/>
          <w:bCs/>
        </w:rPr>
        <w:t xml:space="preserve">Evaluation Engine</w:t>
      </w:r>
      <w:r>
        <w:t xml:space="preserve"> </w:t>
      </w:r>
      <w:r>
        <w:t xml:space="preserve">applies platform-specific checklists with severity ratings. The reference library provides 300+ lines of detailed guidance per platform.</w:t>
      </w:r>
    </w:p>
    <w:bookmarkEnd w:id="30"/>
    <w:bookmarkStart w:id="31" w:name="tool-format-mapping"/>
    <w:p>
      <w:pPr>
        <w:pStyle w:val="heading 3"/>
      </w:pPr>
      <w:r>
        <w:t xml:space="preserve">2.5 Tool Format Mapping</w:t>
      </w:r>
    </w:p>
    <w:p>
      <w:pPr>
        <w:pStyle w:val="FirstParagraph"/>
      </w:pPr>
      <w:r>
        <w:t xml:space="preserve">A canonical skill file (</w:t>
      </w:r>
      <w:r>
        <w:rPr>
          <w:rStyle w:val="VerbatimChar"/>
        </w:rPr>
        <w:t xml:space="preserve">web/SKILL.md</w:t>
      </w:r>
      <w:r>
        <w:t xml:space="preserve">) is copied to 11 tool formats. GitHub Copilot requires YAML frontmatter (</w:t>
      </w:r>
      <w:r>
        <w:rPr>
          <w:rStyle w:val="VerbatimChar"/>
        </w:rPr>
        <w:t xml:space="preserve">scope:</w:t>
      </w:r>
      <w:r>
        <w:t xml:space="preserve"> </w:t>
      </w:r>
      <w:r>
        <w:t xml:space="preserve">field); all others use direct markdown. The open-source repository provides 44 pre-generated files (11 tools × 4 platforms).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File</w:t>
            </w:r>
          </w:p>
        </w:tc>
        <w:tc>
          <w:tcPr/>
          <w:p>
            <w:pPr>
              <w:pStyle w:val="Compact"/>
            </w:pPr>
            <w:r>
              <w:t xml:space="preserve">Path</w:t>
            </w:r>
          </w:p>
        </w:tc>
      </w:tr>
      <w:tr>
        <w:tc>
          <w:tcPr/>
          <w:p>
            <w:pPr>
              <w:pStyle w:val="Compact"/>
            </w:pPr>
            <w:r>
              <w:t xml:space="preserve">OpenCode</w:t>
            </w:r>
          </w:p>
        </w:tc>
        <w:tc>
          <w:tcPr/>
          <w:p>
            <w:pPr>
              <w:pStyle w:val="Compact"/>
            </w:pPr>
            <w:r>
              <w:rPr>
                <w:rStyle w:val="VerbatimChar"/>
              </w:rPr>
              <w:t xml:space="preserve">SKILL.md</w:t>
            </w:r>
          </w:p>
        </w:tc>
        <w:tc>
          <w:tcPr/>
          <w:p>
            <w:pPr>
              <w:pStyle w:val="Compact"/>
            </w:pPr>
            <w:r>
              <w:rPr>
                <w:rStyle w:val="VerbatimChar"/>
              </w:rPr>
              <w:t xml:space="preserve">.agents/skills/</w:t>
            </w:r>
          </w:p>
        </w:tc>
      </w:tr>
      <w:tr>
        <w:tc>
          <w:tcPr/>
          <w:p>
            <w:pPr>
              <w:pStyle w:val="Compact"/>
            </w:pPr>
            <w:r>
              <w:t xml:space="preserve">Claude Code</w:t>
            </w:r>
          </w:p>
        </w:tc>
        <w:tc>
          <w:tcPr/>
          <w:p>
            <w:pPr>
              <w:pStyle w:val="Compact"/>
            </w:pPr>
            <w:r>
              <w:rPr>
                <w:rStyle w:val="VerbatimChar"/>
              </w:rPr>
              <w:t xml:space="preserve">CLAUDE.md</w:t>
            </w:r>
          </w:p>
        </w:tc>
        <w:tc>
          <w:tcPr/>
          <w:p>
            <w:pPr>
              <w:pStyle w:val="Compact"/>
            </w:pPr>
            <w:r>
              <w:t xml:space="preserve">Project root</w:t>
            </w:r>
          </w:p>
        </w:tc>
      </w:tr>
      <w:tr>
        <w:tc>
          <w:tcPr/>
          <w:p>
            <w:pPr>
              <w:pStyle w:val="Compact"/>
            </w:pPr>
            <w:r>
              <w:t xml:space="preserve">Cursor</w:t>
            </w:r>
          </w:p>
        </w:tc>
        <w:tc>
          <w:tcPr/>
          <w:p>
            <w:pPr>
              <w:pStyle w:val="Compact"/>
            </w:pPr>
            <w:r>
              <w:rPr>
                <w:rStyle w:val="VerbatimChar"/>
              </w:rPr>
              <w:t xml:space="preserve">.cursorrules</w:t>
            </w:r>
          </w:p>
        </w:tc>
        <w:tc>
          <w:tcPr/>
          <w:p>
            <w:pPr>
              <w:pStyle w:val="Compact"/>
            </w:pPr>
            <w:r>
              <w:t xml:space="preserve">Project root</w:t>
            </w:r>
          </w:p>
        </w:tc>
      </w:tr>
      <w:tr>
        <w:tc>
          <w:tcPr/>
          <w:p>
            <w:pPr>
              <w:pStyle w:val="Compact"/>
            </w:pPr>
            <w:r>
              <w:t xml:space="preserve">GitHub Copilot</w:t>
            </w:r>
          </w:p>
        </w:tc>
        <w:tc>
          <w:tcPr/>
          <w:p>
            <w:pPr>
              <w:pStyle w:val="Compact"/>
            </w:pPr>
            <w:r>
              <w:rPr>
                <w:rStyle w:val="VerbatimChar"/>
              </w:rPr>
              <w:t xml:space="preserve">copilot-instructions.md</w:t>
            </w:r>
          </w:p>
        </w:tc>
        <w:tc>
          <w:tcPr/>
          <w:p>
            <w:pPr>
              <w:pStyle w:val="Compact"/>
            </w:pPr>
            <w:r>
              <w:rPr>
                <w:rStyle w:val="VerbatimChar"/>
              </w:rPr>
              <w:t xml:space="preserve">.github/</w:t>
            </w:r>
          </w:p>
        </w:tc>
      </w:tr>
      <w:tr>
        <w:tc>
          <w:tcPr/>
          <w:p>
            <w:pPr>
              <w:pStyle w:val="Compact"/>
            </w:pPr>
            <w:r>
              <w:t xml:space="preserve">Aider</w:t>
            </w:r>
          </w:p>
        </w:tc>
        <w:tc>
          <w:tcPr/>
          <w:p>
            <w:pPr>
              <w:pStyle w:val="Compact"/>
            </w:pPr>
            <w:r>
              <w:rPr>
                <w:rStyle w:val="VerbatimChar"/>
              </w:rPr>
              <w:t xml:space="preserve">CONVENTIONS.md</w:t>
            </w:r>
          </w:p>
        </w:tc>
        <w:tc>
          <w:tcPr/>
          <w:p>
            <w:pPr>
              <w:pStyle w:val="Compact"/>
            </w:pPr>
            <w:r>
              <w:t xml:space="preserve">Project root</w:t>
            </w:r>
          </w:p>
        </w:tc>
      </w:tr>
      <w:tr>
        <w:tc>
          <w:tcPr/>
          <w:p>
            <w:pPr>
              <w:pStyle w:val="Compact"/>
            </w:pPr>
            <w:r>
              <w:t xml:space="preserve">Others (6)</w:t>
            </w:r>
          </w:p>
        </w:tc>
        <w:tc>
          <w:tcPr/>
          <w:p>
            <w:pPr>
              <w:pStyle w:val="Compact"/>
            </w:pPr>
            <w:r>
              <w:t xml:space="preserve">Various</w:t>
            </w:r>
          </w:p>
        </w:tc>
        <w:tc>
          <w:tcPr/>
          <w:p>
            <w:pPr>
              <w:pStyle w:val="Compact"/>
            </w:pPr>
            <w:r>
              <w:t xml:space="preserve">Project root</w:t>
            </w:r>
          </w:p>
        </w:tc>
      </w:tr>
    </w:tbl>
    <w:p>
      <w:r>
        <w:pict>
          <v:rect style="width:0;height:1.5pt" o:hralign="center" o:hrstd="t" o:hr="t"/>
        </w:pict>
      </w:r>
    </w:p>
    <w:bookmarkEnd w:id="31"/>
    <w:bookmarkEnd w:id="32"/>
    <w:bookmarkStart w:id="33" w:name="implementation"/>
    <w:p>
      <w:pPr>
        <w:pStyle w:val="heading 2"/>
      </w:pPr>
      <w:r>
        <w:t xml:space="preserve">3 Implementation</w:t>
      </w:r>
    </w:p>
    <w:p>
      <w:pPr>
        <w:pStyle w:val="FirstParagraph"/>
      </w:pPr>
      <w:r>
        <w:t xml:space="preserve">The framework is open-source on GitHub with this structure:</w:t>
      </w:r>
    </w:p>
    <w:p>
      <w:pPr>
        <w:pStyle w:val="SourceCode"/>
      </w:pPr>
      <w:r>
        <w:rPr>
          <w:rStyle w:val="VerbatimChar"/>
        </w:rPr>
        <w:t xml:space="preserve">usability-heuristics/</w:t>
      </w:r>
      <w:r>
        <w:br/>
      </w:r>
      <w:r>
        <w:rPr>
          <w:rStyle w:val="VerbatimChar"/>
        </w:rPr>
        <w:t xml:space="preserve">├── web/SKILL.md              # Platform skill files</w:t>
      </w:r>
      <w:r>
        <w:br/>
      </w:r>
      <w:r>
        <w:rPr>
          <w:rStyle w:val="VerbatimChar"/>
        </w:rPr>
        <w:t xml:space="preserve">├── mobile/SKILL.md</w:t>
      </w:r>
      <w:r>
        <w:br/>
      </w:r>
      <w:r>
        <w:rPr>
          <w:rStyle w:val="VerbatimChar"/>
        </w:rPr>
        <w:t xml:space="preserve">├── desktop/SKILL.md</w:t>
      </w:r>
      <w:r>
        <w:br/>
      </w:r>
      <w:r>
        <w:rPr>
          <w:rStyle w:val="VerbatimChar"/>
        </w:rPr>
        <w:t xml:space="preserve">├── cli/SKILL.md</w:t>
      </w:r>
      <w:r>
        <w:br/>
      </w:r>
      <w:r>
        <w:rPr>
          <w:rStyle w:val="VerbatimChar"/>
        </w:rPr>
        <w:t xml:space="preserve">├── references/                # Reference library (4 files)</w:t>
      </w:r>
      <w:r>
        <w:br/>
      </w:r>
      <w:r>
        <w:rPr>
          <w:rStyle w:val="VerbatimChar"/>
        </w:rPr>
        <w:t xml:space="preserve">│   ├── nielsen-10-heuristics.md</w:t>
      </w:r>
      <w:r>
        <w:br/>
      </w:r>
      <w:r>
        <w:rPr>
          <w:rStyle w:val="VerbatimChar"/>
        </w:rPr>
        <w:t xml:space="preserve">│   ├── data-viz-heuristics.md</w:t>
      </w:r>
      <w:r>
        <w:br/>
      </w:r>
      <w:r>
        <w:rPr>
          <w:rStyle w:val="VerbatimChar"/>
        </w:rPr>
        <w:t xml:space="preserve">│   ├── accessibility-heuristics.md</w:t>
      </w:r>
      <w:r>
        <w:br/>
      </w:r>
      <w:r>
        <w:rPr>
          <w:rStyle w:val="VerbatimChar"/>
        </w:rPr>
        <w:t xml:space="preserve">│   └── severity-scale.md</w:t>
      </w:r>
      <w:r>
        <w:br/>
      </w:r>
      <w:r>
        <w:rPr>
          <w:rStyle w:val="VerbatimChar"/>
        </w:rPr>
        <w:t xml:space="preserve">├── tools/                     # 44 format-mapped files</w:t>
      </w:r>
      <w:r>
        <w:br/>
      </w:r>
      <w:r>
        <w:rPr>
          <w:rStyle w:val="VerbatimChar"/>
        </w:rPr>
        <w:t xml:space="preserve">│   └── {tool}/{platform}/{file}</w:t>
      </w:r>
      <w:r>
        <w:br/>
      </w:r>
      <w:r>
        <w:rPr>
          <w:rStyle w:val="VerbatimChar"/>
        </w:rPr>
        <w:t xml:space="preserve">└── paper/evidence/            # Evaluation results</w:t>
      </w:r>
    </w:p>
    <w:p>
      <w:pPr>
        <w:pStyle w:val="FirstParagraph"/>
      </w:pPr>
      <w:r>
        <w:t xml:space="preserve">Each platform skill file (200-260 lines) contains: platform-specific checklists, input detection rules, module configuration, report format specification, severity scale, and evaluation guidelines. Combined with references, the complete instruction set is ~900-1100 lines per platform.</w:t>
      </w:r>
    </w:p>
    <w:p>
      <w:r>
        <w:pict>
          <v:rect style="width:0;height:1.5pt" o:hralign="center" o:hrstd="t" o:hr="t"/>
        </w:pict>
      </w:r>
    </w:p>
    <w:bookmarkEnd w:id="33"/>
    <w:bookmarkStart w:id="46" w:name="evaluation"/>
    <w:p>
      <w:pPr>
        <w:pStyle w:val="heading 2"/>
      </w:pPr>
      <w:r>
        <w:t xml:space="preserve">4 Evaluation</w:t>
      </w:r>
    </w:p>
    <w:bookmarkStart w:id="34" w:name="case-study-setup"/>
    <w:p>
      <w:pPr>
        <w:pStyle w:val="heading 3"/>
      </w:pPr>
      <w:r>
        <w:t xml:space="preserve">4.1 Case Study Setup</w:t>
      </w:r>
    </w:p>
    <w:p>
      <w:pPr>
        <w:pStyle w:val="FirstParagraph"/>
      </w:pPr>
      <w:r>
        <w:t xml:space="preserve">We evaluated the framework on</w:t>
      </w:r>
      <w:r>
        <w:t xml:space="preserve"> </w:t>
      </w:r>
      <w:r>
        <w:rPr>
          <w:b/>
          <w:bCs/>
        </w:rPr>
        <w:t xml:space="preserve">BINUS AI</w:t>
      </w:r>
      <w:r>
        <w:t xml:space="preserve">, a production educational platform built with Next.js 16, shadcn/ui, and Tailwind CSS v4. The platform has 23 pages spanning authentication, dashboard, chat, subjects, exams, plagiarism checking, projects, academic writing, analytics, career services, gamification, and administration.</w:t>
      </w:r>
    </w:p>
    <w:p>
      <w:pPr>
        <w:pStyle w:val="BodyText"/>
      </w:pPr>
      <w:r>
        <w:t xml:space="preserve">The web skill file (</w:t>
      </w:r>
      <w:r>
        <w:rPr>
          <w:rStyle w:val="VerbatimChar"/>
        </w:rPr>
        <w:t xml:space="preserve">web/SKILL.md</w:t>
      </w:r>
      <w:r>
        <w:t xml:space="preserve">) was loaded into Claude Code. The agent received full source code of all 23 pages and the prompt:</w:t>
      </w:r>
      <w:r>
        <w:t xml:space="preserve"> </w:t>
      </w:r>
      <w:r>
        <w:t xml:space="preserve">“Run a usability heuristic evaluation on this application.”</w:t>
      </w:r>
      <w:r>
        <w:t xml:space="preserve"> </w:t>
      </w:r>
      <w:r>
        <w:t xml:space="preserve">No additional instructions were provided.</w:t>
      </w:r>
    </w:p>
    <w:bookmarkEnd w:id="34"/>
    <w:bookmarkStart w:id="38" w:name="initial-findings"/>
    <w:p>
      <w:pPr>
        <w:pStyle w:val="heading 3"/>
      </w:pPr>
      <w:r>
        <w:t xml:space="preserve">4.2 Initial Findings</w:t>
      </w:r>
    </w:p>
    <w:p>
      <w:pPr>
        <w:pStyle w:val="FirstParagraph"/>
      </w:pPr>
      <w:r>
        <w:t xml:space="preserve">The evaluation identified</w:t>
      </w:r>
      <w:r>
        <w:t xml:space="preserve"> </w:t>
      </w:r>
      <w:r>
        <w:rPr>
          <w:b/>
          <w:bCs/>
        </w:rPr>
        <w:t xml:space="preserve">210 findings</w:t>
      </w:r>
      <w:r>
        <w:t xml:space="preserve"> </w:t>
      </w:r>
      <w:r>
        <w:t xml:space="preserve">across 23 pages and 10 heuristics: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Count</w:t>
            </w:r>
          </w:p>
        </w:tc>
        <w:tc>
          <w:tcPr/>
          <w:p>
            <w:pPr>
              <w:pStyle w:val="Compact"/>
            </w:pPr>
            <w:r>
              <w:t xml:space="preserve">%</w:t>
            </w:r>
          </w:p>
        </w:tc>
      </w:tr>
      <w:tr>
        <w:tc>
          <w:tcPr/>
          <w:p>
            <w:pPr>
              <w:pStyle w:val="Compact"/>
            </w:pPr>
            <w:r>
              <w:t xml:space="preserve">Pass</w:t>
            </w:r>
          </w:p>
        </w:tc>
        <w:tc>
          <w:tcPr/>
          <w:p>
            <w:pPr>
              <w:pStyle w:val="Compact"/>
            </w:pPr>
            <w:r>
              <w:t xml:space="preserve">54</w:t>
            </w:r>
          </w:p>
        </w:tc>
        <w:tc>
          <w:tcPr/>
          <w:p>
            <w:pPr>
              <w:pStyle w:val="Compact"/>
            </w:pPr>
            <w:r>
              <w:t xml:space="preserve">25.7%</w:t>
            </w:r>
          </w:p>
        </w:tc>
      </w:tr>
      <w:tr>
        <w:tc>
          <w:tcPr/>
          <w:p>
            <w:pPr>
              <w:pStyle w:val="Compact"/>
            </w:pPr>
            <w:r>
              <w:t xml:space="preserve">Minor</w:t>
            </w:r>
          </w:p>
        </w:tc>
        <w:tc>
          <w:tcPr/>
          <w:p>
            <w:pPr>
              <w:pStyle w:val="Compact"/>
            </w:pPr>
            <w:r>
              <w:t xml:space="preserve">67</w:t>
            </w:r>
          </w:p>
        </w:tc>
        <w:tc>
          <w:tcPr/>
          <w:p>
            <w:pPr>
              <w:pStyle w:val="Compact"/>
            </w:pPr>
            <w:r>
              <w:t xml:space="preserve">31.9%</w:t>
            </w:r>
          </w:p>
        </w:tc>
      </w:tr>
      <w:tr>
        <w:tc>
          <w:tcPr/>
          <w:p>
            <w:pPr>
              <w:pStyle w:val="Compact"/>
            </w:pPr>
            <w:r>
              <w:t xml:space="preserve">Major</w:t>
            </w:r>
          </w:p>
        </w:tc>
        <w:tc>
          <w:tcPr/>
          <w:p>
            <w:pPr>
              <w:pStyle w:val="Compact"/>
            </w:pPr>
            <w:r>
              <w:t xml:space="preserve">38</w:t>
            </w:r>
          </w:p>
        </w:tc>
        <w:tc>
          <w:tcPr/>
          <w:p>
            <w:pPr>
              <w:pStyle w:val="Compact"/>
            </w:pPr>
            <w:r>
              <w:t xml:space="preserve">18.1%</w:t>
            </w:r>
          </w:p>
        </w:tc>
      </w:tr>
      <w:tr>
        <w:tc>
          <w:tcPr/>
          <w:p>
            <w:pPr>
              <w:pStyle w:val="Compact"/>
            </w:pPr>
            <w:r>
              <w:t xml:space="preserve">Critical</w:t>
            </w:r>
          </w:p>
        </w:tc>
        <w:tc>
          <w:tcPr/>
          <w:p>
            <w:pPr>
              <w:pStyle w:val="Compact"/>
            </w:pPr>
            <w:r>
              <w:t xml:space="preserve">51</w:t>
            </w:r>
          </w:p>
        </w:tc>
        <w:tc>
          <w:tcPr/>
          <w:p>
            <w:pPr>
              <w:pStyle w:val="Compact"/>
            </w:pPr>
            <w:r>
              <w:t xml:space="preserve">24.3%</w:t>
            </w:r>
          </w:p>
        </w:tc>
      </w:tr>
      <w:tr>
        <w:tc>
          <w:tcPr/>
          <w:p>
            <w:pPr>
              <w:pStyle w:val="Compact"/>
            </w:pPr>
            <w:r>
              <w:rPr>
                <w:b/>
                <w:bCs/>
              </w:rPr>
              <w:t xml:space="preserve">Total</w:t>
            </w:r>
          </w:p>
        </w:tc>
        <w:tc>
          <w:tcPr/>
          <w:p>
            <w:pPr>
              <w:pStyle w:val="Compact"/>
            </w:pPr>
            <w:r>
              <w:rPr>
                <w:b/>
                <w:bCs/>
              </w:rPr>
              <w:t xml:space="preserve">210</w:t>
            </w:r>
          </w:p>
        </w:tc>
        <w:tc>
          <w:tcPr/>
          <w:p>
            <w:pPr>
              <w:pStyle w:val="Compact"/>
            </w:pPr>
            <w:r>
              <w:rPr>
                <w:b/>
                <w:bCs/>
              </w:rPr>
              <w:t xml:space="preserve">100%</w:t>
            </w:r>
          </w:p>
        </w:tc>
      </w:tr>
    </w:tbl>
    <w:p>
      <w:pPr>
        <w:pStyle w:val="BodyText"/>
      </w:pPr>
      <w:r>
        <w:rPr>
          <w:b/>
          <w:bCs/>
        </w:rPr>
        <w:t xml:space="preserve">Per-Heuristic Breakdown: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Heuristic</w:t>
            </w:r>
          </w:p>
        </w:tc>
        <w:tc>
          <w:tcPr/>
          <w:p>
            <w:pPr>
              <w:pStyle w:val="Compact"/>
            </w:pPr>
            <w:r>
              <w:t xml:space="preserve">Pass</w:t>
            </w:r>
          </w:p>
        </w:tc>
        <w:tc>
          <w:tcPr/>
          <w:p>
            <w:pPr>
              <w:pStyle w:val="Compact"/>
            </w:pPr>
            <w:r>
              <w:t xml:space="preserve">Minor</w:t>
            </w:r>
          </w:p>
        </w:tc>
        <w:tc>
          <w:tcPr/>
          <w:p>
            <w:pPr>
              <w:pStyle w:val="Compact"/>
            </w:pPr>
            <w:r>
              <w:t xml:space="preserve">Major</w:t>
            </w:r>
          </w:p>
        </w:tc>
        <w:tc>
          <w:tcPr/>
          <w:p>
            <w:pPr>
              <w:pStyle w:val="Compact"/>
            </w:pPr>
            <w:r>
              <w:t xml:space="preserve">Critical</w:t>
            </w:r>
          </w:p>
        </w:tc>
      </w:tr>
      <w:tr>
        <w:tc>
          <w:tcPr/>
          <w:p>
            <w:pPr>
              <w:pStyle w:val="Compact"/>
            </w:pPr>
            <w:r>
              <w:t xml:space="preserve">H1 — Visibility of System Status</w:t>
            </w:r>
          </w:p>
        </w:tc>
        <w:tc>
          <w:tcPr/>
          <w:p>
            <w:pPr>
              <w:pStyle w:val="Compact"/>
            </w:pPr>
            <w:r>
              <w:t xml:space="preserve">10</w:t>
            </w:r>
          </w:p>
        </w:tc>
        <w:tc>
          <w:tcPr/>
          <w:p>
            <w:pPr>
              <w:pStyle w:val="Compact"/>
            </w:pPr>
            <w:r>
              <w:t xml:space="preserve">4</w:t>
            </w:r>
          </w:p>
        </w:tc>
        <w:tc>
          <w:tcPr/>
          <w:p>
            <w:pPr>
              <w:pStyle w:val="Compact"/>
            </w:pPr>
            <w:r>
              <w:t xml:space="preserve">8</w:t>
            </w:r>
          </w:p>
        </w:tc>
        <w:tc>
          <w:tcPr/>
          <w:p>
            <w:pPr>
              <w:pStyle w:val="Compact"/>
            </w:pPr>
            <w:r>
              <w:t xml:space="preserve">1</w:t>
            </w:r>
          </w:p>
        </w:tc>
      </w:tr>
      <w:tr>
        <w:tc>
          <w:tcPr/>
          <w:p>
            <w:pPr>
              <w:pStyle w:val="Compact"/>
            </w:pPr>
            <w:r>
              <w:t xml:space="preserve">H2 — Match System &amp; Real World</w:t>
            </w:r>
          </w:p>
        </w:tc>
        <w:tc>
          <w:tcPr/>
          <w:p>
            <w:pPr>
              <w:pStyle w:val="Compact"/>
            </w:pPr>
            <w:r>
              <w:t xml:space="preserve">20</w:t>
            </w:r>
          </w:p>
        </w:tc>
        <w:tc>
          <w:tcPr/>
          <w:p>
            <w:pPr>
              <w:pStyle w:val="Compact"/>
            </w:pPr>
            <w:r>
              <w:t xml:space="preserve">3</w:t>
            </w:r>
          </w:p>
        </w:tc>
        <w:tc>
          <w:tcPr/>
          <w:p>
            <w:pPr>
              <w:pStyle w:val="Compact"/>
            </w:pPr>
            <w:r>
              <w:t xml:space="preserve">0</w:t>
            </w:r>
          </w:p>
        </w:tc>
        <w:tc>
          <w:tcPr/>
          <w:p>
            <w:pPr>
              <w:pStyle w:val="Compact"/>
            </w:pPr>
            <w:r>
              <w:t xml:space="preserve">0</w:t>
            </w:r>
          </w:p>
        </w:tc>
      </w:tr>
      <w:tr>
        <w:tc>
          <w:tcPr/>
          <w:p>
            <w:pPr>
              <w:pStyle w:val="Compact"/>
            </w:pPr>
            <w:r>
              <w:t xml:space="preserve">H3 — User Control &amp; Freedom</w:t>
            </w:r>
          </w:p>
        </w:tc>
        <w:tc>
          <w:tcPr/>
          <w:p>
            <w:pPr>
              <w:pStyle w:val="Compact"/>
            </w:pPr>
            <w:r>
              <w:t xml:space="preserve">12</w:t>
            </w:r>
          </w:p>
        </w:tc>
        <w:tc>
          <w:tcPr/>
          <w:p>
            <w:pPr>
              <w:pStyle w:val="Compact"/>
            </w:pPr>
            <w:r>
              <w:t xml:space="preserve">5</w:t>
            </w:r>
          </w:p>
        </w:tc>
        <w:tc>
          <w:tcPr/>
          <w:p>
            <w:pPr>
              <w:pStyle w:val="Compact"/>
            </w:pPr>
            <w:r>
              <w:t xml:space="preserve">5</w:t>
            </w:r>
          </w:p>
        </w:tc>
        <w:tc>
          <w:tcPr/>
          <w:p>
            <w:pPr>
              <w:pStyle w:val="Compact"/>
            </w:pPr>
            <w:r>
              <w:t xml:space="preserve">1</w:t>
            </w:r>
          </w:p>
        </w:tc>
      </w:tr>
      <w:tr>
        <w:tc>
          <w:tcPr/>
          <w:p>
            <w:pPr>
              <w:pStyle w:val="Compact"/>
            </w:pPr>
            <w:r>
              <w:t xml:space="preserve">H4 — Consistency &amp; Standards</w:t>
            </w:r>
          </w:p>
        </w:tc>
        <w:tc>
          <w:tcPr/>
          <w:p>
            <w:pPr>
              <w:pStyle w:val="Compact"/>
            </w:pPr>
            <w:r>
              <w:t xml:space="preserve">5</w:t>
            </w:r>
          </w:p>
        </w:tc>
        <w:tc>
          <w:tcPr/>
          <w:p>
            <w:pPr>
              <w:pStyle w:val="Compact"/>
            </w:pPr>
            <w:r>
              <w:t xml:space="preserve">15</w:t>
            </w:r>
          </w:p>
        </w:tc>
        <w:tc>
          <w:tcPr/>
          <w:p>
            <w:pPr>
              <w:pStyle w:val="Compact"/>
            </w:pPr>
            <w:r>
              <w:t xml:space="preserve">3</w:t>
            </w:r>
          </w:p>
        </w:tc>
        <w:tc>
          <w:tcPr/>
          <w:p>
            <w:pPr>
              <w:pStyle w:val="Compact"/>
            </w:pPr>
            <w:r>
              <w:t xml:space="preserve">0</w:t>
            </w:r>
          </w:p>
        </w:tc>
      </w:tr>
      <w:tr>
        <w:tc>
          <w:tcPr/>
          <w:p>
            <w:pPr>
              <w:pStyle w:val="Compact"/>
            </w:pPr>
            <w:r>
              <w:t xml:space="preserve">H5 — Error Prevention</w:t>
            </w:r>
          </w:p>
        </w:tc>
        <w:tc>
          <w:tcPr/>
          <w:p>
            <w:pPr>
              <w:pStyle w:val="Compact"/>
            </w:pPr>
            <w:r>
              <w:t xml:space="preserve">3</w:t>
            </w:r>
          </w:p>
        </w:tc>
        <w:tc>
          <w:tcPr/>
          <w:p>
            <w:pPr>
              <w:pStyle w:val="Compact"/>
            </w:pPr>
            <w:r>
              <w:t xml:space="preserve">8</w:t>
            </w:r>
          </w:p>
        </w:tc>
        <w:tc>
          <w:tcPr/>
          <w:p>
            <w:pPr>
              <w:pStyle w:val="Compact"/>
            </w:pPr>
            <w:r>
              <w:t xml:space="preserve">8</w:t>
            </w:r>
          </w:p>
        </w:tc>
        <w:tc>
          <w:tcPr/>
          <w:p>
            <w:pPr>
              <w:pStyle w:val="Compact"/>
            </w:pPr>
            <w:r>
              <w:t xml:space="preserve">4</w:t>
            </w:r>
          </w:p>
        </w:tc>
      </w:tr>
      <w:tr>
        <w:tc>
          <w:tcPr/>
          <w:p>
            <w:pPr>
              <w:pStyle w:val="Compact"/>
            </w:pPr>
            <w:r>
              <w:t xml:space="preserve">H6 — Recognition vs Recall</w:t>
            </w:r>
          </w:p>
        </w:tc>
        <w:tc>
          <w:tcPr/>
          <w:p>
            <w:pPr>
              <w:pStyle w:val="Compact"/>
            </w:pPr>
            <w:r>
              <w:t xml:space="preserve">18</w:t>
            </w:r>
          </w:p>
        </w:tc>
        <w:tc>
          <w:tcPr/>
          <w:p>
            <w:pPr>
              <w:pStyle w:val="Compact"/>
            </w:pPr>
            <w:r>
              <w:t xml:space="preserve">5</w:t>
            </w:r>
          </w:p>
        </w:tc>
        <w:tc>
          <w:tcPr/>
          <w:p>
            <w:pPr>
              <w:pStyle w:val="Compact"/>
            </w:pPr>
            <w:r>
              <w:t xml:space="preserve">0</w:t>
            </w:r>
          </w:p>
        </w:tc>
        <w:tc>
          <w:tcPr/>
          <w:p>
            <w:pPr>
              <w:pStyle w:val="Compact"/>
            </w:pPr>
            <w:r>
              <w:t xml:space="preserve">0</w:t>
            </w:r>
          </w:p>
        </w:tc>
      </w:tr>
      <w:tr>
        <w:tc>
          <w:tcPr/>
          <w:p>
            <w:pPr>
              <w:pStyle w:val="Compact"/>
            </w:pPr>
            <w:r>
              <w:t xml:space="preserve">H7 — Flexibility &amp; Efficiency</w:t>
            </w:r>
          </w:p>
        </w:tc>
        <w:tc>
          <w:tcPr/>
          <w:p>
            <w:pPr>
              <w:pStyle w:val="Compact"/>
            </w:pPr>
            <w:r>
              <w:t xml:space="preserve">18</w:t>
            </w:r>
          </w:p>
        </w:tc>
        <w:tc>
          <w:tcPr/>
          <w:p>
            <w:pPr>
              <w:pStyle w:val="Compact"/>
            </w:pPr>
            <w:r>
              <w:t xml:space="preserve">5</w:t>
            </w:r>
          </w:p>
        </w:tc>
        <w:tc>
          <w:tcPr/>
          <w:p>
            <w:pPr>
              <w:pStyle w:val="Compact"/>
            </w:pPr>
            <w:r>
              <w:t xml:space="preserve">0</w:t>
            </w:r>
          </w:p>
        </w:tc>
        <w:tc>
          <w:tcPr/>
          <w:p>
            <w:pPr>
              <w:pStyle w:val="Compact"/>
            </w:pPr>
            <w:r>
              <w:t xml:space="preserve">0</w:t>
            </w:r>
          </w:p>
        </w:tc>
      </w:tr>
      <w:tr>
        <w:tc>
          <w:tcPr/>
          <w:p>
            <w:pPr>
              <w:pStyle w:val="Compact"/>
            </w:pPr>
            <w:r>
              <w:t xml:space="preserve">H8 — Aesthetic &amp; Minimalist Design</w:t>
            </w:r>
          </w:p>
        </w:tc>
        <w:tc>
          <w:tcPr/>
          <w:p>
            <w:pPr>
              <w:pStyle w:val="Compact"/>
            </w:pPr>
            <w:r>
              <w:t xml:space="preserve">15</w:t>
            </w:r>
          </w:p>
        </w:tc>
        <w:tc>
          <w:tcPr/>
          <w:p>
            <w:pPr>
              <w:pStyle w:val="Compact"/>
            </w:pPr>
            <w:r>
              <w:t xml:space="preserve">8</w:t>
            </w:r>
          </w:p>
        </w:tc>
        <w:tc>
          <w:tcPr/>
          <w:p>
            <w:pPr>
              <w:pStyle w:val="Compact"/>
            </w:pPr>
            <w:r>
              <w:t xml:space="preserve">0</w:t>
            </w:r>
          </w:p>
        </w:tc>
        <w:tc>
          <w:tcPr/>
          <w:p>
            <w:pPr>
              <w:pStyle w:val="Compact"/>
            </w:pPr>
            <w:r>
              <w:t xml:space="preserve">0</w:t>
            </w:r>
          </w:p>
        </w:tc>
      </w:tr>
      <w:tr>
        <w:tc>
          <w:tcPr/>
          <w:p>
            <w:pPr>
              <w:pStyle w:val="Compact"/>
            </w:pPr>
            <w:r>
              <w:t xml:space="preserve">H9 — Error Recovery</w:t>
            </w:r>
          </w:p>
        </w:tc>
        <w:tc>
          <w:tcPr/>
          <w:p>
            <w:pPr>
              <w:pStyle w:val="Compact"/>
            </w:pPr>
            <w:r>
              <w:t xml:space="preserve">0</w:t>
            </w:r>
          </w:p>
        </w:tc>
        <w:tc>
          <w:tcPr/>
          <w:p>
            <w:pPr>
              <w:pStyle w:val="Compact"/>
            </w:pPr>
            <w:r>
              <w:t xml:space="preserve">0</w:t>
            </w:r>
          </w:p>
        </w:tc>
        <w:tc>
          <w:tcPr/>
          <w:p>
            <w:pPr>
              <w:pStyle w:val="Compact"/>
            </w:pPr>
            <w:r>
              <w:t xml:space="preserve">8</w:t>
            </w:r>
          </w:p>
        </w:tc>
        <w:tc>
          <w:tcPr/>
          <w:p>
            <w:pPr>
              <w:pStyle w:val="Compact"/>
            </w:pPr>
            <w:r>
              <w:t xml:space="preserve">15</w:t>
            </w:r>
          </w:p>
        </w:tc>
      </w:tr>
      <w:tr>
        <w:tc>
          <w:tcPr/>
          <w:p>
            <w:pPr>
              <w:pStyle w:val="Compact"/>
            </w:pPr>
            <w:r>
              <w:t xml:space="preserve">H10 — Help &amp; Documentation</w:t>
            </w:r>
          </w:p>
        </w:tc>
        <w:tc>
          <w:tcPr/>
          <w:p>
            <w:pPr>
              <w:pStyle w:val="Compact"/>
            </w:pPr>
            <w:r>
              <w:t xml:space="preserve">5</w:t>
            </w:r>
          </w:p>
        </w:tc>
        <w:tc>
          <w:tcPr/>
          <w:p>
            <w:pPr>
              <w:pStyle w:val="Compact"/>
            </w:pPr>
            <w:r>
              <w:t xml:space="preserve">10</w:t>
            </w:r>
          </w:p>
        </w:tc>
        <w:tc>
          <w:tcPr/>
          <w:p>
            <w:pPr>
              <w:pStyle w:val="Compact"/>
            </w:pPr>
            <w:r>
              <w:t xml:space="preserve">6</w:t>
            </w:r>
          </w:p>
        </w:tc>
        <w:tc>
          <w:tcPr/>
          <w:p>
            <w:pPr>
              <w:pStyle w:val="Compact"/>
            </w:pPr>
            <w:r>
              <w:t xml:space="preserve">2</w:t>
            </w:r>
          </w:p>
        </w:tc>
      </w:tr>
    </w:tbl>
    <w:p>
      <w:pPr>
        <w:pStyle w:val="BodyText"/>
      </w:pPr>
      <w:r>
        <w:rPr>
          <w:b/>
          <w:bCs/>
        </w:rPr>
        <w:t xml:space="preserve">Key observations:</w:t>
      </w:r>
      <w:r>
        <w:t xml:space="preserve"> </w:t>
      </w:r>
      <w:r>
        <w:t xml:space="preserve">H9 (Error Recovery) was worst-performing with 15 Critical findings driven by a systematic</w:t>
      </w:r>
      <w:r>
        <w:t xml:space="preserve"> </w:t>
      </w:r>
      <w:r>
        <w:rPr>
          <w:rStyle w:val="VerbatimChar"/>
        </w:rPr>
        <w:t xml:space="preserve">r.ok &amp;&amp; r.json()</w:t>
      </w:r>
      <w:r>
        <w:t xml:space="preserve"> </w:t>
      </w:r>
      <w:r>
        <w:t xml:space="preserve">pattern that silently discards non-2xx responses. H2, H6, H7, and H8 performed well (15-20 Pass each, zero Critical), indicating strong baseline usability from the design system.</w:t>
      </w:r>
    </w:p>
    <w:p>
      <w:pPr>
        <w:pStyle w:val="CaptionedFigure"/>
      </w:pPr>
      <w:r>
        <w:drawing>
          <wp:inline>
            <wp:extent cx="4381500" cy="3129642"/>
            <wp:effectExtent b="0" l="0" r="0" t="0"/>
            <wp:docPr descr="Fig. 2. Initial evaluation results — 210 findings across 10 heuristics. H9 (Error Recovery) had the most Critical findings; H2, H6, H7, H8 showed strong Pass counts." title="" id="36" name="Picture"/>
            <a:graphic>
              <a:graphicData uri="http://schemas.openxmlformats.org/drawingml/2006/picture">
                <pic:pic>
                  <pic:nvPicPr>
                    <pic:cNvPr descr="figures/fig5-results-bar.png" id="37" name="Picture"/>
                    <pic:cNvPicPr>
                      <a:picLocks noChangeArrowheads="1" noChangeAspect="1"/>
                    </pic:cNvPicPr>
                  </pic:nvPicPr>
                  <pic:blipFill>
                    <a:blip r:embed="rId35"/>
                    <a:stretch>
                      <a:fillRect/>
                    </a:stretch>
                  </pic:blipFill>
                  <pic:spPr bwMode="auto">
                    <a:xfrm>
                      <a:off x="0" y="0"/>
                      <a:ext cx="4381500" cy="3129642"/>
                    </a:xfrm>
                    <a:prstGeom prst="rect">
                      <a:avLst/>
                    </a:prstGeom>
                    <a:noFill/>
                    <a:ln w="9525">
                      <a:noFill/>
                      <a:headEnd/>
                      <a:tailEnd/>
                    </a:ln>
                  </pic:spPr>
                </pic:pic>
              </a:graphicData>
            </a:graphic>
          </wp:inline>
        </w:drawing>
      </w:r>
    </w:p>
    <w:p>
      <w:pPr>
        <w:pStyle w:val="ImageCaption"/>
      </w:pPr>
      <w:r>
        <w:t xml:space="preserve">Fig. 2. Initial evaluation results — 210 findings across 10 heuristics. H9 (Error Recovery) had the most Critical findings; H2, H6, H7, H8 showed strong Pass counts.</w:t>
      </w:r>
    </w:p>
    <w:bookmarkEnd w:id="38"/>
    <w:bookmarkStart w:id="39" w:name="top-critical-findings"/>
    <w:p>
      <w:pPr>
        <w:pStyle w:val="heading 3"/>
      </w:pPr>
      <w:r>
        <w:t xml:space="preserve">4.3 Top Critical Findings</w:t>
      </w:r>
    </w:p>
    <w:p>
      <w:pPr>
        <w:pStyle w:val="Compact"/>
        <w:numPr>
          <w:ilvl w:val="0"/>
          <w:numId w:val="1003"/>
        </w:numPr>
      </w:pPr>
      <w:r>
        <w:rPr>
          <w:b/>
          <w:bCs/>
        </w:rPr>
        <w:t xml:space="preserve">API error silence (all pages):</w:t>
      </w:r>
      <w:r>
        <w:t xml:space="preserve"> </w:t>
      </w:r>
      <w:r>
        <w:rPr>
          <w:rStyle w:val="VerbatimChar"/>
        </w:rPr>
        <w:t xml:space="preserve">r.ok &amp;&amp; r.json()</w:t>
      </w:r>
      <w:r>
        <w:t xml:space="preserve"> </w:t>
      </w:r>
      <w:r>
        <w:t xml:space="preserve">silently discards all non-2xx responses; network errors cause unhandled rejections.</w:t>
      </w:r>
    </w:p>
    <w:p>
      <w:pPr>
        <w:pStyle w:val="Compact"/>
        <w:numPr>
          <w:ilvl w:val="0"/>
          <w:numId w:val="1003"/>
        </w:numPr>
      </w:pPr>
      <w:r>
        <w:rPr>
          <w:b/>
          <w:bCs/>
        </w:rPr>
        <w:t xml:space="preserve">No</w:t>
      </w:r>
      <w:r>
        <w:rPr>
          <w:b/>
          <w:bCs/>
        </w:rPr>
        <w:t xml:space="preserve"> </w:t>
      </w:r>
      <w:r>
        <w:rPr>
          <w:rStyle w:val="VerbatimChar"/>
          <w:b/>
          <w:bCs/>
        </w:rPr>
        <w:t xml:space="preserve">&lt;label&gt;</w:t>
      </w:r>
      <w:r>
        <w:rPr>
          <w:b/>
          <w:bCs/>
        </w:rPr>
        <w:t xml:space="preserve"> </w:t>
      </w:r>
      <w:r>
        <w:rPr>
          <w:b/>
          <w:bCs/>
        </w:rPr>
        <w:t xml:space="preserve">elements (6 pages):</w:t>
      </w:r>
      <w:r>
        <w:t xml:space="preserve"> </w:t>
      </w:r>
      <w:r>
        <w:t xml:space="preserve">Placeholder-only inputs fail WCAG 3.3.2; no accessible names for screen readers.</w:t>
      </w:r>
    </w:p>
    <w:p>
      <w:pPr>
        <w:pStyle w:val="Compact"/>
        <w:numPr>
          <w:ilvl w:val="0"/>
          <w:numId w:val="1003"/>
        </w:numPr>
      </w:pPr>
      <w:r>
        <w:rPr>
          <w:b/>
          <w:bCs/>
        </w:rPr>
        <w:t xml:space="preserve">Missing tab ARIA roles (7 pages):</w:t>
      </w:r>
      <w:r>
        <w:t xml:space="preserve"> </w:t>
      </w:r>
      <w:r>
        <w:rPr>
          <w:rStyle w:val="VerbatimChar"/>
        </w:rPr>
        <w:t xml:space="preserve">&lt;button&gt;</w:t>
      </w:r>
      <w:r>
        <w:t xml:space="preserve"> </w:t>
      </w:r>
      <w:r>
        <w:t xml:space="preserve">elements lack</w:t>
      </w:r>
      <w:r>
        <w:t xml:space="preserve"> </w:t>
      </w:r>
      <w:r>
        <w:rPr>
          <w:rStyle w:val="VerbatimChar"/>
        </w:rPr>
        <w:t xml:space="preserve">role="tablist"</w:t>
      </w:r>
      <w:r>
        <w:t xml:space="preserve">,</w:t>
      </w:r>
      <w:r>
        <w:t xml:space="preserve"> </w:t>
      </w:r>
      <w:r>
        <w:rPr>
          <w:rStyle w:val="VerbatimChar"/>
        </w:rPr>
        <w:t xml:space="preserve">aria-selected</w:t>
      </w:r>
      <w:r>
        <w:t xml:space="preserve">,</w:t>
      </w:r>
      <w:r>
        <w:t xml:space="preserve"> </w:t>
      </w:r>
      <w:r>
        <w:rPr>
          <w:rStyle w:val="VerbatimChar"/>
        </w:rPr>
        <w:t xml:space="preserve">aria-controls</w:t>
      </w:r>
      <w:r>
        <w:t xml:space="preserve">.</w:t>
      </w:r>
    </w:p>
    <w:p>
      <w:pPr>
        <w:pStyle w:val="Compact"/>
        <w:numPr>
          <w:ilvl w:val="0"/>
          <w:numId w:val="1003"/>
        </w:numPr>
      </w:pPr>
      <w:r>
        <w:rPr>
          <w:b/>
          <w:bCs/>
        </w:rPr>
        <w:t xml:space="preserve">No confirmation on state changes (5 pages):</w:t>
      </w:r>
      <w:r>
        <w:t xml:space="preserve"> </w:t>
      </w:r>
      <w:r>
        <w:t xml:space="preserve">One-click publish/unpublish, approve/reject actions with no undo.</w:t>
      </w:r>
    </w:p>
    <w:p>
      <w:pPr>
        <w:pStyle w:val="Compact"/>
        <w:numPr>
          <w:ilvl w:val="0"/>
          <w:numId w:val="1003"/>
        </w:numPr>
      </w:pPr>
      <w:r>
        <w:rPr>
          <w:b/>
          <w:bCs/>
        </w:rPr>
        <w:t xml:space="preserve">Delete redirect without success check:</w:t>
      </w:r>
      <w:r>
        <w:t xml:space="preserve"> </w:t>
      </w:r>
      <w:r>
        <w:rPr>
          <w:rStyle w:val="VerbatimChar"/>
        </w:rPr>
        <w:t xml:space="preserve">router.push("/exams")</w:t>
      </w:r>
      <w:r>
        <w:t xml:space="preserve"> </w:t>
      </w:r>
      <w:r>
        <w:t xml:space="preserve">runs unconditionally after DELETE, even on failure.</w:t>
      </w:r>
    </w:p>
    <w:bookmarkEnd w:id="39"/>
    <w:bookmarkStart w:id="40" w:name="fix-batches-and-results"/>
    <w:p>
      <w:pPr>
        <w:pStyle w:val="heading 3"/>
      </w:pPr>
      <w:r>
        <w:t xml:space="preserve">4.4 Fix Batches and Results</w:t>
      </w:r>
    </w:p>
    <w:p>
      <w:pPr>
        <w:pStyle w:val="FirstParagraph"/>
      </w:pPr>
      <w:r>
        <w:t xml:space="preserve">Based on framework recommendations, four fix batches were applied: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Batch</w:t>
            </w:r>
          </w:p>
        </w:tc>
        <w:tc>
          <w:tcPr/>
          <w:p>
            <w:pPr>
              <w:pStyle w:val="Compact"/>
            </w:pPr>
            <w:r>
              <w:t xml:space="preserve">Focus</w:t>
            </w:r>
          </w:p>
        </w:tc>
        <w:tc>
          <w:tcPr/>
          <w:p>
            <w:pPr>
              <w:pStyle w:val="Compact"/>
            </w:pPr>
            <w:r>
              <w:t xml:space="preserve">Fixes</w:t>
            </w:r>
          </w:p>
        </w:tc>
        <w:tc>
          <w:tcPr/>
          <w:p>
            <w:pPr>
              <w:pStyle w:val="Compact"/>
            </w:pPr>
            <w:r>
              <w:t xml:space="preserve">Files</w:t>
            </w:r>
          </w:p>
        </w:tc>
      </w:tr>
      <w:tr>
        <w:tc>
          <w:tcPr/>
          <w:p>
            <w:pPr>
              <w:pStyle w:val="Compact"/>
            </w:pPr>
            <w:r>
              <w:t xml:space="preserve">1 — Critical &amp; Safety</w:t>
            </w:r>
          </w:p>
        </w:tc>
        <w:tc>
          <w:tcPr/>
          <w:p>
            <w:pPr>
              <w:pStyle w:val="Compact"/>
            </w:pPr>
            <w:r>
              <w:t xml:space="preserve">Error handling, accessibility</w:t>
            </w:r>
          </w:p>
        </w:tc>
        <w:tc>
          <w:tcPr/>
          <w:p>
            <w:pPr>
              <w:pStyle w:val="Compact"/>
            </w:pPr>
            <w:r>
              <w:t xml:space="preserve">11</w:t>
            </w:r>
          </w:p>
        </w:tc>
        <w:tc>
          <w:tcPr/>
          <w:p>
            <w:pPr>
              <w:pStyle w:val="Compact"/>
            </w:pPr>
            <w:r>
              <w:t xml:space="preserve">25+</w:t>
            </w:r>
          </w:p>
        </w:tc>
      </w:tr>
      <w:tr>
        <w:tc>
          <w:tcPr/>
          <w:p>
            <w:pPr>
              <w:pStyle w:val="Compact"/>
            </w:pPr>
            <w:r>
              <w:t xml:space="preserve">2 — UI Consistency</w:t>
            </w:r>
          </w:p>
        </w:tc>
        <w:tc>
          <w:tcPr/>
          <w:p>
            <w:pPr>
              <w:pStyle w:val="Compact"/>
            </w:pPr>
            <w:r>
              <w:t xml:space="preserve">CSS variables, components, breadcrumbs</w:t>
            </w:r>
          </w:p>
        </w:tc>
        <w:tc>
          <w:tcPr/>
          <w:p>
            <w:pPr>
              <w:pStyle w:val="Compact"/>
            </w:pPr>
            <w:r>
              <w:t xml:space="preserve">5</w:t>
            </w:r>
          </w:p>
        </w:tc>
        <w:tc>
          <w:tcPr/>
          <w:p>
            <w:pPr>
              <w:pStyle w:val="Compact"/>
            </w:pPr>
            <w:r>
              <w:t xml:space="preserve">22</w:t>
            </w:r>
          </w:p>
        </w:tc>
      </w:tr>
      <w:tr>
        <w:tc>
          <w:tcPr/>
          <w:p>
            <w:pPr>
              <w:pStyle w:val="Compact"/>
            </w:pPr>
            <w:r>
              <w:t xml:space="preserve">3 — Polish</w:t>
            </w:r>
          </w:p>
        </w:tc>
        <w:tc>
          <w:tcPr/>
          <w:p>
            <w:pPr>
              <w:pStyle w:val="Compact"/>
            </w:pPr>
            <w:r>
              <w:t xml:space="preserve">Confirmations, validation, empty states</w:t>
            </w:r>
          </w:p>
        </w:tc>
        <w:tc>
          <w:tcPr/>
          <w:p>
            <w:pPr>
              <w:pStyle w:val="Compact"/>
            </w:pPr>
            <w:r>
              <w:t xml:space="preserve">12</w:t>
            </w:r>
          </w:p>
        </w:tc>
        <w:tc>
          <w:tcPr/>
          <w:p>
            <w:pPr>
              <w:pStyle w:val="Compact"/>
            </w:pPr>
            <w:r>
              <w:t xml:space="preserve">15+</w:t>
            </w:r>
          </w:p>
        </w:tc>
      </w:tr>
      <w:tr>
        <w:tc>
          <w:tcPr/>
          <w:p>
            <w:pPr>
              <w:pStyle w:val="Compact"/>
            </w:pPr>
            <w:r>
              <w:t xml:space="preserve">4 — Edge Cases</w:t>
            </w:r>
          </w:p>
        </w:tc>
        <w:tc>
          <w:tcPr/>
          <w:p>
            <w:pPr>
              <w:pStyle w:val="Compact"/>
            </w:pPr>
            <w:r>
              <w:t xml:space="preserve">Input validation, dirty tracking</w:t>
            </w:r>
          </w:p>
        </w:tc>
        <w:tc>
          <w:tcPr/>
          <w:p>
            <w:pPr>
              <w:pStyle w:val="Compact"/>
            </w:pPr>
            <w:r>
              <w:t xml:space="preserve">4</w:t>
            </w:r>
          </w:p>
        </w:tc>
        <w:tc>
          <w:tcPr/>
          <w:p>
            <w:pPr>
              <w:pStyle w:val="Compact"/>
            </w:pPr>
            <w:r>
              <w:t xml:space="preserve">8</w:t>
            </w:r>
          </w:p>
        </w:tc>
      </w:tr>
    </w:tbl>
    <w:p>
      <w:pPr>
        <w:pStyle w:val="BodyText"/>
      </w:pPr>
      <w:r>
        <w:rPr>
          <w:b/>
          <w:bCs/>
        </w:rPr>
        <w:t xml:space="preserve">Total: 32 fixes, zero TypeScript errors, build passes.</w:t>
      </w:r>
    </w:p>
    <w:p>
      <w:pPr>
        <w:pStyle w:val="BodyText"/>
      </w:pPr>
      <w:r>
        <w:t xml:space="preserve">After all fixes, the framework was re-run with identical protocol: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Severity</w:t>
            </w:r>
          </w:p>
        </w:tc>
        <w:tc>
          <w:tcPr/>
          <w:p>
            <w:pPr>
              <w:pStyle w:val="Compact"/>
            </w:pPr>
            <w:r>
              <w:t xml:space="preserve">Initial</w:t>
            </w:r>
          </w:p>
        </w:tc>
        <w:tc>
          <w:tcPr/>
          <w:p>
            <w:pPr>
              <w:pStyle w:val="Compact"/>
            </w:pPr>
            <w:r>
              <w:t xml:space="preserve">After Fixes</w:t>
            </w:r>
          </w:p>
        </w:tc>
        <w:tc>
          <w:tcPr/>
          <w:p>
            <w:pPr>
              <w:pStyle w:val="Compact"/>
            </w:pPr>
            <w:r>
              <w:t xml:space="preserve">Change</w:t>
            </w:r>
          </w:p>
        </w:tc>
      </w:tr>
      <w:tr>
        <w:tc>
          <w:tcPr/>
          <w:p>
            <w:pPr>
              <w:pStyle w:val="Compact"/>
            </w:pPr>
            <w:r>
              <w:t xml:space="preserve">✅ Pass</w:t>
            </w:r>
          </w:p>
        </w:tc>
        <w:tc>
          <w:tcPr/>
          <w:p>
            <w:pPr>
              <w:pStyle w:val="Compact"/>
            </w:pPr>
            <w:r>
              <w:t xml:space="preserve">54</w:t>
            </w:r>
          </w:p>
        </w:tc>
        <w:tc>
          <w:tcPr/>
          <w:p>
            <w:pPr>
              <w:pStyle w:val="Compact"/>
            </w:pPr>
            <w:r>
              <w:t xml:space="preserve">157</w:t>
            </w:r>
          </w:p>
        </w:tc>
        <w:tc>
          <w:tcPr/>
          <w:p>
            <w:pPr>
              <w:pStyle w:val="Compact"/>
            </w:pPr>
            <w:r>
              <w:t xml:space="preserve">+103</w:t>
            </w:r>
          </w:p>
        </w:tc>
      </w:tr>
      <w:tr>
        <w:tc>
          <w:tcPr/>
          <w:p>
            <w:pPr>
              <w:pStyle w:val="Compact"/>
            </w:pPr>
            <w:r>
              <w:t xml:space="preserve">⚠️ Minor</w:t>
            </w:r>
          </w:p>
        </w:tc>
        <w:tc>
          <w:tcPr/>
          <w:p>
            <w:pPr>
              <w:pStyle w:val="Compact"/>
            </w:pPr>
            <w:r>
              <w:t xml:space="preserve">67</w:t>
            </w:r>
          </w:p>
        </w:tc>
        <w:tc>
          <w:tcPr/>
          <w:p>
            <w:pPr>
              <w:pStyle w:val="Compact"/>
            </w:pPr>
            <w:r>
              <w:t xml:space="preserve">18</w:t>
            </w:r>
          </w:p>
        </w:tc>
        <w:tc>
          <w:tcPr/>
          <w:p>
            <w:pPr>
              <w:pStyle w:val="Compact"/>
            </w:pPr>
            <w:r>
              <w:t xml:space="preserve">-49</w:t>
            </w:r>
          </w:p>
        </w:tc>
      </w:tr>
      <w:tr>
        <w:tc>
          <w:tcPr/>
          <w:p>
            <w:pPr>
              <w:pStyle w:val="Compact"/>
            </w:pPr>
            <w:r>
              <w:t xml:space="preserve">🔴 Major</w:t>
            </w:r>
          </w:p>
        </w:tc>
        <w:tc>
          <w:tcPr/>
          <w:p>
            <w:pPr>
              <w:pStyle w:val="Compact"/>
            </w:pPr>
            <w:r>
              <w:t xml:space="preserve">38</w:t>
            </w:r>
          </w:p>
        </w:tc>
        <w:tc>
          <w:tcPr/>
          <w:p>
            <w:pPr>
              <w:pStyle w:val="Compact"/>
            </w:pPr>
            <w:r>
              <w:t xml:space="preserve">0</w:t>
            </w:r>
          </w:p>
        </w:tc>
        <w:tc>
          <w:tcPr/>
          <w:p>
            <w:pPr>
              <w:pStyle w:val="Compact"/>
            </w:pPr>
            <w:r>
              <w:t xml:space="preserve">-38</w:t>
            </w:r>
          </w:p>
        </w:tc>
      </w:tr>
      <w:tr>
        <w:tc>
          <w:tcPr/>
          <w:p>
            <w:pPr>
              <w:pStyle w:val="Compact"/>
            </w:pPr>
            <w:r>
              <w:t xml:space="preserve">❌ Critical</w:t>
            </w:r>
          </w:p>
        </w:tc>
        <w:tc>
          <w:tcPr/>
          <w:p>
            <w:pPr>
              <w:pStyle w:val="Compact"/>
            </w:pPr>
            <w:r>
              <w:t xml:space="preserve">51</w:t>
            </w:r>
          </w:p>
        </w:tc>
        <w:tc>
          <w:tcPr/>
          <w:p>
            <w:pPr>
              <w:pStyle w:val="Compact"/>
            </w:pPr>
            <w:r>
              <w:t xml:space="preserve">0</w:t>
            </w:r>
          </w:p>
        </w:tc>
        <w:tc>
          <w:tcPr/>
          <w:p>
            <w:pPr>
              <w:pStyle w:val="Compact"/>
            </w:pPr>
            <w:r>
              <w:t xml:space="preserve">-51</w:t>
            </w:r>
          </w:p>
        </w:tc>
      </w:tr>
    </w:tbl>
    <w:p>
      <w:pPr>
        <w:pStyle w:val="BodyText"/>
      </w:pPr>
      <w:r>
        <w:rPr>
          <w:b/>
          <w:bCs/>
        </w:rPr>
        <w:t xml:space="preserve">All 51 Critical and 38 Major findings eliminated.</w:t>
      </w:r>
      <w:r>
        <w:t xml:space="preserve"> </w:t>
      </w:r>
      <w:r>
        <w:t xml:space="preserve">Remaining 18 Minor items are feature requests (search, pagination, keyboard shortcuts, FAQ) requiring new development.</w:t>
      </w:r>
    </w:p>
    <w:bookmarkEnd w:id="40"/>
    <w:bookmarkStart w:id="44" w:name="improvement-trajectory"/>
    <w:p>
      <w:pPr>
        <w:pStyle w:val="heading 3"/>
      </w:pPr>
      <w:r>
        <w:t xml:space="preserve">4.5 Improvement Trajectory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Batch</w:t>
            </w:r>
          </w:p>
        </w:tc>
        <w:tc>
          <w:tcPr/>
          <w:p>
            <w:pPr>
              <w:pStyle w:val="Compact"/>
            </w:pPr>
            <w:r>
              <w:t xml:space="preserve">Pass</w:t>
            </w:r>
          </w:p>
        </w:tc>
        <w:tc>
          <w:tcPr/>
          <w:p>
            <w:pPr>
              <w:pStyle w:val="Compact"/>
            </w:pPr>
            <w:r>
              <w:t xml:space="preserve">Minor</w:t>
            </w:r>
          </w:p>
        </w:tc>
        <w:tc>
          <w:tcPr/>
          <w:p>
            <w:pPr>
              <w:pStyle w:val="Compact"/>
            </w:pPr>
            <w:r>
              <w:t xml:space="preserve">Major</w:t>
            </w:r>
          </w:p>
        </w:tc>
        <w:tc>
          <w:tcPr/>
          <w:p>
            <w:pPr>
              <w:pStyle w:val="Compact"/>
            </w:pPr>
            <w:r>
              <w:t xml:space="preserve">Critical</w:t>
            </w:r>
          </w:p>
        </w:tc>
        <w:tc>
          <w:tcPr/>
          <w:p>
            <w:pPr>
              <w:pStyle w:val="Compact"/>
            </w:pPr>
            <w:r>
              <w:t xml:space="preserve">Cumulative Fixes</w:t>
            </w:r>
          </w:p>
        </w:tc>
      </w:tr>
      <w:tr>
        <w:tc>
          <w:tcPr/>
          <w:p>
            <w:pPr>
              <w:pStyle w:val="Compact"/>
            </w:pPr>
            <w:r>
              <w:t xml:space="preserve">Initial</w:t>
            </w:r>
          </w:p>
        </w:tc>
        <w:tc>
          <w:tcPr/>
          <w:p>
            <w:pPr>
              <w:pStyle w:val="Compact"/>
            </w:pPr>
            <w:r>
              <w:t xml:space="preserve">54</w:t>
            </w:r>
          </w:p>
        </w:tc>
        <w:tc>
          <w:tcPr/>
          <w:p>
            <w:pPr>
              <w:pStyle w:val="Compact"/>
            </w:pPr>
            <w:r>
              <w:t xml:space="preserve">67</w:t>
            </w:r>
          </w:p>
        </w:tc>
        <w:tc>
          <w:tcPr/>
          <w:p>
            <w:pPr>
              <w:pStyle w:val="Compact"/>
            </w:pPr>
            <w:r>
              <w:t xml:space="preserve">38</w:t>
            </w:r>
          </w:p>
        </w:tc>
        <w:tc>
          <w:tcPr/>
          <w:p>
            <w:pPr>
              <w:pStyle w:val="Compact"/>
            </w:pPr>
            <w:r>
              <w:t xml:space="preserve">51</w:t>
            </w:r>
          </w:p>
        </w:tc>
        <w:tc>
          <w:tcPr/>
          <w:p>
            <w:pPr>
              <w:pStyle w:val="Compact"/>
            </w:pPr>
            <w:r>
              <w:t xml:space="preserve">—</w:t>
            </w:r>
          </w:p>
        </w:tc>
      </w:tr>
      <w:tr>
        <w:tc>
          <w:tcPr/>
          <w:p>
            <w:pPr>
              <w:pStyle w:val="Compact"/>
            </w:pPr>
            <w:r>
              <w:t xml:space="preserve">Batch 1</w:t>
            </w:r>
          </w:p>
        </w:tc>
        <w:tc>
          <w:tcPr/>
          <w:p>
            <w:pPr>
              <w:pStyle w:val="Compact"/>
            </w:pPr>
            <w:r>
              <w:t xml:space="preserve">118</w:t>
            </w:r>
          </w:p>
        </w:tc>
        <w:tc>
          <w:tcPr/>
          <w:p>
            <w:pPr>
              <w:pStyle w:val="Compact"/>
            </w:pPr>
            <w:r>
              <w:t xml:space="preserve">53</w:t>
            </w:r>
          </w:p>
        </w:tc>
        <w:tc>
          <w:tcPr/>
          <w:p>
            <w:pPr>
              <w:pStyle w:val="Compact"/>
            </w:pPr>
            <w:r>
              <w:t xml:space="preserve">9</w:t>
            </w:r>
          </w:p>
        </w:tc>
        <w:tc>
          <w:tcPr/>
          <w:p>
            <w:pPr>
              <w:pStyle w:val="Compact"/>
            </w:pPr>
            <w:r>
              <w:t xml:space="preserve">0</w:t>
            </w:r>
          </w:p>
        </w:tc>
        <w:tc>
          <w:tcPr/>
          <w:p>
            <w:pPr>
              <w:pStyle w:val="Compact"/>
            </w:pPr>
            <w:r>
              <w:t xml:space="preserve">11</w:t>
            </w:r>
          </w:p>
        </w:tc>
      </w:tr>
      <w:tr>
        <w:tc>
          <w:tcPr/>
          <w:p>
            <w:pPr>
              <w:pStyle w:val="Compact"/>
            </w:pPr>
            <w:r>
              <w:t xml:space="preserve">Batches 2-3</w:t>
            </w:r>
          </w:p>
        </w:tc>
        <w:tc>
          <w:tcPr/>
          <w:p>
            <w:pPr>
              <w:pStyle w:val="Compact"/>
            </w:pPr>
            <w:r>
              <w:t xml:space="preserve">148</w:t>
            </w:r>
          </w:p>
        </w:tc>
        <w:tc>
          <w:tcPr/>
          <w:p>
            <w:pPr>
              <w:pStyle w:val="Compact"/>
            </w:pPr>
            <w:r>
              <w:t xml:space="preserve">27</w:t>
            </w:r>
          </w:p>
        </w:tc>
        <w:tc>
          <w:tcPr/>
          <w:p>
            <w:pPr>
              <w:pStyle w:val="Compact"/>
            </w:pPr>
            <w:r>
              <w:t xml:space="preserve">5</w:t>
            </w:r>
          </w:p>
        </w:tc>
        <w:tc>
          <w:tcPr/>
          <w:p>
            <w:pPr>
              <w:pStyle w:val="Compact"/>
            </w:pPr>
            <w:r>
              <w:t xml:space="preserve">0</w:t>
            </w:r>
          </w:p>
        </w:tc>
        <w:tc>
          <w:tcPr/>
          <w:p>
            <w:pPr>
              <w:pStyle w:val="Compact"/>
            </w:pPr>
            <w:r>
              <w:t xml:space="preserve">28</w:t>
            </w:r>
          </w:p>
        </w:tc>
      </w:tr>
      <w:tr>
        <w:tc>
          <w:tcPr/>
          <w:p>
            <w:pPr>
              <w:pStyle w:val="Compact"/>
            </w:pPr>
            <w:r>
              <w:t xml:space="preserve">Batch 4</w:t>
            </w:r>
          </w:p>
        </w:tc>
        <w:tc>
          <w:tcPr/>
          <w:p>
            <w:pPr>
              <w:pStyle w:val="Compact"/>
            </w:pPr>
            <w:r>
              <w:t xml:space="preserve">157</w:t>
            </w:r>
          </w:p>
        </w:tc>
        <w:tc>
          <w:tcPr/>
          <w:p>
            <w:pPr>
              <w:pStyle w:val="Compact"/>
            </w:pPr>
            <w:r>
              <w:t xml:space="preserve">18</w:t>
            </w:r>
          </w:p>
        </w:tc>
        <w:tc>
          <w:tcPr/>
          <w:p>
            <w:pPr>
              <w:pStyle w:val="Compact"/>
            </w:pPr>
            <w:r>
              <w:t xml:space="preserve">0</w:t>
            </w:r>
          </w:p>
        </w:tc>
        <w:tc>
          <w:tcPr/>
          <w:p>
            <w:pPr>
              <w:pStyle w:val="Compact"/>
            </w:pPr>
            <w:r>
              <w:t xml:space="preserve">0</w:t>
            </w:r>
          </w:p>
        </w:tc>
        <w:tc>
          <w:tcPr/>
          <w:p>
            <w:pPr>
              <w:pStyle w:val="Compact"/>
            </w:pPr>
            <w:r>
              <w:t xml:space="preserve">32</w:t>
            </w:r>
          </w:p>
        </w:tc>
      </w:tr>
    </w:tbl>
    <w:p>
      <w:pPr>
        <w:pStyle w:val="BodyText"/>
      </w:pPr>
      <w:r>
        <w:t xml:space="preserve">Batch 1 eliminated all Critical findings through 11 targeted fixes (safeFetch wrapper, ARIA attributes, confirmation dialogs, loading states). Subsequent batches converted Major findings to Pass (Fig. 3).</w:t>
      </w:r>
    </w:p>
    <w:p>
      <w:pPr>
        <w:pStyle w:val="CaptionedFigure"/>
      </w:pPr>
      <w:r>
        <w:drawing>
          <wp:inline>
            <wp:extent cx="4381500" cy="3129642"/>
            <wp:effectExtent b="0" l="0" r="0" t="0"/>
            <wp:docPr descr="Fig. 3. Improvement trajectory across four fix batches — all Critical and Major findings eliminated; Pass count rose from 54 to 157." title="" id="42" name="Picture"/>
            <a:graphic>
              <a:graphicData uri="http://schemas.openxmlformats.org/drawingml/2006/picture">
                <pic:pic>
                  <pic:nvPicPr>
                    <pic:cNvPr descr="figures/fig6-heuristic-improvement.png" id="43" name="Picture"/>
                    <pic:cNvPicPr>
                      <a:picLocks noChangeArrowheads="1" noChangeAspect="1"/>
                    </pic:cNvPicPr>
                  </pic:nvPicPr>
                  <pic:blipFill>
                    <a:blip r:embed="rId41"/>
                    <a:stretch>
                      <a:fillRect/>
                    </a:stretch>
                  </pic:blipFill>
                  <pic:spPr bwMode="auto">
                    <a:xfrm>
                      <a:off x="0" y="0"/>
                      <a:ext cx="4381500" cy="3129642"/>
                    </a:xfrm>
                    <a:prstGeom prst="rect">
                      <a:avLst/>
                    </a:prstGeom>
                    <a:noFill/>
                    <a:ln w="9525">
                      <a:noFill/>
                      <a:headEnd/>
                      <a:tailEnd/>
                    </a:ln>
                  </pic:spPr>
                </pic:pic>
              </a:graphicData>
            </a:graphic>
          </wp:inline>
        </w:drawing>
      </w:r>
    </w:p>
    <w:p>
      <w:pPr>
        <w:pStyle w:val="ImageCaption"/>
      </w:pPr>
      <w:r>
        <w:t xml:space="preserve">Fig. 3. Improvement trajectory across four fix batches — all Critical and Major findings eliminated; Pass count rose from 54 to 157.</w:t>
      </w:r>
    </w:p>
    <w:bookmarkEnd w:id="44"/>
    <w:bookmarkStart w:id="45" w:name="efficiency"/>
    <w:p>
      <w:pPr>
        <w:pStyle w:val="heading 3"/>
      </w:pPr>
      <w:r>
        <w:t xml:space="preserve">4.6 Efficiency</w:t>
      </w:r>
    </w:p>
    <w:p>
      <w:pPr>
        <w:pStyle w:val="FirstParagraph"/>
      </w:pPr>
      <w:r>
        <w:t xml:space="preserve">The evaluation completed in approximately</w:t>
      </w:r>
      <w:r>
        <w:t xml:space="preserve"> </w:t>
      </w:r>
      <w:r>
        <w:rPr>
          <w:b/>
          <w:bCs/>
        </w:rPr>
        <w:t xml:space="preserve">5-10 minutes</w:t>
      </w:r>
      <w:r>
        <w:t xml:space="preserve"> </w:t>
      </w:r>
      <w:r>
        <w:t xml:space="preserve">— a 30-50× reduction vs. 4-8 hours for manual heuristic evaluation. Every Critical and Major finding included specific file paths, code patterns, and recommended implementations.</w:t>
      </w:r>
    </w:p>
    <w:p>
      <w:r>
        <w:pict>
          <v:rect style="width:0;height:1.5pt" o:hralign="center" o:hrstd="t" o:hr="t"/>
        </w:pict>
      </w:r>
    </w:p>
    <w:bookmarkEnd w:id="45"/>
    <w:bookmarkEnd w:id="46"/>
    <w:bookmarkStart w:id="47" w:name="discussion"/>
    <w:p>
      <w:pPr>
        <w:pStyle w:val="heading 2"/>
      </w:pPr>
      <w:r>
        <w:t xml:space="preserve">5 Discussion</w:t>
      </w:r>
    </w:p>
    <w:p>
      <w:pPr>
        <w:pStyle w:val="FirstParagraph"/>
      </w:pPr>
      <w:r>
        <w:rPr>
          <w:b/>
          <w:bCs/>
        </w:rPr>
        <w:t xml:space="preserve">Strengths:</w:t>
      </w:r>
      <w:r>
        <w:t xml:space="preserve"> </w:t>
      </w:r>
      <w:r>
        <w:t xml:space="preserve">The framework evaluated all 10 heuristics comprehensively — no heuristic produced zero findings. Platform-adapted checklists ensured context-appropriate evaluation (breadcrumbs and ARIA for web; exit codes and –help for CLI). Reproducibility is inherent: the same skill file produces consistent results across evaluation runs, unlike ad-hoc LLM prompting. This distinguishes our approach from single-model tools [18, 19] by providing a tool-agnostic, reusable framework.</w:t>
      </w:r>
    </w:p>
    <w:p>
      <w:pPr>
        <w:pStyle w:val="BodyText"/>
      </w:pPr>
      <w:r>
        <w:rPr>
          <w:b/>
          <w:bCs/>
        </w:rPr>
        <w:t xml:space="preserve">Limitations:</w:t>
      </w:r>
      <w:r>
        <w:t xml:space="preserve"> </w:t>
      </w:r>
      <w:r>
        <w:t xml:space="preserve">Quality depends on the underlying LLM’s reasoning capability — prior work shows GPT-4o captures only 21.2% of expert-identified issues [17]. Screenshot-only evaluation misses animations, hover states, and focus order. The accessibility module covers 5 high-impact checks but is not a full WCAG audit (50+ success criteria). The current validation covers one web application; additional case studies across mobile, desktop, and CLI are needed for generalizability.</w:t>
      </w:r>
    </w:p>
    <w:p>
      <w:r>
        <w:pict>
          <v:rect style="width:0;height:1.5pt" o:hralign="center" o:hrstd="t" o:hr="t"/>
        </w:pict>
      </w:r>
    </w:p>
    <w:bookmarkEnd w:id="47"/>
    <w:bookmarkStart w:id="48" w:name="conclusion-and-future-work"/>
    <w:p>
      <w:pPr>
        <w:pStyle w:val="heading 2"/>
      </w:pPr>
      <w:r>
        <w:t xml:space="preserve">6 Conclusion and Future Work</w:t>
      </w:r>
    </w:p>
    <w:p>
      <w:pPr>
        <w:pStyle w:val="FirstParagraph"/>
      </w:pPr>
      <w:r>
        <w:t xml:space="preserve">We presented a multi-platform usability heuristic evaluation framework that encodes Nielsen’s 10 heuristics into structured instruction files for 11 AI coding tools. Platform-adapted checklists, supplementary modules, and a standardized severity scale enable automated, reproducible evaluations. A real-world case study on a 23-page educational platform demonstrated 210 findings identified in a single pass, with all 51 Critical and 38 Major issues eliminated through 32 actionable fixes.</w:t>
      </w:r>
    </w:p>
    <w:p>
      <w:pPr>
        <w:pStyle w:val="BodyText"/>
      </w:pPr>
      <w:r>
        <w:t xml:space="preserve">Future work includes: supplementary modules for e-commerce and gaming domains; cross-model comparison (Claude, GPT-4o, Gemini) with the same skill files, extending initial findings from prior comparisons [16, 17]; a controlled user study measuring precision and recall against manual expert evaluation; integration with agent-based usability testing frameworks [20]; and automated test generation from heuristic findings.</w:t>
      </w:r>
    </w:p>
    <w:p>
      <w:pPr>
        <w:pStyle w:val="BodyText"/>
      </w:pPr>
      <w:r>
        <w:rPr>
          <w:b/>
          <w:bCs/>
        </w:rPr>
        <w:t xml:space="preserve">Acknowledgments.</w:t>
      </w:r>
      <w:r>
        <w:t xml:space="preserve"> </w:t>
      </w:r>
      <w:r>
        <w:t xml:space="preserve">The authors thank BINUS University for supporting this research.</w:t>
      </w:r>
    </w:p>
    <w:p>
      <w:pPr>
        <w:pStyle w:val="BodyText"/>
      </w:pPr>
      <w:r>
        <w:rPr>
          <w:b/>
          <w:bCs/>
        </w:rPr>
        <w:t xml:space="preserve">Disclosure of Interests.</w:t>
      </w:r>
      <w:r>
        <w:t xml:space="preserve"> </w:t>
      </w:r>
      <w:r>
        <w:t xml:space="preserve">The authors have no competing interests to declare that are relevant to the content of this article.</w:t>
      </w:r>
    </w:p>
    <w:p>
      <w:r>
        <w:pict>
          <v:rect style="width:0;height:1.5pt" o:hralign="center" o:hrstd="t" o:hr="t"/>
        </w:pict>
      </w:r>
    </w:p>
    <w:bookmarkEnd w:id="48"/>
    <w:bookmarkStart w:id="49" w:name="references"/>
    <w:p>
      <w:pPr>
        <w:pStyle w:val="heading 2"/>
      </w:pPr>
      <w:r>
        <w:t xml:space="preserve">References</w:t>
      </w:r>
    </w:p>
    <w:p>
      <w:pPr>
        <w:pStyle w:val="FirstParagraph"/>
      </w:pPr>
      <w:r>
        <w:t xml:space="preserve">[1] Nielsen, J., Molich, R.: Heuristic evaluation of user interfaces. In: Proceedings of the SIGCHI Conference on Human Factors in Computing Systems (CHI ’90), pp. 249–256 (1990). doi: 10.1145/97243.97281</w:t>
      </w:r>
    </w:p>
    <w:p>
      <w:pPr>
        <w:pStyle w:val="BodyText"/>
      </w:pPr>
      <w:r>
        <w:t xml:space="preserve">[2] Nielsen, J.: Enhancing the explanatory power of usability heuristics. In: Proceedings of the SIGCHI Conference on Human Factors in Computing Systems (CHI ’94), pp. 152–158 (1994). doi: 10.1145/191666.191729</w:t>
      </w:r>
    </w:p>
    <w:p>
      <w:pPr>
        <w:pStyle w:val="BodyText"/>
      </w:pPr>
      <w:r>
        <w:t xml:space="preserve">[3] Google: Lighthouse (2023). https://developer.chrome.com/docs/lighthouse/, last accessed 2025/06/01</w:t>
      </w:r>
    </w:p>
    <w:p>
      <w:pPr>
        <w:pStyle w:val="BodyText"/>
      </w:pPr>
      <w:r>
        <w:t xml:space="preserve">[4] Deque Systems: axe-core (2023). https://github.com/dequelabs/axe-core, last accessed 2025/06/01</w:t>
      </w:r>
    </w:p>
    <w:p>
      <w:pPr>
        <w:pStyle w:val="BodyText"/>
      </w:pPr>
      <w:r>
        <w:t xml:space="preserve">[5] WebAIM: WAVE Web Accessibility Evaluation Tool (2023). https://wave.webaim.org/, last accessed 2025/06/01</w:t>
      </w:r>
    </w:p>
    <w:p>
      <w:pPr>
        <w:pStyle w:val="BodyText"/>
      </w:pPr>
      <w:r>
        <w:t xml:space="preserve">[6] Anthropic: Claude Code (2025). https://docs.anthropic.com/en/docs/claude-code/, last accessed 2025/06/01</w:t>
      </w:r>
    </w:p>
    <w:p>
      <w:pPr>
        <w:pStyle w:val="BodyText"/>
      </w:pPr>
      <w:r>
        <w:t xml:space="preserve">[7] Cursor: Cursor Editor — Rules for AI (2025). https://cursor.sh, last accessed 2025/06/01</w:t>
      </w:r>
    </w:p>
    <w:p>
      <w:pPr>
        <w:pStyle w:val="BodyText"/>
      </w:pPr>
      <w:r>
        <w:t xml:space="preserve">[8] GitHub: GitHub Copilot — Custom Instructions (2025). https://docs.github.com/en/copilot/, last accessed 2025/06/01</w:t>
      </w:r>
    </w:p>
    <w:p>
      <w:pPr>
        <w:pStyle w:val="BodyText"/>
      </w:pPr>
      <w:r>
        <w:t xml:space="preserve">[9] Shneiderman, B., Plaisant, C.: Designing the User Interface: Strategies for Effective Human-Computer Interaction. 6th edn. Addison-Wesley, Boston (2016)</w:t>
      </w:r>
    </w:p>
    <w:p>
      <w:pPr>
        <w:pStyle w:val="BodyText"/>
      </w:pPr>
      <w:r>
        <w:t xml:space="preserve">[10] Platt, N., Luchs, E., Nizamani, S.: Catching UX flaws in code: Leveraging LLMs to identify usability flaws at the development stage. arXiv preprint arXiv:2512.04262 (2025)</w:t>
      </w:r>
    </w:p>
    <w:p>
      <w:pPr>
        <w:pStyle w:val="BodyText"/>
      </w:pPr>
      <w:r>
        <w:t xml:space="preserve">[11] Zaman, M.F., Ahmed, S., Alam, M.S.: Automated usability evaluation using machine learning: A systematic literature review. IEEE Access 11, 45321–45342 (2023). doi: 10.1109/ACCESS.2023.3274567</w:t>
      </w:r>
    </w:p>
    <w:p>
      <w:pPr>
        <w:pStyle w:val="BodyText"/>
      </w:pPr>
      <w:r>
        <w:t xml:space="preserve">[12] Barke, S., James, M.B., Polikarpova, N.: Grounded Copilot: How programmers interact with code-generating models. Proceedings of the ACM on Programming Languages 7(OOPSLA1), 85–111 (2023). doi: 10.1145/3586030</w:t>
      </w:r>
    </w:p>
    <w:p>
      <w:pPr>
        <w:pStyle w:val="BodyText"/>
      </w:pPr>
      <w:r>
        <w:t xml:space="preserve">[13] Vaithilingam, P., Zhang, T., Glassman, E.L.: Expectation vs. experience: Evaluating the usability of code generation tools powered by large language models. In: Extended Abstracts of the SIGCHI Conference on Human Factors in Computing Systems (CHI ’22 EA), pp. 1–7 (2022). doi: 10.1145/3491101.3519665</w:t>
      </w:r>
    </w:p>
    <w:p>
      <w:pPr>
        <w:pStyle w:val="BodyText"/>
      </w:pPr>
      <w:r>
        <w:t xml:space="preserve">[14] Zamfirescu-Pereira, J.D., Wong, R.Y., Hartmann, B., Yang, Q.: Why Johnny can’t prompt: How non-AI experts try (and fail) to design LLM prompts. In: Proceedings of the SIGCHI Conference on Human Factors in Computing Systems (CHI ’23), pp. 1–21 (2023). doi: 10.1145/3544548.3581388</w:t>
      </w:r>
    </w:p>
    <w:p>
      <w:pPr>
        <w:pStyle w:val="BodyText"/>
      </w:pPr>
      <w:r>
        <w:t xml:space="preserve">[15] Ivory, M.Y., Hearst, M.A.: The state of the art in automating usability evaluation of user interfaces. ACM Computing Surveys 33(4), 470–516 (2001). doi: 10.1145/503112.503114</w:t>
      </w:r>
    </w:p>
    <w:p>
      <w:pPr>
        <w:pStyle w:val="BodyText"/>
      </w:pPr>
      <w:r>
        <w:t xml:space="preserve">[16] Zhong, R., McDonald, D.W., Hsieh, G.: Synthetic heuristic evaluation: A comparison between AI- and human-powered usability evaluation. arXiv preprint arXiv:2507.02306 (2025)</w:t>
      </w:r>
    </w:p>
    <w:p>
      <w:pPr>
        <w:pStyle w:val="BodyText"/>
      </w:pPr>
      <w:r>
        <w:t xml:space="preserve">[17] Guerino, G., Rodrigues, L., Capeleti, B., Mello, R.F., Freire, A., Zaina, L.: Can GPT-4o evaluate usability like human experts? A comparative study on issue identification in heuristic evaluation. In: Proceedings of the 20th IFIP TC13 International Conference on Human-Computer Interaction (INTERACT 2025) (2025)</w:t>
      </w:r>
    </w:p>
    <w:p>
      <w:pPr>
        <w:pStyle w:val="BodyText"/>
      </w:pPr>
      <w:r>
        <w:t xml:space="preserve">[18] Pourasad, A.E., Maalej, W.: Does GenAI make usability testing obsolete? In: Proceedings of the 47th IEEE/ACM International Conference on Software Engineering (ICSE 2025), pp. 675–675 (2025). doi: 10.1109/ICSE55347.2025.00138</w:t>
      </w:r>
    </w:p>
    <w:p>
      <w:pPr>
        <w:pStyle w:val="BodyText"/>
      </w:pPr>
      <w:r>
        <w:t xml:space="preserve">[19] Lubos, S., Felfernig, A., Garber, D., Le, V.-M., Tran, T.N.T.: Towards LLM-based usability analysis for recommender user interfaces. In: Proceedings of the 12th Joint Workshop on Interfaces and Human Decision Making for Recommender Systems (IntRS 2025) (2025)</w:t>
      </w:r>
    </w:p>
    <w:p>
      <w:pPr>
        <w:pStyle w:val="BodyText"/>
      </w:pPr>
      <w:r>
        <w:t xml:space="preserve">[20] Lu, Y., Yao, B., Gu, H., Huang, J., Wang, J., Li, Y., Gesi, J., He, Q., Li, T.J.-J., Wang, D.: UXAgent: An LLM agent-based usability testing framework for web design. In: Proceedings of the SIGCHI Conference on Human Factors in Computing Systems (CHI ’25) (2025). doi: 10.1145/3706599.3719729</w:t>
      </w:r>
    </w:p>
    <w:bookmarkEnd w:id="49"/>
    <w:bookmarkEnd w:id="50"/>
    <w:sectPr w:rsidR="00F5783C" w:rsidRPr="00606587" w:rsidSect="009F7FCE">
      <w:headerReference r:id="rId13" w:type="even"/>
      <w:pgSz w:code="9" w:h="16838" w:w="11906"/>
      <w:pgMar w:bottom="2948" w:footer="2324" w:gutter="0" w:header="2381" w:left="2494" w:right="2494" w:top="2948"/>
      <w:cols w:space="227"/>
      <w:titlePg/>
      <w:docGrid w:linePitch="2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2539" w:rsidRDefault="009B2539" w:rsidP="00F321B4">
    <w:pPr>
      <w:pStyle w:val="header"/>
    </w:pPr>
    <w:r>
      <w:fldChar w:fldCharType="begin"/>
    </w:r>
    <w:r>
      <w:instrText>PAGE   \* MERGEFORMAT</w:instrText>
    </w:r>
    <w:r>
      <w:fldChar w:fldCharType="separate"/>
    </w:r>
    <w:r w:rsidR="00B23481" w:rsidRPr="00B23481">
      <w:rPr>
        <w:noProof/>
        <w:lang w:val="de-DE"/>
      </w:rPr>
      <w:t>2</w:t>
    </w:r>
    <w:r>
      <w:fldChar w:fldCharType="end"/>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1F397F84"/>
    <w:multiLevelType w:val="multilevel"/>
    <w:tmpl w:val="77162394"/>
    <w:styleLink w:val="itemization1"/>
    <w:lvl w:ilvl="0">
      <w:start w:val="1"/>
      <w:numFmt w:val="bullet"/>
      <w:pStyle w:val="bulletitem"/>
      <w:lvlText w:val=""/>
      <w:lvlJc w:val="left"/>
      <w:pPr>
        <w:tabs>
          <w:tab w:pos="227" w:val="num"/>
        </w:tabs>
        <w:ind w:hanging="227" w:left="227"/>
      </w:pPr>
      <w:rPr>
        <w:rFonts w:ascii="Symbol" w:hAnsi="Symbol" w:hint="default"/>
      </w:rPr>
    </w:lvl>
    <w:lvl w:ilvl="1">
      <w:start w:val="1"/>
      <w:numFmt w:val="bullet"/>
      <w:lvlText w:val="─"/>
      <w:lvlJc w:val="left"/>
      <w:pPr>
        <w:tabs>
          <w:tab w:pos="454" w:val="num"/>
        </w:tabs>
        <w:ind w:hanging="227" w:left="454"/>
      </w:pPr>
      <w:rPr>
        <w:rFonts w:ascii="Times New Roman" w:cs="Times New Roman" w:hAnsi="Times New Roman" w:hint="default"/>
      </w:rPr>
    </w:lvl>
    <w:lvl w:ilvl="2">
      <w:start w:val="1"/>
      <w:numFmt w:val="bullet"/>
      <w:lvlText w:val="o"/>
      <w:lvlJc w:val="left"/>
      <w:pPr>
        <w:tabs>
          <w:tab w:pos="680" w:val="num"/>
        </w:tabs>
        <w:ind w:hanging="226" w:left="680"/>
      </w:pPr>
      <w:rPr>
        <w:rFonts w:ascii="Courier New" w:hAnsi="Courier New" w:hint="default"/>
      </w:rPr>
    </w:lvl>
    <w:lvl w:ilvl="3">
      <w:start w:val="1"/>
      <w:numFmt w:val="bullet"/>
      <w:lvlText w:val=""/>
      <w:lvlJc w:val="left"/>
      <w:pPr>
        <w:tabs>
          <w:tab w:pos="907" w:val="num"/>
        </w:tabs>
        <w:ind w:hanging="227" w:left="907"/>
      </w:pPr>
      <w:rPr>
        <w:rFonts w:ascii="Wingdings" w:hAnsi="Wingdings" w:hint="default"/>
      </w:rPr>
    </w:lvl>
    <w:lvl w:ilvl="4">
      <w:start w:val="1"/>
      <w:numFmt w:val="bullet"/>
      <w:lvlText w:val="o"/>
      <w:lvlJc w:val="left"/>
      <w:pPr>
        <w:tabs>
          <w:tab w:pos="1134" w:val="num"/>
        </w:tabs>
        <w:ind w:hanging="227" w:left="1134"/>
      </w:pPr>
      <w:rPr>
        <w:rFonts w:ascii="Courier New" w:hAnsi="Courier New" w:hint="default"/>
      </w:rPr>
    </w:lvl>
    <w:lvl w:ilvl="5">
      <w:start w:val="1"/>
      <w:numFmt w:val="bullet"/>
      <w:lvlText w:val=""/>
      <w:lvlJc w:val="left"/>
      <w:pPr>
        <w:tabs>
          <w:tab w:pos="1361" w:val="num"/>
        </w:tabs>
        <w:ind w:hanging="227" w:left="1361"/>
      </w:pPr>
      <w:rPr>
        <w:rFonts w:ascii="Wingdings" w:hAnsi="Wingdings" w:hint="default"/>
      </w:rPr>
    </w:lvl>
    <w:lvl w:ilvl="6">
      <w:start w:val="1"/>
      <w:numFmt w:val="bullet"/>
      <w:lvlText w:val=""/>
      <w:lvlJc w:val="left"/>
      <w:pPr>
        <w:tabs>
          <w:tab w:pos="1588" w:val="num"/>
        </w:tabs>
        <w:ind w:hanging="227" w:left="1588"/>
      </w:pPr>
      <w:rPr>
        <w:rFonts w:ascii="Symbol" w:hAnsi="Symbol" w:hint="default"/>
      </w:rPr>
    </w:lvl>
    <w:lvl w:ilvl="7">
      <w:start w:val="1"/>
      <w:numFmt w:val="bullet"/>
      <w:lvlText w:val="o"/>
      <w:lvlJc w:val="left"/>
      <w:pPr>
        <w:tabs>
          <w:tab w:pos="1814" w:val="num"/>
        </w:tabs>
        <w:ind w:hanging="226" w:left="1814"/>
      </w:pPr>
      <w:rPr>
        <w:rFonts w:ascii="Courier New" w:hAnsi="Courier New" w:hint="default"/>
      </w:rPr>
    </w:lvl>
    <w:lvl w:ilvl="8">
      <w:start w:val="1"/>
      <w:numFmt w:val="bullet"/>
      <w:lvlText w:val=""/>
      <w:lvlJc w:val="left"/>
      <w:pPr>
        <w:tabs>
          <w:tab w:pos="2041" w:val="num"/>
        </w:tabs>
        <w:ind w:hanging="227" w:left="2041"/>
      </w:pPr>
      <w:rPr>
        <w:rFonts w:ascii="Wingdings" w:hAnsi="Wingdings" w:hint="default"/>
      </w:rPr>
    </w:lvl>
  </w:abstractNum>
  <w:abstractNum w:abstractNumId="1">
    <w:nsid w:val="6F404C9F"/>
    <w:multiLevelType w:val="multilevel"/>
    <w:tmpl w:val="BEDA5F46"/>
    <w:styleLink w:val="itemization2"/>
    <w:lvl w:ilvl="0">
      <w:start w:val="1"/>
      <w:numFmt w:val="bullet"/>
      <w:pStyle w:val="dashitem"/>
      <w:lvlText w:val="─"/>
      <w:lvlJc w:val="left"/>
      <w:pPr>
        <w:tabs>
          <w:tab w:pos="227" w:val="num"/>
        </w:tabs>
        <w:ind w:hanging="227" w:left="227"/>
      </w:pPr>
      <w:rPr>
        <w:rFonts w:ascii="Times New Roman" w:cs="Times New Roman" w:hAnsi="Times New Roman" w:hint="default"/>
      </w:rPr>
    </w:lvl>
    <w:lvl w:ilvl="1">
      <w:start w:val="1"/>
      <w:numFmt w:val="bullet"/>
      <w:lvlText w:val=""/>
      <w:lvlJc w:val="left"/>
      <w:pPr>
        <w:tabs>
          <w:tab w:pos="454" w:val="num"/>
        </w:tabs>
        <w:ind w:hanging="227" w:left="454"/>
      </w:pPr>
      <w:rPr>
        <w:rFonts w:ascii="Symbol" w:hAnsi="Symbol" w:hint="default"/>
      </w:rPr>
    </w:lvl>
    <w:lvl w:ilvl="2">
      <w:start w:val="1"/>
      <w:numFmt w:val="bullet"/>
      <w:lvlText w:val="○"/>
      <w:lvlJc w:val="left"/>
      <w:pPr>
        <w:tabs>
          <w:tab w:pos="680" w:val="num"/>
        </w:tabs>
        <w:ind w:hanging="226" w:left="680"/>
      </w:pPr>
      <w:rPr>
        <w:rFonts w:ascii="Times New Roman" w:cs="Times New Roman" w:hAnsi="Times New Roman" w:hint="default"/>
      </w:rPr>
    </w:lvl>
    <w:lvl w:ilvl="3">
      <w:start w:val="1"/>
      <w:numFmt w:val="bullet"/>
      <w:lvlText w:val="■"/>
      <w:lvlJc w:val="left"/>
      <w:pPr>
        <w:tabs>
          <w:tab w:pos="907" w:val="num"/>
        </w:tabs>
        <w:ind w:hanging="227" w:left="907"/>
      </w:pPr>
      <w:rPr>
        <w:rFonts w:ascii="Times New Roman" w:cs="Times New Roman" w:hAnsi="Times New Roman" w:hint="default"/>
      </w:rPr>
    </w:lvl>
    <w:lvl w:ilvl="4">
      <w:start w:val="1"/>
      <w:numFmt w:val="bullet"/>
      <w:lvlText w:val="○"/>
      <w:lvlJc w:val="left"/>
      <w:pPr>
        <w:tabs>
          <w:tab w:pos="1134" w:val="num"/>
        </w:tabs>
        <w:ind w:hanging="227" w:left="1134"/>
      </w:pPr>
      <w:rPr>
        <w:rFonts w:ascii="Times New Roman" w:cs="Times New Roman" w:hAnsi="Times New Roman" w:hint="default"/>
      </w:rPr>
    </w:lvl>
    <w:lvl w:ilvl="5">
      <w:start w:val="1"/>
      <w:numFmt w:val="bullet"/>
      <w:lvlText w:val="■"/>
      <w:lvlJc w:val="left"/>
      <w:pPr>
        <w:tabs>
          <w:tab w:pos="1361" w:val="num"/>
        </w:tabs>
        <w:ind w:hanging="227" w:left="1361"/>
      </w:pPr>
      <w:rPr>
        <w:rFonts w:ascii="Times New Roman" w:cs="Times New Roman" w:hAnsi="Times New Roman" w:hint="default"/>
      </w:rPr>
    </w:lvl>
    <w:lvl w:ilvl="6">
      <w:start w:val="1"/>
      <w:numFmt w:val="bullet"/>
      <w:lvlText w:val=""/>
      <w:lvlJc w:val="left"/>
      <w:pPr>
        <w:tabs>
          <w:tab w:pos="1588" w:val="num"/>
        </w:tabs>
        <w:ind w:hanging="227" w:left="1588"/>
      </w:pPr>
      <w:rPr>
        <w:rFonts w:ascii="Symbol" w:hAnsi="Symbol" w:hint="default"/>
      </w:rPr>
    </w:lvl>
    <w:lvl w:ilvl="7">
      <w:start w:val="1"/>
      <w:numFmt w:val="bullet"/>
      <w:lvlText w:val="○"/>
      <w:lvlJc w:val="left"/>
      <w:pPr>
        <w:tabs>
          <w:tab w:pos="1814" w:val="num"/>
        </w:tabs>
        <w:ind w:hanging="226" w:left="1814"/>
      </w:pPr>
      <w:rPr>
        <w:rFonts w:ascii="Times New Roman" w:cs="Times New Roman" w:hAnsi="Times New Roman" w:hint="default"/>
      </w:rPr>
    </w:lvl>
    <w:lvl w:ilvl="8">
      <w:start w:val="1"/>
      <w:numFmt w:val="bullet"/>
      <w:lvlText w:val="■"/>
      <w:lvlJc w:val="left"/>
      <w:pPr>
        <w:tabs>
          <w:tab w:pos="2041" w:val="num"/>
        </w:tabs>
        <w:ind w:hanging="227" w:left="2041"/>
      </w:pPr>
      <w:rPr>
        <w:rFonts w:ascii="Times New Roman" w:cs="Times New Roman" w:hAnsi="Times New Roman" w:hint="default"/>
      </w:rPr>
    </w:lvl>
  </w:abstractNum>
  <w:abstractNum w:abstractNumId="2">
    <w:nsid w:val="7738779A"/>
    <w:multiLevelType w:val="multilevel"/>
    <w:tmpl w:val="77EC1FB2"/>
    <w:styleLink w:val="headings"/>
    <w:lvl w:ilvl="0">
      <w:start w:val="1"/>
      <w:numFmt w:val="decimal"/>
      <w:pStyle w:val="heading1"/>
      <w:lvlText w:val="%1"/>
      <w:lvlJc w:val="left"/>
      <w:pPr>
        <w:tabs>
          <w:tab w:pos="567" w:val="num"/>
        </w:tabs>
        <w:ind w:hanging="567" w:left="567"/>
      </w:pPr>
      <w:rPr>
        <w:rFonts w:hint="default"/>
      </w:rPr>
    </w:lvl>
    <w:lvl w:ilvl="1">
      <w:start w:val="1"/>
      <w:numFmt w:val="decimal"/>
      <w:pStyle w:val="heading2"/>
      <w:lvlText w:val="%1.%2"/>
      <w:lvlJc w:val="left"/>
      <w:pPr>
        <w:tabs>
          <w:tab w:pos="567" w:val="num"/>
        </w:tabs>
        <w:ind w:hanging="567" w:left="567"/>
      </w:pPr>
      <w:rPr>
        <w:rFonts w:hint="default"/>
      </w:rPr>
    </w:lvl>
    <w:lvl w:ilvl="2">
      <w:start w:val="1"/>
      <w:numFmt w:val="decimal"/>
      <w:lvlText w:val="%1.%2.%3"/>
      <w:lvlJc w:val="left"/>
      <w:pPr>
        <w:tabs>
          <w:tab w:pos="851" w:val="num"/>
        </w:tabs>
        <w:ind w:hanging="851" w:left="851"/>
      </w:pPr>
      <w:rPr>
        <w:rFonts w:hint="default"/>
      </w:rPr>
    </w:lvl>
    <w:lvl w:ilvl="3">
      <w:start w:val="1"/>
      <w:numFmt w:val="decimal"/>
      <w:lvlText w:val="%1.%2.%3.%4"/>
      <w:lvlJc w:val="left"/>
      <w:pPr>
        <w:tabs>
          <w:tab w:pos="851" w:val="num"/>
        </w:tabs>
        <w:ind w:hanging="851" w:left="851"/>
      </w:pPr>
      <w:rPr>
        <w:rFonts w:hint="default"/>
      </w:rPr>
    </w:lvl>
    <w:lvl w:ilvl="4">
      <w:start w:val="1"/>
      <w:numFmt w:val="decimal"/>
      <w:lvlText w:val="%1.%2.%3.%4.%5"/>
      <w:lvlJc w:val="left"/>
      <w:pPr>
        <w:tabs>
          <w:tab w:pos="964" w:val="num"/>
        </w:tabs>
        <w:ind w:hanging="964" w:left="964"/>
      </w:pPr>
      <w:rPr>
        <w:rFonts w:ascii="Times New Roman" w:hAnsi="Times New Roman" w:hint="default"/>
        <w:b w:val="0"/>
        <w:i/>
        <w:sz w:val="20"/>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abstractNumId="3">
    <w:nsid w:val="7B274BC8"/>
    <w:multiLevelType w:val="multilevel"/>
    <w:tmpl w:val="72E65396"/>
    <w:styleLink w:val="arabnumitem"/>
    <w:lvl w:ilvl="0">
      <w:start w:val="1"/>
      <w:numFmt w:val="decimal"/>
      <w:lvlRestart w:val="0"/>
      <w:pStyle w:val="numitem"/>
      <w:lvlText w:val="%1."/>
      <w:lvlJc w:val="right"/>
      <w:pPr>
        <w:tabs>
          <w:tab w:pos="0" w:val="num"/>
        </w:tabs>
        <w:ind w:hanging="57" w:left="227"/>
      </w:pPr>
      <w:rPr>
        <w:rFonts w:hint="default"/>
      </w:rPr>
    </w:lvl>
    <w:lvl w:ilvl="1">
      <w:start w:val="1"/>
      <w:numFmt w:val="lowerLetter"/>
      <w:lvlText w:val="%2."/>
      <w:lvlJc w:val="left"/>
      <w:pPr>
        <w:tabs>
          <w:tab w:pos="227" w:val="num"/>
        </w:tabs>
        <w:ind w:hanging="227" w:left="454"/>
      </w:pPr>
      <w:rPr>
        <w:rFonts w:hint="default"/>
      </w:rPr>
    </w:lvl>
    <w:lvl w:ilvl="2">
      <w:start w:val="1"/>
      <w:numFmt w:val="decimal"/>
      <w:lvlText w:val="(%3)"/>
      <w:lvlJc w:val="left"/>
      <w:pPr>
        <w:tabs>
          <w:tab w:pos="454" w:val="num"/>
        </w:tabs>
        <w:ind w:hanging="340" w:left="794"/>
      </w:pPr>
      <w:rPr>
        <w:rFonts w:hint="default"/>
      </w:rPr>
    </w:lvl>
    <w:lvl w:ilvl="3">
      <w:start w:val="1"/>
      <w:numFmt w:val="lowerRoman"/>
      <w:lvlText w:val="%4."/>
      <w:lvlJc w:val="left"/>
      <w:pPr>
        <w:tabs>
          <w:tab w:pos="794" w:val="num"/>
        </w:tabs>
        <w:ind w:hanging="283" w:left="1077"/>
      </w:pPr>
      <w:rPr>
        <w:rFonts w:hint="default"/>
      </w:rPr>
    </w:lvl>
    <w:lvl w:ilvl="4">
      <w:start w:val="1"/>
      <w:numFmt w:val="lowerLetter"/>
      <w:lvlText w:val="(%5)"/>
      <w:lvlJc w:val="left"/>
      <w:pPr>
        <w:tabs>
          <w:tab w:pos="1077" w:val="num"/>
        </w:tabs>
        <w:ind w:hanging="283" w:left="1360"/>
      </w:pPr>
      <w:rPr>
        <w:rFonts w:hint="default"/>
      </w:rPr>
    </w:lvl>
    <w:lvl w:ilvl="5">
      <w:start w:val="1"/>
      <w:numFmt w:val="upperLetter"/>
      <w:lvlText w:val="%6."/>
      <w:lvlJc w:val="left"/>
      <w:pPr>
        <w:tabs>
          <w:tab w:pos="1360" w:val="num"/>
        </w:tabs>
        <w:ind w:hanging="340" w:left="170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nsid w:val="7D9521C8"/>
    <w:multiLevelType w:val="multilevel"/>
    <w:tmpl w:val="F35CB8F2"/>
    <w:styleLink w:val="referencelist"/>
    <w:lvl w:ilvl="0">
      <w:start w:val="1"/>
      <w:numFmt w:val="decimal"/>
      <w:pStyle w:val="referenceitem"/>
      <w:lvlText w:val="%1."/>
      <w:lvlJc w:val="right"/>
      <w:pPr>
        <w:tabs>
          <w:tab w:pos="341" w:val="num"/>
        </w:tabs>
        <w:ind w:hanging="114" w:left="341"/>
      </w:pPr>
      <w:rPr>
        <w:rFonts w:hint="default"/>
      </w:rPr>
    </w:lvl>
    <w:lvl w:ilvl="1">
      <w:start w:val="1"/>
      <w:numFmt w:val="lowerLetter"/>
      <w:lvlText w:val="%2."/>
      <w:lvlJc w:val="left"/>
      <w:pPr>
        <w:tabs>
          <w:tab w:pos="1896" w:val="num"/>
        </w:tabs>
        <w:ind w:hanging="360" w:left="1896"/>
      </w:pPr>
      <w:rPr>
        <w:rFonts w:hint="default"/>
      </w:rPr>
    </w:lvl>
    <w:lvl w:ilvl="2">
      <w:start w:val="1"/>
      <w:numFmt w:val="lowerRoman"/>
      <w:lvlText w:val="%3."/>
      <w:lvlJc w:val="right"/>
      <w:pPr>
        <w:tabs>
          <w:tab w:pos="2616" w:val="num"/>
        </w:tabs>
        <w:ind w:hanging="180" w:left="2616"/>
      </w:pPr>
      <w:rPr>
        <w:rFonts w:hint="default"/>
      </w:rPr>
    </w:lvl>
    <w:lvl w:ilvl="3">
      <w:start w:val="1"/>
      <w:numFmt w:val="decimal"/>
      <w:lvlText w:val="%4."/>
      <w:lvlJc w:val="left"/>
      <w:pPr>
        <w:tabs>
          <w:tab w:pos="3336" w:val="num"/>
        </w:tabs>
        <w:ind w:hanging="360" w:left="3336"/>
      </w:pPr>
      <w:rPr>
        <w:rFonts w:hint="default"/>
      </w:rPr>
    </w:lvl>
    <w:lvl w:ilvl="4">
      <w:start w:val="1"/>
      <w:numFmt w:val="lowerLetter"/>
      <w:lvlText w:val="%5."/>
      <w:lvlJc w:val="left"/>
      <w:pPr>
        <w:tabs>
          <w:tab w:pos="4056" w:val="num"/>
        </w:tabs>
        <w:ind w:hanging="360" w:left="4056"/>
      </w:pPr>
      <w:rPr>
        <w:rFonts w:hint="default"/>
      </w:rPr>
    </w:lvl>
    <w:lvl w:ilvl="5">
      <w:start w:val="1"/>
      <w:numFmt w:val="lowerRoman"/>
      <w:lvlText w:val="%6."/>
      <w:lvlJc w:val="right"/>
      <w:pPr>
        <w:tabs>
          <w:tab w:pos="4776" w:val="num"/>
        </w:tabs>
        <w:ind w:hanging="180" w:left="4776"/>
      </w:pPr>
      <w:rPr>
        <w:rFonts w:hint="default"/>
      </w:rPr>
    </w:lvl>
    <w:lvl w:ilvl="6">
      <w:start w:val="1"/>
      <w:numFmt w:val="decimal"/>
      <w:lvlText w:val="%7."/>
      <w:lvlJc w:val="left"/>
      <w:pPr>
        <w:tabs>
          <w:tab w:pos="5496" w:val="num"/>
        </w:tabs>
        <w:ind w:hanging="360" w:left="5496"/>
      </w:pPr>
      <w:rPr>
        <w:rFonts w:hint="default"/>
      </w:rPr>
    </w:lvl>
    <w:lvl w:ilvl="7">
      <w:start w:val="1"/>
      <w:numFmt w:val="lowerLetter"/>
      <w:lvlText w:val="%8."/>
      <w:lvlJc w:val="left"/>
      <w:pPr>
        <w:tabs>
          <w:tab w:pos="6216" w:val="num"/>
        </w:tabs>
        <w:ind w:hanging="360" w:left="6216"/>
      </w:pPr>
      <w:rPr>
        <w:rFonts w:hint="default"/>
      </w:rPr>
    </w:lvl>
    <w:lvl w:ilvl="8">
      <w:start w:val="1"/>
      <w:numFmt w:val="lowerRoman"/>
      <w:lvlText w:val="%9."/>
      <w:lvlJc w:val="right"/>
      <w:pPr>
        <w:tabs>
          <w:tab w:pos="6936" w:val="num"/>
        </w:tabs>
        <w:ind w:hanging="180" w:left="6936"/>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1" w:alternateStyleNames="0" w:clearFormatting="0" w:customStyles="0" w:directFormattingOnNumbering="0" w:directFormattingOnParagraphs="0" w:directFormattingOnRuns="0" w:directFormattingOnTables="0" w:headingStyles="0" w:latentStyles="0" w:numberingStyles="0" w:stylesInUse="0" w:tableStyles="0" w:top3HeadingStyles="0" w:val="0001" w:visibleStyles="0"/>
  <w:doNotTrackMoves/>
  <w:defaultTabStop w:val="227"/>
  <w:autoHyphenation/>
  <w:hyphenationZone w:val="400"/>
  <w:doNotHyphenateCaps/>
  <w:evenAndOddHeaders/>
  <w:drawingGridHorizontalSpacing w:val="360"/>
  <w:drawingGridVerticalSpacing w:val="360"/>
  <w:displayHorizontalDrawingGridEvery w:val="0"/>
  <w:displayVerticalDrawingGridEvery w:val="0"/>
  <w:noPunctuationKerning/>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7FCE"/>
    <w:rsid w:val="009930E4"/>
    <w:rsid w:val="009B2539"/>
    <w:rsid w:val="009F7FCE"/>
    <w:rsid w:val="00B23481"/>
    <w:rsid w:val="00F321B4"/>
  </w:rsids>
  <w:themeFontLang w:val="de-DE"/>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cs="Times New Roman" w:eastAsiaTheme="Times New Roman" w:hAnsiTheme="Times New Roman"/>
        <w:sz w:val="20"/>
        <w:szCs w:val="20"/>
        <w:lang w:bidi="ar-SA" w:eastAsia="en-US" w:val="en-US"/>
      </w:rPr>
    </w:rPrDefault>
    <w:pPrDefault>
      <w:pPr>
        <w:spacing w:after="0" w:line="240" w:lineRule="atLeast"/>
      </w:pPr>
    </w:pPrDefault>
  </w:docDefaults>
  <w:latentStyles w:count="267" w:defLockedState="0" w:defQFormat="0" w:defSemiHidden="1" w:defUIPriority="0" w:defUnhideWhenUsed="0">
    <w:lsdException w:name="Normal" w:qFormat="1" w:semiHidden="0"/>
  </w:latentStyles>
  <w:style w:default="1" w:styleId="Normal" w:type="paragraph">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bidi="ar-SA" w:eastAsia="en-US" w:val="en-US"/>
    </w:rPr>
  </w:style>
  <w:style w:default="1" w:styleId="Default Paragraph Font" w:type="character">
    <w:name w:val="Default Paragraph Font"/>
    <w:uiPriority w:val="1"/>
    <w:semiHidden/>
    <w:unhideWhenUsed/>
  </w:style>
  <w:style w:default="1" w:styleId="Normal Table" w:type="table">
    <w:name w:val="Normal Table"/>
    <w:uiPriority w:val="99"/>
    <w:semiHidden/>
    <w:unhideWhenUsed/>
    <w:tblPr>
      <w:tblInd w:type="dxa" w:w="0"/>
      <w:tblCellMar>
        <w:top w:type="dxa" w:w="57"/>
        <w:left w:type="dxa" w:w="57"/>
        <w:bottom w:type="dxa" w:w="57"/>
        <w:right w:type="dxa" w:w="57"/>
      </w:tblCellMar>
    </w:tblPr>
  </w:style>
  <w:style w:default="1" w:styleId="No List" w:type="numbering">
    <w:name w:val="No List"/>
    <w:uiPriority w:val="99"/>
    <w:semiHidden/>
    <w:unhideWhenUsed/>
  </w:style>
  <w:style w:customStyle="1" w:styleId="abstract" w:type="paragraph">
    <w:name w:val="abstract"/>
    <w:basedOn w:val="Normal"/>
    <w:pPr>
      <w:spacing w:after="360" w:before="600" w:line="220" w:lineRule="atLeast"/>
      <w:ind w:left="567" w:right="567"/>
      <w:contextualSpacing/>
    </w:pPr>
    <w:rPr>
      <w:sz w:val="18"/>
    </w:rPr>
  </w:style>
  <w:style w:customStyle="1" w:styleId="address" w:type="paragraph">
    <w:name w:val="address"/>
    <w:basedOn w:val="Normal"/>
    <w:pPr>
      <w:spacing w:after="200" w:line="220" w:lineRule="atLeast"/>
      <w:ind w:firstLine="0"/>
      <w:contextualSpacing/>
      <w:jc w:val="center"/>
    </w:pPr>
    <w:rPr>
      <w:sz w:val="18"/>
    </w:rPr>
  </w:style>
  <w:style w:customStyle="1" w:styleId="arabnumitem" w:type="numbering">
    <w:name w:val="arabnumitem"/>
    <w:basedOn w:val="No List"/>
    <w:pPr>
      <w:numPr>
        <w:numId w:val="5"/>
      </w:numPr>
    </w:pPr>
  </w:style>
  <w:style w:customStyle="1" w:styleId="author" w:type="paragraph">
    <w:name w:val="author"/>
    <w:basedOn w:val="Normal"/>
    <w:next w:val="address"/>
    <w:pPr>
      <w:spacing w:after="200" w:line="220" w:lineRule="atLeast"/>
      <w:ind w:firstLine="0"/>
      <w:jc w:val="center"/>
    </w:pPr>
  </w:style>
  <w:style w:customStyle="1" w:styleId="bulletitem" w:type="paragraph">
    <w:name w:val="bulletitem"/>
    <w:basedOn w:val="Normal"/>
    <w:pPr>
      <w:numPr>
        <w:numId w:val="2"/>
      </w:numPr>
      <w:spacing w:after="160" w:before="160"/>
      <w:contextualSpacing/>
    </w:pPr>
  </w:style>
  <w:style w:customStyle="1" w:styleId="dashitem" w:type="paragraph">
    <w:name w:val="dashitem"/>
    <w:basedOn w:val="Normal"/>
    <w:pPr>
      <w:numPr>
        <w:numId w:val="4"/>
      </w:numPr>
      <w:spacing w:after="160" w:before="160"/>
      <w:contextualSpacing/>
    </w:pPr>
  </w:style>
  <w:style w:customStyle="1" w:styleId="e-mail" w:type="character">
    <w:name w:val="e-mail"/>
    <w:basedOn w:val="Default Paragraph Font"/>
    <w:rPr>
      <w:rFonts w:ascii="Courier" w:hAnsi="Courier"/>
      <w:noProof/>
    </w:rPr>
  </w:style>
  <w:style w:customStyle="1" w:styleId="equation" w:type="paragraph">
    <w:name w:val="equation"/>
    <w:basedOn w:val="Normal"/>
    <w:next w:val="Normal"/>
    <w:pPr>
      <w:tabs>
        <w:tab w:pos="3289" w:val="center"/>
        <w:tab w:pos="6917" w:val="right"/>
      </w:tabs>
      <w:spacing w:after="160" w:before="160"/>
      <w:ind w:firstLine="0"/>
    </w:pPr>
  </w:style>
  <w:style w:customStyle="1" w:styleId="figurecaption" w:type="paragraph">
    <w:name w:val="figurecaption"/>
    <w:basedOn w:val="Normal"/>
    <w:next w:val="Normal"/>
    <w:pPr>
      <w:keepLines/>
      <w:spacing w:after="240" w:before="120" w:line="220" w:lineRule="atLeast"/>
      <w:ind w:firstLine="0"/>
      <w:jc w:val="center"/>
    </w:pPr>
    <w:rPr>
      <w:sz w:val="18"/>
    </w:rPr>
  </w:style>
  <w:style w:styleId="footnote reference" w:type="character">
    <w:name w:val="footnote reference"/>
    <w:basedOn w:val="Default Paragraph Font"/>
    <w:semiHidden/>
    <w:unhideWhenUsed/>
    <w:rPr>
      <w:position w:val="0"/>
      <w:vertAlign w:val="superscript"/>
    </w:rPr>
  </w:style>
  <w:style w:styleId="footer" w:type="paragraph">
    <w:name w:val="footer"/>
    <w:basedOn w:val="Normal"/>
    <w:semiHidden/>
    <w:unhideWhenUsed/>
    <w:rPr>
      <w:rFonts w:ascii="Times New Roman" w:eastAsia="Times New Roman" w:hAnsi="Times New Roman"/>
      <w:sz w:val="20"/>
      <w:szCs w:val="20"/>
    </w:rPr>
  </w:style>
  <w:style w:customStyle="1" w:styleId="heading1" w:type="paragraph">
    <w:name w:val="heading1"/>
    <w:basedOn w:val="Normal"/>
    <w:next w:val="p1a"/>
    <w:qFormat/>
    <w:pPr>
      <w:keepNext/>
      <w:keepLines/>
      <w:suppressAutoHyphens/>
      <w:spacing w:after="240" w:before="360" w:line="300" w:lineRule="atLeast"/>
      <w:ind w:hanging="567" w:left="567"/>
      <w:jc w:val="left"/>
      <w:outlineLvl w:val="0"/>
      <w:numPr>
        <w:numId w:val="7"/>
      </w:numPr>
    </w:pPr>
    <w:rPr>
      <w:b/>
      <w:sz w:val="24"/>
    </w:rPr>
  </w:style>
  <w:style w:styleId="heading 1" w:type="paragraph">
    <w:name w:val="heading 1"/>
    <w:basedOn w:val="Normal"/>
    <w:next w:val="p1a"/>
    <w:semiHidden/>
    <w:unhideWhenUsed/>
    <w:qFormat/>
    <w:pPr>
      <w:keepNext/>
      <w:keepLines/>
      <w:suppressAutoHyphens/>
      <w:spacing w:after="240" w:before="360" w:line="300" w:lineRule="atLeast"/>
      <w:ind w:hanging="567" w:left="567"/>
      <w:jc w:val="left"/>
      <w:outlineLvl w:val="0"/>
    </w:pPr>
    <w:rPr>
      <w:b/>
      <w:sz w:val="24"/>
    </w:rPr>
  </w:style>
  <w:style w:customStyle="1" w:styleId="heading2" w:type="paragraph">
    <w:name w:val="heading2"/>
    <w:basedOn w:val="Normal"/>
    <w:next w:val="p1a"/>
    <w:qFormat/>
    <w:pPr>
      <w:keepNext/>
      <w:keepLines/>
      <w:suppressAutoHyphens/>
      <w:spacing w:after="160" w:before="360"/>
      <w:ind w:hanging="567" w:left="567"/>
      <w:jc w:val="left"/>
      <w:outlineLvl w:val="1"/>
      <w:numPr>
        <w:ilvl w:val="1"/>
        <w:numId w:val="7"/>
      </w:numPr>
    </w:pPr>
    <w:rPr>
      <w:b/>
    </w:rPr>
  </w:style>
  <w:style w:styleId="heading 2" w:type="paragraph">
    <w:name w:val="heading 2"/>
    <w:basedOn w:val="Normal"/>
    <w:next w:val="p1a"/>
    <w:qFormat/>
    <w:semiHidden/>
    <w:unhideWhenUsed/>
    <w:pPr>
      <w:keepNext/>
      <w:keepLines/>
      <w:suppressAutoHyphens/>
      <w:spacing w:after="160" w:before="360"/>
      <w:ind w:hanging="567" w:left="567"/>
      <w:jc w:val="left"/>
      <w:outlineLvl w:val="1"/>
    </w:pPr>
    <w:rPr>
      <w:b/>
    </w:rPr>
  </w:style>
  <w:style w:styleId="heading 3" w:type="paragraph">
    <w:name w:val="heading 3"/>
    <w:basedOn w:val="Normal"/>
    <w:next w:val="Normal"/>
    <w:qFormat/>
    <w:pPr>
      <w:spacing w:before="360"/>
      <w:ind w:firstLine="0"/>
      <w:outlineLvl w:val="2"/>
      <w:b/>
    </w:pPr>
  </w:style>
  <w:style w:customStyle="1" w:styleId="heading3" w:type="character">
    <w:name w:val="heading3"/>
    <w:basedOn w:val="Default Paragraph Font"/>
    <w:rPr>
      <w:b/>
    </w:rPr>
  </w:style>
  <w:style w:styleId="heading 4" w:type="paragraph">
    <w:name w:val="heading 4"/>
    <w:basedOn w:val="Normal"/>
    <w:next w:val="Normal"/>
    <w:qFormat/>
    <w:pPr>
      <w:spacing w:before="240"/>
      <w:ind w:firstLine="0"/>
      <w:outlineLvl w:val="3"/>
      <w:i/>
    </w:pPr>
  </w:style>
  <w:style w:customStyle="1" w:styleId="heading4" w:type="character">
    <w:name w:val="heading4"/>
    <w:basedOn w:val="Default Paragraph Font"/>
    <w:rPr>
      <w:i/>
    </w:rPr>
  </w:style>
  <w:style w:customStyle="1" w:styleId="headings" w:type="numbering">
    <w:name w:val="headings"/>
    <w:basedOn w:val="arabnumitem"/>
    <w:pPr>
      <w:numPr>
        <w:numId w:val="7"/>
      </w:numPr>
    </w:pPr>
  </w:style>
  <w:style w:styleId="Hyperlink" w:type="character">
    <w:name w:val="Hyperlink"/>
    <w:basedOn w:val="Default Paragraph Font"/>
    <w:semiHidden/>
    <w:unhideWhenUsed/>
    <w:rPr>
      <w:color w:val="auto"/>
      <w:u w:val="none"/>
    </w:rPr>
  </w:style>
  <w:style w:customStyle="1" w:styleId="image" w:type="paragraph">
    <w:name w:val="image"/>
    <w:basedOn w:val="Normal"/>
    <w:next w:val="Normal"/>
    <w:pPr>
      <w:spacing w:after="120" w:before="240"/>
      <w:ind w:firstLine="0"/>
      <w:jc w:val="center"/>
    </w:pPr>
  </w:style>
  <w:style w:customStyle="1" w:styleId="itemization1" w:type="numbering">
    <w:name w:val="itemization1"/>
    <w:basedOn w:val="No List"/>
    <w:pPr>
      <w:numPr>
        <w:numId w:val="1"/>
      </w:numPr>
    </w:pPr>
  </w:style>
  <w:style w:customStyle="1" w:styleId="itemization2" w:type="numbering">
    <w:name w:val="itemization2"/>
    <w:basedOn w:val="No List"/>
    <w:pPr>
      <w:numPr>
        <w:numId w:val="3"/>
      </w:numPr>
    </w:pPr>
  </w:style>
  <w:style w:customStyle="1" w:styleId="keywords" w:type="paragraph">
    <w:name w:val="keywords"/>
    <w:basedOn w:val="abstract"/>
    <w:next w:val="heading1"/>
    <w:pPr>
      <w:spacing w:before="220"/>
      <w:ind w:firstLine="0"/>
      <w:contextualSpacing w:val="0"/>
      <w:jc w:val="left"/>
    </w:pPr>
  </w:style>
  <w:style w:styleId="header" w:type="paragraph">
    <w:name w:val="header"/>
    <w:basedOn w:val="Normal"/>
    <w:semiHidden/>
    <w:unhideWhenUsed/>
    <w:pPr>
      <w:tabs>
        <w:tab w:pos="4536" w:val="center"/>
        <w:tab w:pos="9072" w:val="right"/>
      </w:tabs>
      <w:ind w:firstLine="0"/>
    </w:pPr>
    <w:rPr>
      <w:sz w:val="18"/>
      <w:szCs w:val="18"/>
    </w:rPr>
  </w:style>
  <w:style w:customStyle="1" w:styleId="numitem" w:type="paragraph">
    <w:name w:val="numitem"/>
    <w:basedOn w:val="Normal"/>
    <w:pPr>
      <w:numPr>
        <w:numId w:val="6"/>
      </w:numPr>
      <w:spacing w:after="160" w:before="160"/>
      <w:contextualSpacing/>
    </w:pPr>
  </w:style>
  <w:style w:customStyle="1" w:styleId="p1a" w:type="paragraph">
    <w:name w:val="p1a"/>
    <w:basedOn w:val="Normal"/>
    <w:next w:val="Normal"/>
    <w:pPr>
      <w:ind w:firstLine="0"/>
    </w:pPr>
  </w:style>
  <w:style w:customStyle="1" w:styleId="programcode" w:type="paragraph">
    <w:name w:val="programcode"/>
    <w:basedOn w:val="Normal"/>
    <w:pPr>
      <w:tabs>
        <w:tab w:pos="227" w:val="left"/>
        <w:tab w:pos="454" w:val="left"/>
        <w:tab w:pos="680" w:val="left"/>
        <w:tab w:pos="907" w:val="left"/>
        <w:tab w:pos="1134" w:val="left"/>
        <w:tab w:pos="1361" w:val="left"/>
        <w:tab w:pos="1588" w:val="left"/>
        <w:tab w:pos="1814" w:val="left"/>
        <w:tab w:pos="2041" w:val="left"/>
        <w:tab w:pos="2268" w:val="left"/>
        <w:tab w:pos="2495" w:val="left"/>
        <w:tab w:pos="2722" w:val="left"/>
        <w:tab w:pos="2948" w:val="left"/>
        <w:tab w:pos="3175" w:val="left"/>
        <w:tab w:pos="3402" w:val="left"/>
        <w:tab w:pos="3629" w:val="left"/>
        <w:tab w:pos="3856" w:val="left"/>
        <w:tab w:pos="4082" w:val="left"/>
        <w:tab w:pos="4309" w:val="left"/>
        <w:tab w:pos="4536" w:val="left"/>
        <w:tab w:pos="4763" w:val="left"/>
        <w:tab w:pos="4990" w:val="left"/>
        <w:tab w:pos="5216" w:val="left"/>
        <w:tab w:pos="5443" w:val="left"/>
        <w:tab w:pos="5670" w:val="left"/>
        <w:tab w:pos="5897" w:val="left"/>
        <w:tab w:pos="6124" w:val="left"/>
        <w:tab w:pos="6350" w:val="left"/>
        <w:tab w:pos="6577" w:val="left"/>
      </w:tabs>
      <w:spacing w:after="160" w:before="160"/>
      <w:ind w:firstLine="0"/>
      <w:contextualSpacing/>
      <w:jc w:val="left"/>
    </w:pPr>
    <w:rPr>
      <w:rFonts w:ascii="Courier" w:hAnsi="Courier"/>
    </w:rPr>
  </w:style>
  <w:style w:customStyle="1" w:styleId="referenceitem" w:type="paragraph">
    <w:name w:val="referenceitem"/>
    <w:basedOn w:val="Normal"/>
    <w:pPr>
      <w:numPr>
        <w:numId w:val="9"/>
      </w:numPr>
      <w:spacing w:line="220" w:lineRule="atLeast"/>
    </w:pPr>
    <w:rPr>
      <w:sz w:val="18"/>
    </w:rPr>
  </w:style>
  <w:style w:customStyle="1" w:styleId="referencelist" w:type="numbering">
    <w:name w:val="referencelist"/>
    <w:basedOn w:val="No List"/>
    <w:semiHidden/>
    <w:pPr>
      <w:numPr>
        <w:numId w:val="8"/>
      </w:numPr>
    </w:pPr>
  </w:style>
  <w:style w:customStyle="1" w:styleId="runninghead-left" w:type="paragraph">
    <w:name w:val="running head - left"/>
    <w:basedOn w:val="Normal"/>
    <w:pPr>
      <w:ind w:firstLine="0"/>
      <w:jc w:val="left"/>
    </w:pPr>
    <w:rPr>
      <w:sz w:val="18"/>
      <w:szCs w:val="18"/>
    </w:rPr>
  </w:style>
  <w:style w:customStyle="1" w:styleId="runninghead-right" w:type="paragraph">
    <w:name w:val="running head - right"/>
    <w:basedOn w:val="Normal"/>
    <w:pPr>
      <w:ind w:firstLine="0"/>
      <w:jc w:val="right"/>
    </w:pPr>
    <w:rPr>
      <w:bCs/>
      <w:sz w:val="18"/>
      <w:szCs w:val="18"/>
    </w:rPr>
  </w:style>
  <w:style w:styleId="page number" w:type="character">
    <w:name w:val="page number"/>
    <w:basedOn w:val="Default Paragraph Font"/>
    <w:semiHidden/>
    <w:unhideWhenUsed/>
    <w:rPr>
      <w:sz w:val="18"/>
    </w:rPr>
  </w:style>
  <w:style w:customStyle="1" w:styleId="papertitle" w:type="paragraph">
    <w:name w:val="papertitle"/>
    <w:basedOn w:val="Normal"/>
    <w:next w:val="author"/>
    <w:pPr>
      <w:keepNext/>
      <w:keepLines/>
      <w:suppressAutoHyphens/>
      <w:spacing w:after="480" w:line="360" w:lineRule="atLeast"/>
      <w:ind w:firstLine="0"/>
      <w:jc w:val="center"/>
    </w:pPr>
    <w:rPr>
      <w:b/>
      <w:sz w:val="28"/>
    </w:rPr>
  </w:style>
  <w:style w:customStyle="1" w:styleId="papersubtitle" w:type="paragraph">
    <w:name w:val="papersubtitle"/>
    <w:basedOn w:val="papertitle"/>
    <w:next w:val="author"/>
    <w:pPr>
      <w:spacing w:before="120" w:line="280" w:lineRule="atLeast"/>
    </w:pPr>
    <w:rPr>
      <w:sz w:val="24"/>
    </w:rPr>
  </w:style>
  <w:style w:customStyle="1" w:styleId="tablecaption" w:type="paragraph">
    <w:name w:val="tablecaption"/>
    <w:basedOn w:val="Normal"/>
    <w:next w:val="Normal"/>
    <w:pPr>
      <w:keepNext/>
      <w:keepLines/>
      <w:spacing w:after="120" w:before="240" w:line="220" w:lineRule="atLeast"/>
      <w:ind w:firstLine="0"/>
      <w:jc w:val="center"/>
    </w:pPr>
    <w:rPr>
      <w:sz w:val="18"/>
    </w:rPr>
  </w:style>
  <w:style w:customStyle="1" w:styleId="url" w:type="character">
    <w:name w:val="url"/>
    <w:basedOn w:val="Default Paragraph Font"/>
    <w:rPr>
      <w:rFonts w:ascii="Courier" w:hAnsi="Courier"/>
      <w:noProof/>
    </w:rPr>
  </w:style>
  <w:style w:customStyle="1" w:styleId="ORCID" w:type="character">
    <w:name w:val="ORCID"/>
    <w:basedOn w:val="Default Paragraph Font"/>
    <w:rPr>
      <w:position w:val="0"/>
      <w:vertAlign w:val="superscript"/>
    </w:rPr>
  </w:style>
  <w:style w:styleId="footnote text" w:type="paragraph">
    <w:name w:val="footnote text"/>
    <w:basedOn w:val="Normal"/>
    <w:semiHidden/>
    <w:pPr>
      <w:spacing w:line="220" w:lineRule="atLeast"/>
      <w:ind w:hanging="227" w:left="227"/>
    </w:pPr>
    <w:rPr>
      <w:sz w:val="18"/>
    </w:rPr>
  </w:style>
  <w:style w:customStyle="1" w:styleId="ReferenceLine" w:type="paragraph">
    <w:name w:val="ReferenceLine"/>
    <w:basedOn w:val="p1a"/>
    <w:semiHidden/>
    <w:unhideWhenUsed/>
    <w:pPr>
      <w:spacing w:line="200" w:lineRule="exact"/>
    </w:pPr>
    <w:rPr>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13" Target="header1.xml" Type="http://schemas.openxmlformats.org/officeDocument/2006/relationships/header" /><Relationship Type="http://schemas.openxmlformats.org/officeDocument/2006/relationships/image" Id="rId27" Target="media/rId27.png" /><Relationship Type="http://schemas.openxmlformats.org/officeDocument/2006/relationships/image" Id="rId35" Target="media/rId35.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85D69E2B.dotm</Template>
  <TotalTime>0</TotalTime>
  <Pages>2</Pages>
  <Words>392</Words>
  <Characters>2403</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2026-07-17T08:39:44Z</dcterms:created>
  <dcterms:modified xsi:type="dcterms:W3CDTF">2026-07-17T08:39:44Z</dcterms:modified>
</cp:coreProperties>
</file>

<file path=docProps/custom.xml><?xml version="1.0" encoding="utf-8"?>
<Properties xmlns="http://schemas.openxmlformats.org/officeDocument/2006/custom-properties" xmlns:vt="http://schemas.openxmlformats.org/officeDocument/2006/docPropsVTypes"/>
</file>