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56DB"/>
          <w:sz w:val="32"/>
        </w:rPr>
        <w:t>CAHIER DES CLAUSES ADMINISTRATIVES PARTICULIÈRES (CCAP)</w:t>
      </w:r>
    </w:p>
    <w:p>
      <w:r>
        <w:t>Généré automatiquement pour N2IGC le 09/07/2026 - Structure Validée</w:t>
        <w:br/>
      </w:r>
    </w:p>
    <w:p>
      <w:r>
        <w:rPr>
          <w:sz w:val="22"/>
        </w:rPr>
        <w:t>En tant que juriste d'entreprise expert en rédaction de clauses administratives de marchés, voici la proposition de Cahier des Clauses Administratives Particulières (CCAP) pour le marché de fourniture, d'installation, de maintenance et de supervision d'infrastructures de recharge de véhicules électriques (IRVE) de France Travail.</w:t>
      </w:r>
    </w:p>
    <w:p/>
    <w:p>
      <w:r>
        <w:rPr>
          <w:sz w:val="22"/>
        </w:rPr>
        <w:t>---</w:t>
      </w:r>
    </w:p>
    <w:p/>
    <w:p>
      <w:r>
        <w:rPr>
          <w:sz w:val="22"/>
        </w:rPr>
        <w:t>CAHIER DES CLAUSES ADMINISTRATIVES PARTICULIÈRES (CCAP)</w:t>
      </w:r>
    </w:p>
    <w:p/>
    <w:p>
      <w:r>
        <w:rPr>
          <w:sz w:val="22"/>
        </w:rPr>
        <w:t>MARCHÉ DE FOURNITURE, D'INSTALLATION, DE MAINTENANCE ET DE SUPERVISION D'INFRASTRUCTURES DE RECHARGE DE VÉHICULE ÉLECTRIQUE</w:t>
      </w:r>
    </w:p>
    <w:p/>
    <w:p>
      <w:r>
        <w:rPr>
          <w:sz w:val="22"/>
        </w:rPr>
        <w:t>N° DE CONSULTATION : 010.26</w:t>
      </w:r>
    </w:p>
    <w:p/>
    <w:p>
      <w:r>
        <w:rPr>
          <w:sz w:val="22"/>
        </w:rPr>
        <w:t>ENTRE LES SOUSSIGNÉS :</w:t>
      </w:r>
    </w:p>
    <w:p/>
    <w:p>
      <w:r>
        <w:rPr>
          <w:sz w:val="22"/>
        </w:rPr>
        <w:t>FRANCE TRAVAIL, établissement public administratif, dont le siège est situé [À PRÉCISER : Adresse du siège de France Travail], représenté par [À PRÉCISER : Nom et fonction du représentant habilité], agissant en qualité de pouvoir adjudicateur,</w:t>
      </w:r>
    </w:p>
    <w:p>
      <w:r>
        <w:rPr>
          <w:sz w:val="22"/>
        </w:rPr>
        <w:t>Ci-après désigné « l’Acheteur »,</w:t>
      </w:r>
    </w:p>
    <w:p/>
    <w:p>
      <w:r>
        <w:rPr>
          <w:sz w:val="22"/>
        </w:rPr>
        <w:t>ET</w:t>
      </w:r>
    </w:p>
    <w:p/>
    <w:p>
      <w:r>
        <w:rPr>
          <w:sz w:val="22"/>
        </w:rPr>
        <w:t>[À PRÉCISER : Dénomination sociale du Titulaire], [À PRÉCISER : Forme juridique], au capital de [À PRÉCISER : Montant du capital social], immatriculée au RCS de [À PRÉCISER : Ville] sous le numéro [À PRÉCISER : Numéro RCS], dont le siège social est situé [À PRÉCISER : Adresse du siège social], représentée par [À PRÉCISER : Nom et fonction du représentant habilité],</w:t>
      </w:r>
    </w:p>
    <w:p>
      <w:r>
        <w:rPr>
          <w:sz w:val="22"/>
        </w:rPr>
        <w:t>Ci-après désigné « le Titulaire ».</w:t>
      </w:r>
    </w:p>
    <w:p/>
    <w:p>
      <w:r>
        <w:rPr>
          <w:sz w:val="22"/>
        </w:rPr>
        <w:t>IL A ÉTÉ CONVENU ET ARRÊTÉ CE QUI SUIT :</w:t>
      </w:r>
    </w:p>
    <w:p/>
    <w:p>
      <w:r>
        <w:rPr>
          <w:sz w:val="22"/>
        </w:rPr>
        <w:t>---</w:t>
      </w:r>
    </w:p>
    <w:p/>
    <w:p>
      <w:pPr>
        <w:pStyle w:val="Heading2"/>
      </w:pPr>
      <w:r>
        <w:rPr>
          <w:b/>
          <w:color w:val="6B0F4C"/>
          <w:sz w:val="26"/>
        </w:rPr>
        <w:t>1. OBJET DU MARCHÉ</w:t>
      </w:r>
    </w:p>
    <w:p/>
    <w:p>
      <w:r>
        <w:rPr>
          <w:sz w:val="22"/>
        </w:rPr>
        <w:t>Le présent marché a pour objet la fourniture, l'installation, la maintenance et la supervision d'infrastructures de recharge de véhicules électriques (IRVE) pour les sites de France Travail situés en France métropolitaine et en Corse.</w:t>
      </w:r>
    </w:p>
    <w:p/>
    <w:p>
      <w:r>
        <w:rPr>
          <w:sz w:val="22"/>
        </w:rPr>
        <w:t>Les prestations attendues comprennent notamment :</w:t>
      </w:r>
    </w:p>
    <w:p>
      <w:pPr>
        <w:pStyle w:val="ListBullet"/>
      </w:pPr>
      <w:r>
        <w:rPr>
          <w:sz w:val="22"/>
        </w:rPr>
        <w:t>La fourniture d'IRVE (bornes de type 7 kVA ou 22 kVA, simple ou double point de recharge) ;</w:t>
      </w:r>
    </w:p>
    <w:p>
      <w:pPr>
        <w:pStyle w:val="ListBullet"/>
      </w:pPr>
      <w:r>
        <w:rPr>
          <w:sz w:val="22"/>
        </w:rPr>
        <w:t>L'installation et la mise en service des IRVE, incluant les travaux de génie civil, le raccordement électrique et la signalétique ;</w:t>
      </w:r>
    </w:p>
    <w:p>
      <w:pPr>
        <w:pStyle w:val="ListBullet"/>
      </w:pPr>
      <w:r>
        <w:rPr>
          <w:sz w:val="22"/>
        </w:rPr>
        <w:t>La maintenance préventive (annuelle sur site et mensuelle à distance) et corrective des IRVE ;</w:t>
      </w:r>
    </w:p>
    <w:p>
      <w:pPr>
        <w:pStyle w:val="ListBullet"/>
      </w:pPr>
      <w:r>
        <w:rPr>
          <w:sz w:val="22"/>
        </w:rPr>
        <w:t>La supervision des IRVE via un système compatible OCPP 1.6 (ou version plus récente), incluant l'identification, le paramétrage, la communication Machine to Machine (M2M) et les services pour les gestionnaires régionaux et les utilisateurs/usagers ;</w:t>
      </w:r>
    </w:p>
    <w:p>
      <w:pPr>
        <w:pStyle w:val="ListBullet"/>
      </w:pPr>
      <w:r>
        <w:rPr>
          <w:sz w:val="22"/>
        </w:rPr>
        <w:t>La reprise de la gestion, de la maintenance et de la supervision du parc IRVE existant ;</w:t>
      </w:r>
    </w:p>
    <w:p>
      <w:pPr>
        <w:pStyle w:val="ListBullet"/>
      </w:pPr>
      <w:r>
        <w:rPr>
          <w:sz w:val="22"/>
        </w:rPr>
        <w:t>La mise en œuvre de la charge payante pour la recharge des véhicules personnels des agents de France Travail sur les bornes installées par France Travail, incluant la gestion des paiements et le reversement des sommes à l'Acheteur ;</w:t>
      </w:r>
    </w:p>
    <w:p>
      <w:pPr>
        <w:pStyle w:val="ListBullet"/>
      </w:pPr>
      <w:r>
        <w:rPr>
          <w:sz w:val="22"/>
        </w:rPr>
        <w:t>La gestion et la fourniture des cartes d'identification RFID pour les véhicules de service et les véhicules personnels des agents.</w:t>
      </w:r>
    </w:p>
    <w:p/>
    <w:p>
      <w:r>
        <w:rPr>
          <w:sz w:val="22"/>
        </w:rPr>
        <w:t>Ces prestations sont détaillées dans le Cahier des Clauses Fonctionnelles et Techniques (CCFT) et l'offre technique du Titulaire.</w:t>
      </w:r>
    </w:p>
    <w:p/>
    <w:p>
      <w:pPr>
        <w:pStyle w:val="Heading2"/>
      </w:pPr>
      <w:r>
        <w:rPr>
          <w:b/>
          <w:color w:val="6B0F4C"/>
          <w:sz w:val="26"/>
        </w:rPr>
        <w:t>2. ALLOTISSEMENT</w:t>
      </w:r>
    </w:p>
    <w:p/>
    <w:p>
      <w:r>
        <w:rPr>
          <w:sz w:val="22"/>
        </w:rPr>
        <w:t>Le présent marché est un marché unique et n'est pas alloti. Le Titulaire est responsable de l'ensemble des prestations décrites à l'article 1 du présent CCAP.</w:t>
      </w:r>
    </w:p>
    <w:p/>
    <w:p>
      <w:pPr>
        <w:pStyle w:val="Heading2"/>
      </w:pPr>
      <w:r>
        <w:rPr>
          <w:b/>
          <w:color w:val="6B0F4C"/>
          <w:sz w:val="26"/>
        </w:rPr>
        <w:t>3. MODE DE PASSATION, TYPE DE MARCHÉ ET DURÉE DU MARCHÉ</w:t>
      </w:r>
    </w:p>
    <w:p/>
    <w:p>
      <w:r>
        <w:rPr>
          <w:sz w:val="22"/>
        </w:rPr>
        <w:t>3.1. Mode de passation</w:t>
      </w:r>
    </w:p>
    <w:p>
      <w:r>
        <w:rPr>
          <w:sz w:val="22"/>
        </w:rPr>
        <w:t>Le présent marché est passé selon la procédure d'Appel d'Offres Ouvert, en application des articles L. 2124-2 et R. 2124-2 du Code de la commande publique.</w:t>
      </w:r>
    </w:p>
    <w:p/>
    <w:p>
      <w:r>
        <w:rPr>
          <w:sz w:val="22"/>
        </w:rPr>
        <w:t>3.2. Type de marché</w:t>
      </w:r>
    </w:p>
    <w:p>
      <w:r>
        <w:rPr>
          <w:sz w:val="22"/>
        </w:rPr>
        <w:t>Le présent marché est un marché de fournitures et de services. Il est conclu à prix unitaires.</w:t>
      </w:r>
    </w:p>
    <w:p/>
    <w:p>
      <w:r>
        <w:rPr>
          <w:sz w:val="22"/>
        </w:rPr>
        <w:t>3.3. Durée du marché</w:t>
      </w:r>
    </w:p>
    <w:p>
      <w:r>
        <w:rPr>
          <w:sz w:val="22"/>
        </w:rPr>
        <w:t>Le marché est conclu pour une durée initiale de quatre (4) ans à compter de sa date de notification.</w:t>
      </w:r>
    </w:p>
    <w:p>
      <w:r>
        <w:rPr>
          <w:sz w:val="22"/>
        </w:rPr>
        <w:t>Il est reconductible tacitement pour trois (3) périodes d'un (1) an chacune, sans que la durée totale du marché ne puisse excéder sept (7) ans.</w:t>
      </w:r>
    </w:p>
    <w:p>
      <w:r>
        <w:rPr>
          <w:sz w:val="22"/>
        </w:rPr>
        <w:t>L'Acheteur se réserve le droit de ne pas reconduire le marché. Dans ce cas, il en informera le Titulaire par lettre recommandée avec accusé de réception au moins trois (3) mois avant la date d'échéance de la période en cours.</w:t>
      </w:r>
    </w:p>
    <w:p/>
    <w:p>
      <w:pPr>
        <w:pStyle w:val="Heading2"/>
      </w:pPr>
      <w:r>
        <w:rPr>
          <w:b/>
          <w:color w:val="6B0F4C"/>
          <w:sz w:val="26"/>
        </w:rPr>
        <w:t>4. PIÈCES CONTRACTUELLES</w:t>
      </w:r>
    </w:p>
    <w:p/>
    <w:p>
      <w:r>
        <w:rPr>
          <w:sz w:val="22"/>
        </w:rPr>
        <w:t>Les pièces constitutives du marché sont, par ordre de priorité décroissant :</w:t>
      </w:r>
    </w:p>
    <w:p>
      <w:r>
        <w:rPr>
          <w:sz w:val="22"/>
        </w:rPr>
        <w:t>1.  L'Acte d'Engagement et ses annexes ;</w:t>
      </w:r>
    </w:p>
    <w:p>
      <w:r>
        <w:rPr>
          <w:sz w:val="22"/>
        </w:rPr>
        <w:t>2.  Le présent Cahier des Clauses Administratives Particulières (CCAP) et ses annexes ;</w:t>
      </w:r>
    </w:p>
    <w:p>
      <w:r>
        <w:rPr>
          <w:sz w:val="22"/>
        </w:rPr>
        <w:t>3.  Le Cahier des Clauses Fonctionnelles et Techniques (CCFT) et ses annexes ;</w:t>
      </w:r>
    </w:p>
    <w:p>
      <w:r>
        <w:rPr>
          <w:sz w:val="22"/>
        </w:rPr>
        <w:t>4.  Le Bordereau des Prix Unitaires (BPU) ;</w:t>
      </w:r>
    </w:p>
    <w:p>
      <w:r>
        <w:rPr>
          <w:sz w:val="22"/>
        </w:rPr>
        <w:t>5.  Le Détail Quantitatif Estimatif (DQE) ;</w:t>
      </w:r>
    </w:p>
    <w:p>
      <w:r>
        <w:rPr>
          <w:sz w:val="22"/>
        </w:rPr>
        <w:t>6.  L'offre technique et financière du Titulaire ;</w:t>
      </w:r>
    </w:p>
    <w:p>
      <w:r>
        <w:rPr>
          <w:sz w:val="22"/>
        </w:rPr>
        <w:t>7.  Le Cahier des Clauses Administratives Générales applicables aux marchés publics de fournitures courantes et de services (CCAG-FCS) dans sa version en vigueur à la date de publication de la consultation, sauf dérogations expresses prévues au présent CCAP.</w:t>
      </w:r>
    </w:p>
    <w:p/>
    <w:p>
      <w:r>
        <w:rPr>
          <w:sz w:val="22"/>
        </w:rPr>
        <w:t>En cas de contradiction entre deux documents, le document de rang supérieur prévaut. En cas de contradiction au sein d'un même document, la clause la plus récente ou la plus spécifique prévaut.</w:t>
      </w:r>
    </w:p>
    <w:p/>
    <w:p>
      <w:pPr>
        <w:pStyle w:val="Heading2"/>
      </w:pPr>
      <w:r>
        <w:rPr>
          <w:b/>
          <w:color w:val="6B0F4C"/>
          <w:sz w:val="26"/>
        </w:rPr>
        <w:t>5. PRIX : CARACTÉRISTIQUES DES PRIX PRATIQUÉS</w:t>
      </w:r>
    </w:p>
    <w:p/>
    <w:p>
      <w:r>
        <w:rPr>
          <w:sz w:val="22"/>
        </w:rPr>
        <w:t>Les prix du marché sont des prix unitaires, établis au Bordereau des Prix Unitaires (BPU).</w:t>
      </w:r>
    </w:p>
    <w:p>
      <w:r>
        <w:rPr>
          <w:sz w:val="22"/>
        </w:rPr>
        <w:t>Chaque installation fera l'objet d'un devis basé sur les unités d'œuvre et les prix unitaires du BPU.</w:t>
      </w:r>
    </w:p>
    <w:p>
      <w:r>
        <w:rPr>
          <w:sz w:val="22"/>
        </w:rPr>
        <w:t>Pour les prestations de maintenance curative, le forfait déplacement comprend le déplacement ainsi que le temps passé pour le diagnostic du dysfonctionnement constaté ayant nécessité un déplacement sur site, estimé à une heure.</w:t>
      </w:r>
    </w:p>
    <w:p>
      <w:r>
        <w:rPr>
          <w:sz w:val="22"/>
        </w:rPr>
        <w:t>Les prix sont réputés comprendre toutes les charges, impôts, taxes, frais généraux, bénéfices, assurances, et toutes sujétions nécessaires à la bonne exécution des prestations, y compris les frais de déplacement, d'hébergement et de repas du personnel du Titulaire.</w:t>
      </w:r>
    </w:p>
    <w:p/>
    <w:p>
      <w:pPr>
        <w:pStyle w:val="Heading2"/>
      </w:pPr>
      <w:r>
        <w:rPr>
          <w:b/>
          <w:color w:val="6B0F4C"/>
          <w:sz w:val="26"/>
        </w:rPr>
        <w:t>6. PRIX : MODALITÉS DE VARIATION DES PRIX</w:t>
      </w:r>
    </w:p>
    <w:p/>
    <w:p>
      <w:r>
        <w:rPr>
          <w:sz w:val="22"/>
        </w:rPr>
        <w:t>[À PRÉCISER : Les modalités de variation des prix doivent être définies. Voici une proposition de clause de révision des prix, plus adaptée pour un marché de longue durée.]</w:t>
      </w:r>
    </w:p>
    <w:p/>
    <w:p>
      <w:r>
        <w:rPr>
          <w:sz w:val="22"/>
        </w:rPr>
        <w:t>Les prix du marché sont révisables. Ils seront révisés annuellement à la date anniversaire de la notification du marché.</w:t>
      </w:r>
    </w:p>
    <w:p>
      <w:r>
        <w:rPr>
          <w:sz w:val="22"/>
        </w:rPr>
        <w:t>La formule de révision des prix est la suivante :</w:t>
      </w:r>
    </w:p>
    <w:p/>
    <w:p>
      <w:r>
        <w:rPr>
          <w:sz w:val="22"/>
        </w:rPr>
        <w:t>P = Po [0,15 + 0,85 (Ic / Ico)]</w:t>
      </w:r>
    </w:p>
    <w:p/>
    <w:p>
      <w:r>
        <w:rPr>
          <w:sz w:val="22"/>
        </w:rPr>
        <w:t>Où :</w:t>
      </w:r>
    </w:p>
    <w:p>
      <w:pPr>
        <w:pStyle w:val="ListBullet"/>
      </w:pPr>
      <w:r>
        <w:rPr>
          <w:sz w:val="22"/>
        </w:rPr>
        <w:t>P est le prix révisé.</w:t>
      </w:r>
    </w:p>
    <w:p>
      <w:pPr>
        <w:pStyle w:val="ListBullet"/>
      </w:pPr>
      <w:r>
        <w:rPr>
          <w:sz w:val="22"/>
        </w:rPr>
        <w:t>Po est le prix initial figurant au BPU.</w:t>
      </w:r>
    </w:p>
    <w:p>
      <w:pPr>
        <w:pStyle w:val="ListBullet"/>
      </w:pPr>
      <w:r>
        <w:rPr>
          <w:sz w:val="22"/>
        </w:rPr>
        <w:t>Ic est la valeur du dernier indice SYNTEC connu à la date de révision.</w:t>
      </w:r>
    </w:p>
    <w:p>
      <w:pPr>
        <w:pStyle w:val="ListBullet"/>
      </w:pPr>
      <w:r>
        <w:rPr>
          <w:sz w:val="22"/>
        </w:rPr>
        <w:t>Ico est la valeur de l'indice SYNTEC du mois de la date limite de remise des offres.</w:t>
      </w:r>
    </w:p>
    <w:p/>
    <w:p>
      <w:r>
        <w:rPr>
          <w:sz w:val="22"/>
        </w:rPr>
        <w:t>Si l'indice SYNTEC venait à disparaître, il serait remplacé par l'indice de substitution le plus pertinent, après accord entre les parties.</w:t>
      </w:r>
    </w:p>
    <w:p/>
    <w:p>
      <w:pPr>
        <w:pStyle w:val="Heading2"/>
      </w:pPr>
      <w:r>
        <w:rPr>
          <w:b/>
          <w:color w:val="6B0F4C"/>
          <w:sz w:val="26"/>
        </w:rPr>
        <w:t>7. CONDITIONS D'EXÉCUTION DES PRESTATIONS</w:t>
      </w:r>
    </w:p>
    <w:p/>
    <w:p>
      <w:r>
        <w:rPr>
          <w:sz w:val="22"/>
        </w:rPr>
        <w:t>Les prestations seront exécutées conformément aux spécifications du CCFT et de l'offre du Titulaire.</w:t>
      </w:r>
    </w:p>
    <w:p/>
    <w:p>
      <w:r>
        <w:rPr>
          <w:sz w:val="22"/>
        </w:rPr>
        <w:t>7.1. Installation des IRVE</w:t>
      </w:r>
    </w:p>
    <w:p>
      <w:r>
        <w:rPr>
          <w:sz w:val="22"/>
        </w:rPr>
        <w:t>Le processus d'installation comprendra :</w:t>
      </w:r>
    </w:p>
    <w:p>
      <w:pPr>
        <w:pStyle w:val="ListBullet"/>
      </w:pPr>
      <w:r>
        <w:rPr>
          <w:sz w:val="22"/>
        </w:rPr>
        <w:t>Visite de site : Le Titulaire prendra connaissance des lieux et de leurs abords.</w:t>
      </w:r>
    </w:p>
    <w:p>
      <w:pPr>
        <w:pStyle w:val="ListBullet"/>
      </w:pPr>
      <w:r>
        <w:rPr>
          <w:sz w:val="22"/>
        </w:rPr>
        <w:t>Étude et devis : Le Titulaire réalisera les études nécessaires (plans, notes de calculs) et soumettra un devis détaillé à l'Acheteur.</w:t>
      </w:r>
    </w:p>
    <w:p>
      <w:pPr>
        <w:pStyle w:val="ListBullet"/>
      </w:pPr>
      <w:r>
        <w:rPr>
          <w:sz w:val="22"/>
        </w:rPr>
        <w:t>Travaux : Après acceptation du devis par l'émission d'un bon de commande, le Titulaire réalisera les travaux de génie civil, l'installation des équipements (IRVE, signalétique, protections), le raccordement électrique.</w:t>
      </w:r>
    </w:p>
    <w:p>
      <w:pPr>
        <w:pStyle w:val="ListBullet"/>
      </w:pPr>
      <w:r>
        <w:rPr>
          <w:sz w:val="22"/>
        </w:rPr>
        <w:t>Mise en service : Le Titulaire procédera à la mise sous tension, au paramétrage, aux essais de fonctionnement, à la présence lors de la visite de conformité d'un bureau de contrôle électrique, à la recette matérielle et à la fourniture du Dossier des Ouvrages Exécutés (DOE).</w:t>
      </w:r>
    </w:p>
    <w:p>
      <w:pPr>
        <w:pStyle w:val="ListBullet"/>
      </w:pPr>
      <w:r>
        <w:rPr>
          <w:sz w:val="22"/>
        </w:rPr>
        <w:t>Réception des travaux : Une visite de réception sera organisée pour vérifier la bonne exécution et la conformité du projet.</w:t>
      </w:r>
    </w:p>
    <w:p/>
    <w:p>
      <w:r>
        <w:rPr>
          <w:sz w:val="22"/>
        </w:rPr>
        <w:t>7.2. Maintenance des IRVE</w:t>
      </w:r>
    </w:p>
    <w:p>
      <w:pPr>
        <w:pStyle w:val="ListBullet"/>
      </w:pPr>
      <w:r>
        <w:rPr>
          <w:sz w:val="22"/>
        </w:rPr>
        <w:t>Maintenance préventive : Réalisation d'opérations annuelles sur site (conformes aux prescriptions du constructeur) et mensuelles à distance via le système de supervision. Le Titulaire transmettra des rapports mensuels et un planning des maintenances.</w:t>
      </w:r>
    </w:p>
    <w:p>
      <w:pPr>
        <w:pStyle w:val="ListBullet"/>
      </w:pPr>
      <w:r>
        <w:rPr>
          <w:sz w:val="22"/>
        </w:rPr>
        <w:t>Maintenance corrective : Dépannage et réparation des IRVE après détection d'une défaillance. En cas de défaillance non résoluble à distance, une intervention sur site sera réalisée. Le Titulaire établira un diagnostic et, si nécessaire, un devis pour les interventions hors garantie.</w:t>
      </w:r>
    </w:p>
    <w:p/>
    <w:p>
      <w:r>
        <w:rPr>
          <w:sz w:val="22"/>
        </w:rPr>
        <w:t>7.3. Supervision des IRVE</w:t>
      </w:r>
    </w:p>
    <w:p>
      <w:r>
        <w:rPr>
          <w:sz w:val="22"/>
        </w:rPr>
        <w:t>Le Titulaire mettra en œuvre un système de supervision et d'exploitation compatible OCPP 1.6 (ou version plus récente) permettant le pilotage, la gestion, la remontée de données et les diagnostics des IRVE.</w:t>
      </w:r>
    </w:p>
    <w:p>
      <w:pPr>
        <w:pStyle w:val="ListBullet"/>
      </w:pPr>
      <w:r>
        <w:rPr>
          <w:sz w:val="22"/>
        </w:rPr>
        <w:t>Mise en service de la supervision : Intégration des IRVE dans l'outil de supervision, identification spécifique des stations et points de charge (incluant le code AURORE fourni par France Travail), paramétrage et communication des données via des cartes SIM M&amp;M fournies et gérées par le Titulaire.</w:t>
      </w:r>
    </w:p>
    <w:p>
      <w:pPr>
        <w:pStyle w:val="ListBullet"/>
      </w:pPr>
      <w:r>
        <w:rPr>
          <w:sz w:val="22"/>
        </w:rPr>
        <w:t>Services pour le Gestionnaire régional : Fourniture d'une solution SAAS pour le suivi en temps réel, les statistiques, la gestion des maintenances, le pilotage et le paramétrage à distance.</w:t>
      </w:r>
    </w:p>
    <w:p>
      <w:pPr>
        <w:pStyle w:val="ListBullet"/>
      </w:pPr>
      <w:r>
        <w:rPr>
          <w:sz w:val="22"/>
        </w:rPr>
        <w:t>Services pour l'Utilisateur et l'Usager : Géolocalisation, identification des bornes, visualisation de l'état, réservation, estimation du temps de charge, historique des charges, gestion d'accès par badge RFID.</w:t>
      </w:r>
    </w:p>
    <w:p/>
    <w:p>
      <w:r>
        <w:rPr>
          <w:sz w:val="22"/>
        </w:rPr>
        <w:t>7.4. Gestion de la reprise du parc existant</w:t>
      </w:r>
    </w:p>
    <w:p>
      <w:r>
        <w:rPr>
          <w:sz w:val="22"/>
        </w:rPr>
        <w:t>Le Titulaire assurera la reprise en supervision et en maintenance du parc existant de bornes, conformément aux modalités définies au CCFT.</w:t>
      </w:r>
    </w:p>
    <w:p/>
    <w:p>
      <w:r>
        <w:rPr>
          <w:sz w:val="22"/>
        </w:rPr>
        <w:t>7.5. Monétisation et gestion des badges RFID</w:t>
      </w:r>
    </w:p>
    <w:p>
      <w:r>
        <w:rPr>
          <w:sz w:val="22"/>
        </w:rPr>
        <w:t>Le Titulaire mettra en œuvre un système de charge payante pour les véhicules personnels des agents, gérera les paiements et reversera les sommes à France Travail.</w:t>
      </w:r>
    </w:p>
    <w:p>
      <w:r>
        <w:rPr>
          <w:sz w:val="22"/>
        </w:rPr>
        <w:t>Il fournira 5 badges RFID par point de charge à la mise en service et gérera les commandes de badges pour les véhicules de service et personnels des agents, incluant un workflow de validation par la Direction régionale de France Travail.</w:t>
      </w:r>
    </w:p>
    <w:p/>
    <w:p>
      <w:pPr>
        <w:pStyle w:val="Heading2"/>
      </w:pPr>
      <w:r>
        <w:rPr>
          <w:b/>
          <w:color w:val="6B0F4C"/>
          <w:sz w:val="26"/>
        </w:rPr>
        <w:t>8. DÉLAIS D'EXÉCUTION / DÉLAIS DE LIVRAISON</w:t>
      </w:r>
    </w:p>
    <w:p/>
    <w:p>
      <w:r>
        <w:rPr>
          <w:sz w:val="22"/>
        </w:rPr>
        <w:t>Le Titulaire s'engage à respecter les délais suivants :</w:t>
      </w:r>
    </w:p>
    <w:p/>
    <w:p>
      <w:r>
        <w:rPr>
          <w:sz w:val="22"/>
        </w:rPr>
        <w:t>8.1. Délais relatifs à l'installation des IRVE :</w:t>
      </w:r>
    </w:p>
    <w:p>
      <w:pPr>
        <w:pStyle w:val="ListBullet"/>
      </w:pPr>
      <w:r>
        <w:rPr>
          <w:sz w:val="22"/>
        </w:rPr>
        <w:t>Visite de site : 21 jours maximum après prise de contact par le Gestionnaire régional de France Travail.</w:t>
      </w:r>
    </w:p>
    <w:p>
      <w:pPr>
        <w:pStyle w:val="ListBullet"/>
      </w:pPr>
      <w:r>
        <w:rPr>
          <w:sz w:val="22"/>
        </w:rPr>
        <w:t>Émission du devis : 14 jours maximum après la réalisation de la visite de site.</w:t>
      </w:r>
    </w:p>
    <w:p>
      <w:pPr>
        <w:pStyle w:val="ListBullet"/>
      </w:pPr>
      <w:r>
        <w:rPr>
          <w:sz w:val="22"/>
        </w:rPr>
        <w:t>Début des travaux : 30 jours maximum après réception par le Titulaire du bon de commande SAP valant acceptation du devis.</w:t>
      </w:r>
    </w:p>
    <w:p>
      <w:pPr>
        <w:pStyle w:val="ListBullet"/>
      </w:pPr>
      <w:r>
        <w:rPr>
          <w:sz w:val="22"/>
        </w:rPr>
        <w:t>Intégration dans l'outil de supervision : 48 heures ouvrées maximum à compter de la réception des travaux d'installation.</w:t>
      </w:r>
    </w:p>
    <w:p>
      <w:pPr>
        <w:pStyle w:val="ListBullet"/>
      </w:pPr>
      <w:r>
        <w:rPr>
          <w:sz w:val="22"/>
        </w:rPr>
        <w:t>Établissement du procès-verbal de réception des travaux : 14 jours maximum à réception de l'attestation de conformité de l'installation établie par le bureau de contrôle.</w:t>
      </w:r>
    </w:p>
    <w:p/>
    <w:p>
      <w:r>
        <w:rPr>
          <w:sz w:val="22"/>
        </w:rPr>
        <w:t>8.2. Délais relatifs à la maintenance corrective :</w:t>
      </w:r>
    </w:p>
    <w:p>
      <w:pPr>
        <w:pStyle w:val="ListBullet"/>
      </w:pPr>
      <w:r>
        <w:rPr>
          <w:sz w:val="22"/>
        </w:rPr>
        <w:t>Intervention sur site (après détection d'une défaillance non résoluble à distance) :</w:t>
      </w:r>
    </w:p>
    <w:p>
      <w:pPr>
        <w:pStyle w:val="ListBullet"/>
      </w:pPr>
      <w:r>
        <w:rPr>
          <w:sz w:val="22"/>
        </w:rPr>
        <w:t>48 heures ouvrées maximum si le site n'a qu'une seule borne (1 ou 2 points de charge).</w:t>
      </w:r>
    </w:p>
    <w:p>
      <w:pPr>
        <w:pStyle w:val="ListBullet"/>
      </w:pPr>
      <w:r>
        <w:rPr>
          <w:sz w:val="22"/>
        </w:rPr>
        <w:t>72 heures ouvrées maximum si le site est doté d'une autre borne (1 ou 2 points de charge) en fonctionnement.</w:t>
      </w:r>
    </w:p>
    <w:p>
      <w:pPr>
        <w:pStyle w:val="ListBullet"/>
      </w:pPr>
      <w:r>
        <w:rPr>
          <w:sz w:val="22"/>
        </w:rPr>
        <w:t>Délais d'intervention (à compter du signalement du défaut) :</w:t>
      </w:r>
    </w:p>
    <w:p>
      <w:pPr>
        <w:pStyle w:val="ListBullet"/>
      </w:pPr>
      <w:r>
        <w:rPr>
          <w:sz w:val="22"/>
        </w:rPr>
        <w:t>Niveau 1 (défaut identifié par technicien sur site) : 72 heures ouvrées maximum.</w:t>
      </w:r>
    </w:p>
    <w:p>
      <w:pPr>
        <w:pStyle w:val="ListBullet"/>
      </w:pPr>
      <w:r>
        <w:rPr>
          <w:sz w:val="22"/>
        </w:rPr>
        <w:t>Niveau 2 (défaut présentant un danger pour la sécurité des personnes) : 4 heures en jours et heures ouvrés (8h-17h du lundi au vendredi) ou 12 heures ouvrées.</w:t>
      </w:r>
    </w:p>
    <w:p>
      <w:pPr>
        <w:pStyle w:val="ListBullet"/>
      </w:pPr>
      <w:r>
        <w:rPr>
          <w:sz w:val="22"/>
        </w:rPr>
        <w:t>Niveau 3 (défaut ne présentant pas un danger pour la sécurité des personnes) : 48 heures ouvrées si le site n'a qu'une seule borne, 72 heures ouvrées si le site est doté d'une autre borne en fonctionnement.</w:t>
      </w:r>
    </w:p>
    <w:p>
      <w:pPr>
        <w:pStyle w:val="ListBullet"/>
      </w:pPr>
      <w:r>
        <w:rPr>
          <w:sz w:val="22"/>
        </w:rPr>
        <w:t>Transmission du rapport d'intervention : 48 heures suivant la visite d'intervention.</w:t>
      </w:r>
    </w:p>
    <w:p>
      <w:pPr>
        <w:pStyle w:val="ListBullet"/>
      </w:pPr>
      <w:r>
        <w:rPr>
          <w:sz w:val="22"/>
        </w:rPr>
        <w:t>Délais de rétablissement (à compter du constat du défaut ou dysfonctionnement) :</w:t>
      </w:r>
    </w:p>
    <w:p>
      <w:pPr>
        <w:pStyle w:val="ListBullet"/>
      </w:pPr>
      <w:r>
        <w:rPr>
          <w:sz w:val="22"/>
        </w:rPr>
        <w:t>Niveau 1 (défaut affectant la totalité de l'outil de supervision et du service) : 72 heures ouvrées maximum.</w:t>
      </w:r>
    </w:p>
    <w:p>
      <w:pPr>
        <w:pStyle w:val="ListBullet"/>
      </w:pPr>
      <w:r>
        <w:rPr>
          <w:sz w:val="22"/>
        </w:rPr>
        <w:t>Niveau 2 (défaut affectant un ou plusieurs IRVE, sans changement de pièce) : 48 heures ouvrées maximum.</w:t>
      </w:r>
    </w:p>
    <w:p>
      <w:pPr>
        <w:pStyle w:val="ListBullet"/>
      </w:pPr>
      <w:r>
        <w:rPr>
          <w:sz w:val="22"/>
        </w:rPr>
        <w:t>Niveau 3 (défaut affectant une ou plusieurs IRVE, avec changement de pièce mais sans remplacement de l'IRVE) : 96 heures ouvrées si le défaut affecte tous les points de charge d'un même site, 120 heures ouvrées si le défaut n'affecte pas tous les points de charge d'un même site.</w:t>
      </w:r>
    </w:p>
    <w:p>
      <w:pPr>
        <w:pStyle w:val="ListBullet"/>
      </w:pPr>
      <w:r>
        <w:rPr>
          <w:sz w:val="22"/>
        </w:rPr>
        <w:t>Niveau 4 (défaut affectant une ou plusieurs IRVE, avec remplacement de la borne) : 144 heures ouvrées si le défaut n'affecte pas tous les points de charge d'un même site, 120 heures ouvrées si le défaut affecte tous les points de charge d'un même site.</w:t>
      </w:r>
    </w:p>
    <w:p/>
    <w:p>
      <w:r>
        <w:rPr>
          <w:sz w:val="22"/>
        </w:rPr>
        <w:t>8.3. Délais relatifs à la supervision :</w:t>
      </w:r>
    </w:p>
    <w:p>
      <w:pPr>
        <w:pStyle w:val="ListBullet"/>
      </w:pPr>
      <w:r>
        <w:rPr>
          <w:sz w:val="22"/>
        </w:rPr>
        <w:t>Interruption de service (communication M2M) : Ne pourra dépasser 10 heures.</w:t>
      </w:r>
    </w:p>
    <w:p>
      <w:pPr>
        <w:pStyle w:val="ListBullet"/>
      </w:pPr>
      <w:r>
        <w:rPr>
          <w:sz w:val="22"/>
        </w:rPr>
        <w:t>Intervention pour télémaintenance : 12 heures maximum.</w:t>
      </w:r>
    </w:p>
    <w:p/>
    <w:p>
      <w:r>
        <w:rPr>
          <w:sz w:val="22"/>
        </w:rPr>
        <w:t>8.4. Délais relatifs à la gestion des badges RFID :</w:t>
      </w:r>
    </w:p>
    <w:p>
      <w:pPr>
        <w:pStyle w:val="ListBullet"/>
      </w:pPr>
      <w:r>
        <w:rPr>
          <w:sz w:val="22"/>
        </w:rPr>
        <w:t>Demande de validation à la Direction Régionale de France Travail pour badge personnel : 48 heures ouvrées maximum.</w:t>
      </w:r>
    </w:p>
    <w:p/>
    <w:p>
      <w:pPr>
        <w:pStyle w:val="Heading2"/>
      </w:pPr>
      <w:r>
        <w:rPr>
          <w:b/>
          <w:color w:val="6B0F4C"/>
          <w:sz w:val="26"/>
        </w:rPr>
        <w:t>9. PÉNALITÉS DE RETARD</w:t>
      </w:r>
    </w:p>
    <w:p/>
    <w:p>
      <w:r>
        <w:rPr>
          <w:sz w:val="22"/>
        </w:rPr>
        <w:t>[À PRÉCISER : Les pénalités doivent être définies. Voici une proposition de clause.]</w:t>
      </w:r>
    </w:p>
    <w:p/>
    <w:p>
      <w:r>
        <w:rPr>
          <w:sz w:val="22"/>
        </w:rPr>
        <w:t>En cas de non-respect des délais d'exécution ou de rétablissement des prestations définis à l'article 8 du présent CCAP, des pénalités seront appliquées au Titulaire.</w:t>
      </w:r>
    </w:p>
    <w:p/>
    <w:p>
      <w:r>
        <w:rPr>
          <w:sz w:val="22"/>
        </w:rPr>
        <w:t>9.1. Pénalités pour retard d'installation et de mise en service</w:t>
      </w:r>
    </w:p>
    <w:p>
      <w:r>
        <w:rPr>
          <w:sz w:val="22"/>
        </w:rPr>
        <w:t>En cas de retard dans la réalisation des prestations d'installation et de mise en service d'une IRVE, une pénalité journalière de [À PRÉCISER : ex: 1/1000ème] du montant du bon de commande correspondant à l'installation concernée sera appliquée par jour calendaire de retard.</w:t>
      </w:r>
    </w:p>
    <w:p/>
    <w:p>
      <w:r>
        <w:rPr>
          <w:sz w:val="22"/>
        </w:rPr>
        <w:t>9.2. Pénalités pour retard de maintenance et de rétablissement</w:t>
      </w:r>
    </w:p>
    <w:p>
      <w:r>
        <w:rPr>
          <w:sz w:val="22"/>
        </w:rPr>
        <w:t>En cas de non-respect des délais d'intervention ou de rétablissement définis à l'article 8.2, une pénalité journalière de [À PRÉCISER : ex: 100 €] par jour calendaire de retard et par IRVE ou service affecté sera appliquée.</w:t>
      </w:r>
    </w:p>
    <w:p/>
    <w:p>
      <w:r>
        <w:rPr>
          <w:sz w:val="22"/>
        </w:rPr>
        <w:t>9.3. Plafonnement des pénalités</w:t>
      </w:r>
    </w:p>
    <w:p>
      <w:r>
        <w:rPr>
          <w:sz w:val="22"/>
        </w:rPr>
        <w:t>Le montant total des pénalités applicables pour l'ensemble des prestations du marché ne pourra excéder 10% du montant total hors taxes du marché.</w:t>
      </w:r>
    </w:p>
    <w:p/>
    <w:p>
      <w:r>
        <w:rPr>
          <w:sz w:val="22"/>
        </w:rPr>
        <w:t>Les pénalités seront déduites des sommes dues au Titulaire. Si les sommes dues sont insuffisantes, le Titulaire devra verser le complément sur simple demande de l'Acheteur.</w:t>
      </w:r>
    </w:p>
    <w:p/>
    <w:p>
      <w:pPr>
        <w:pStyle w:val="Heading2"/>
      </w:pPr>
      <w:r>
        <w:rPr>
          <w:b/>
          <w:color w:val="6B0F4C"/>
          <w:sz w:val="26"/>
        </w:rPr>
        <w:t>10. GARANTIE DES PRESTATIONS</w:t>
      </w:r>
    </w:p>
    <w:p/>
    <w:p>
      <w:r>
        <w:rPr>
          <w:sz w:val="22"/>
        </w:rPr>
        <w:t>10.1. Garantie contractuelle sur le matériel</w:t>
      </w:r>
    </w:p>
    <w:p>
      <w:r>
        <w:rPr>
          <w:sz w:val="22"/>
        </w:rPr>
        <w:t>La garantie contractuelle sur le matériel fourni (IRVE) est d'une durée minimale de deux (2) ans à compter de la réception des prestations (mise en service de l'IRVE). Cette garantie est réputée intégrée dans le coût de fourniture du matériel.</w:t>
      </w:r>
    </w:p>
    <w:p/>
    <w:p>
      <w:r>
        <w:rPr>
          <w:sz w:val="22"/>
        </w:rPr>
        <w:t>10.2. Garantie de parfait achèvement</w:t>
      </w:r>
    </w:p>
    <w:p>
      <w:r>
        <w:rPr>
          <w:sz w:val="22"/>
        </w:rPr>
        <w:t>Le Titulaire est tenu à une garantie de parfait achèvement d'une durée d'un (1) an à compter de la réception des travaux d'installation. Pendant cette période, le Titulaire s'engage à réparer toutes les imperfections, omissions ou malfaçons signalées par l'Acheteur.</w:t>
      </w:r>
    </w:p>
    <w:p/>
    <w:p>
      <w:r>
        <w:rPr>
          <w:sz w:val="22"/>
        </w:rPr>
        <w:t>10.3. Garantie de bon fonctionnement</w:t>
      </w:r>
    </w:p>
    <w:p>
      <w:r>
        <w:rPr>
          <w:sz w:val="22"/>
        </w:rPr>
        <w:t>Le Titulaire est tenu à une garantie de bon fonctionnement d'une durée de deux (2) ans à compter de la réception des travaux d'installation. Cette garantie couvre le bon fonctionnement des IRVE et des systèmes associés.</w:t>
      </w:r>
    </w:p>
    <w:p/>
    <w:p>
      <w:r>
        <w:rPr>
          <w:sz w:val="22"/>
        </w:rPr>
        <w:t>10.4. Étendue des garanties</w:t>
      </w:r>
    </w:p>
    <w:p>
      <w:r>
        <w:rPr>
          <w:sz w:val="22"/>
        </w:rPr>
        <w:t>Les garanties couvrent les pièces et la main d'œuvre nécessaires à la remise en état de bon fonctionnement des IRVE et des systèmes. Les interventions sous garantie ne donneront pas lieu à facturation.</w:t>
      </w:r>
    </w:p>
    <w:p/>
    <w:p>
      <w:r>
        <w:rPr>
          <w:sz w:val="22"/>
        </w:rPr>
        <w:t>10.5. Prêt de matériel en cas de panne</w:t>
      </w:r>
    </w:p>
    <w:p>
      <w:r>
        <w:rPr>
          <w:sz w:val="22"/>
        </w:rPr>
        <w:t>[À PRÉCISER : Le CCFT ne mentionne pas de prêt de matériel. Voici une proposition.]</w:t>
      </w:r>
    </w:p>
    <w:p>
      <w:r>
        <w:rPr>
          <w:sz w:val="22"/>
        </w:rPr>
        <w:t>En cas de panne immobilisant une IRVE pour une durée supérieure à [À PRÉCISER : ex: 7 jours ouvrés] et non imputable à l'Acheteur ou à un tiers, le Titulaire s'engage à étudier la possibilité de mettre à disposition de l'Acheteur une solution de recharge temporaire équivalente, si techniquement et économiquement réalisable, et après accord de l'Acheteur sur les modalités.</w:t>
      </w:r>
    </w:p>
    <w:p/>
    <w:p>
      <w:pPr>
        <w:pStyle w:val="Heading2"/>
      </w:pPr>
      <w:r>
        <w:rPr>
          <w:b/>
          <w:color w:val="6B0F4C"/>
          <w:sz w:val="26"/>
        </w:rPr>
        <w:t>11. RSE - RESPONSABILITÉ SOCIALE DES ENTREPRISES</w:t>
      </w:r>
    </w:p>
    <w:p/>
    <w:p>
      <w:r>
        <w:rPr>
          <w:sz w:val="22"/>
        </w:rPr>
        <w:t>11.1. Clauses sociales</w:t>
      </w:r>
    </w:p>
    <w:p>
      <w:r>
        <w:rPr>
          <w:sz w:val="22"/>
        </w:rPr>
        <w:t>Le Titulaire s'engage à réaliser 3 000 heures d'insertion sociale par année d’exécution du marché, à compter de sa date de notification, quel que soit le nombre de bornes installées au cours de l'année. Le Titulaire devra fournir à l'Acheteur un rapport annuel détaillé sur la réalisation de ces heures d'insertion, incluant les justificatifs nécessaires.</w:t>
      </w:r>
    </w:p>
    <w:p/>
    <w:p>
      <w:r>
        <w:rPr>
          <w:sz w:val="22"/>
        </w:rPr>
        <w:t>11.2. Clauses environnementales</w:t>
      </w:r>
    </w:p>
    <w:p>
      <w:pPr>
        <w:pStyle w:val="ListBullet"/>
      </w:pPr>
      <w:r>
        <w:rPr>
          <w:sz w:val="22"/>
        </w:rPr>
        <w:t>Gestion des déchets : Le Titulaire s'engage à traiter et évacuer tous les déchets et gravats générés par les travaux dans le respect des bonnes pratiques de Responsabilité Sociale et Environnementale (RSE) et de la réglementation en vigueur.</w:t>
      </w:r>
    </w:p>
    <w:p>
      <w:pPr>
        <w:pStyle w:val="ListBullet"/>
      </w:pPr>
      <w:r>
        <w:rPr>
          <w:sz w:val="22"/>
        </w:rPr>
        <w:t>Matériaux et produits : Le Titulaire veillera à utiliser autant que possible des matières, matériaux et produits ayant un faible impact environnemental. Pour la signalétique horizontale, il utilisera des produits bénéficiant de l'écolabel NF Environnement 331 - Produits de signalisation horizontale ou équivalent.</w:t>
      </w:r>
    </w:p>
    <w:p>
      <w:pPr>
        <w:pStyle w:val="ListBullet"/>
      </w:pPr>
      <w:r>
        <w:rPr>
          <w:sz w:val="22"/>
        </w:rPr>
        <w:t>Politique environnementale : Le Titulaire s'engage à mettre en œuvre une politique environnementale dans le cadre de l'exécution du marché et à respecter les principes de la Charte Achats Responsables de France Travail.</w:t>
      </w:r>
    </w:p>
    <w:p>
      <w:pPr>
        <w:pStyle w:val="ListBullet"/>
      </w:pPr>
      <w:r>
        <w:rPr>
          <w:sz w:val="22"/>
        </w:rPr>
        <w:t>Déclaration droits de l'homme : Le Titulaire s'engage à compléter et signer la « Déclaration du candidat relative à la gestion des droits de l’homme dans ses chaînes d’approvisionnement » fournie par l'Acheteur. Aucun justificatif ou développement complémentaire n'est attendu à ce stade de la procédure.</w:t>
      </w:r>
    </w:p>
    <w:p/>
    <w:p>
      <w:pPr>
        <w:pStyle w:val="Heading2"/>
      </w:pPr>
      <w:r>
        <w:rPr>
          <w:b/>
          <w:color w:val="6B0F4C"/>
          <w:sz w:val="26"/>
        </w:rPr>
        <w:t>12. MODALITÉS DE RÈGLEMENT DES COMPTES</w:t>
      </w:r>
    </w:p>
    <w:p/>
    <w:p>
      <w:r>
        <w:rPr>
          <w:sz w:val="22"/>
        </w:rPr>
        <w:t>[À PRÉCISER : Les modalités de règlement doivent être définies. Voici une proposition de clause standard.]</w:t>
      </w:r>
    </w:p>
    <w:p/>
    <w:p>
      <w:r>
        <w:rPr>
          <w:sz w:val="22"/>
        </w:rPr>
        <w:t>12.1. Facturation</w:t>
      </w:r>
    </w:p>
    <w:p>
      <w:r>
        <w:rPr>
          <w:sz w:val="22"/>
        </w:rPr>
        <w:t>Les factures seront émises par le Titulaire après exécution des prestations et réception des travaux ou services, conformément aux dispositions du marché.</w:t>
      </w:r>
    </w:p>
    <w:p>
      <w:r>
        <w:rPr>
          <w:sz w:val="22"/>
        </w:rPr>
        <w:t>Les factures devront être conformes aux exigences légales et réglementaires en vigueur et mentionner obligatoirement :</w:t>
      </w:r>
    </w:p>
    <w:p>
      <w:pPr>
        <w:pStyle w:val="ListBullet"/>
      </w:pPr>
      <w:r>
        <w:rPr>
          <w:sz w:val="22"/>
        </w:rPr>
        <w:t>La référence du marché (N° de consultation 010.26) ;</w:t>
      </w:r>
    </w:p>
    <w:p>
      <w:pPr>
        <w:pStyle w:val="ListBullet"/>
      </w:pPr>
      <w:r>
        <w:rPr>
          <w:sz w:val="22"/>
        </w:rPr>
        <w:t>Le numéro du bon de commande correspondant ;</w:t>
      </w:r>
    </w:p>
    <w:p>
      <w:pPr>
        <w:pStyle w:val="ListBullet"/>
      </w:pPr>
      <w:r>
        <w:rPr>
          <w:sz w:val="22"/>
        </w:rPr>
        <w:t>Le détail des prestations réalisées ;</w:t>
      </w:r>
    </w:p>
    <w:p>
      <w:pPr>
        <w:pStyle w:val="ListBullet"/>
      </w:pPr>
      <w:r>
        <w:rPr>
          <w:sz w:val="22"/>
        </w:rPr>
        <w:t>Les prix unitaires et totaux hors taxes et toutes taxes comprises.</w:t>
      </w:r>
    </w:p>
    <w:p/>
    <w:p>
      <w:r>
        <w:rPr>
          <w:sz w:val="22"/>
        </w:rPr>
        <w:t>12.2. Transmission des factures</w:t>
      </w:r>
    </w:p>
    <w:p>
      <w:r>
        <w:rPr>
          <w:sz w:val="22"/>
        </w:rPr>
        <w:t>Les factures devront être transmises par voie électronique via la plateforme Chorus Pro, conformément aux dispositions de l'article L. 2192-5 du Code de la commande publique.</w:t>
      </w:r>
    </w:p>
    <w:p/>
    <w:p>
      <w:r>
        <w:rPr>
          <w:sz w:val="22"/>
        </w:rPr>
        <w:t>12.3. Délai global de paiement</w:t>
      </w:r>
    </w:p>
    <w:p>
      <w:r>
        <w:rPr>
          <w:sz w:val="22"/>
        </w:rPr>
        <w:t>Le délai global de paiement est de trente (30) jours à compter de la date de réception de la facture par l'Acheteur ou, si la date d'exécution des prestations est postérieure, à compter de la date d'exécution des prestations.</w:t>
      </w:r>
    </w:p>
    <w:p/>
    <w:p>
      <w:r>
        <w:rPr>
          <w:sz w:val="22"/>
        </w:rPr>
        <w:t>12.4. Intérêts moratoires</w:t>
      </w:r>
    </w:p>
    <w:p>
      <w:r>
        <w:rPr>
          <w:sz w:val="22"/>
        </w:rPr>
        <w:t>En cas de retard de paiement, le Titulaire aura droit au versement d'intérêts moratoires calculés à compter du jour suivant l'expiration du délai de paiement. Le taux des intérêts moratoires est le taux d'intérêt appliqué par la Banque centrale européenne à ses opérations principales de refinancement les plus récentes, en vigueur au premier jour du semestre de l'année civile au cours duquel les intérêts ont commencé à courir, majoré de huit points de pourcentage.</w:t>
      </w:r>
    </w:p>
    <w:p>
      <w:r>
        <w:rPr>
          <w:sz w:val="22"/>
        </w:rPr>
        <w:t>Une indemnité forfaitaire pour frais de recouvrement d'un montant de 40 euros sera également due, en application de l'article L. 441-10 du Code de commerce.</w:t>
      </w:r>
    </w:p>
    <w:p/>
    <w:p>
      <w:pPr>
        <w:pStyle w:val="Heading2"/>
      </w:pPr>
      <w:r>
        <w:rPr>
          <w:b/>
          <w:color w:val="6B0F4C"/>
          <w:sz w:val="26"/>
        </w:rPr>
        <w:t>13. RÉSILIATION DU MARCHÉ</w:t>
      </w:r>
    </w:p>
    <w:p/>
    <w:p>
      <w:r>
        <w:rPr>
          <w:sz w:val="22"/>
        </w:rPr>
        <w:t>[À PRÉCISER : Les motifs de résiliation doivent être définis. Voici une proposition de clause standard.]</w:t>
      </w:r>
    </w:p>
    <w:p/>
    <w:p>
      <w:r>
        <w:rPr>
          <w:sz w:val="22"/>
        </w:rPr>
        <w:t>13.1. Résiliation pour motif d'intérêt général</w:t>
      </w:r>
    </w:p>
    <w:p>
      <w:r>
        <w:rPr>
          <w:sz w:val="22"/>
        </w:rPr>
        <w:t>L'Acheteur peut résilier le marché pour motif d'intérêt général, sous réserve d'une indemnisation du Titulaire des préjudices subis, conformément aux dispositions de l'article L. 2195-3 du Code de la commande publique et de l'article 31 du CCAG-FCS. L'Acheteur notifiera sa décision au Titulaire par lettre recommandée avec accusé de réception, en respectant un préavis de [À PRÉCISER : ex: un (1) mois].</w:t>
      </w:r>
    </w:p>
    <w:p/>
    <w:p>
      <w:r>
        <w:rPr>
          <w:sz w:val="22"/>
        </w:rPr>
        <w:t>13.2. Résiliation pour faute du Titulaire</w:t>
      </w:r>
    </w:p>
    <w:p>
      <w:r>
        <w:rPr>
          <w:sz w:val="22"/>
        </w:rPr>
        <w:t>L'Acheteur peut résilier le marché en cas de manquement du Titulaire à ses obligations contractuelles, après mise en demeure restée infructueuse, conformément aux dispositions de l'article 34 du CCAG-FCS. Les manquements graves incluent notamment :</w:t>
      </w:r>
    </w:p>
    <w:p>
      <w:pPr>
        <w:pStyle w:val="ListBullet"/>
      </w:pPr>
      <w:r>
        <w:rPr>
          <w:sz w:val="22"/>
        </w:rPr>
        <w:t>Le non-respect des délais d'exécution ou de rétablissement ;</w:t>
      </w:r>
    </w:p>
    <w:p>
      <w:pPr>
        <w:pStyle w:val="ListBullet"/>
      </w:pPr>
      <w:r>
        <w:rPr>
          <w:sz w:val="22"/>
        </w:rPr>
        <w:t>La mauvaise exécution des prestations ;</w:t>
      </w:r>
    </w:p>
    <w:p>
      <w:pPr>
        <w:pStyle w:val="ListBullet"/>
      </w:pPr>
      <w:r>
        <w:rPr>
          <w:sz w:val="22"/>
        </w:rPr>
        <w:t>Le non-respect des clauses sociales et environnementales ;</w:t>
      </w:r>
    </w:p>
    <w:p>
      <w:pPr>
        <w:pStyle w:val="ListBullet"/>
      </w:pPr>
      <w:r>
        <w:rPr>
          <w:sz w:val="22"/>
        </w:rPr>
        <w:t>Le non-respect des obligations en matière de protection des données personnelles.</w:t>
      </w:r>
    </w:p>
    <w:p/>
    <w:p>
      <w:r>
        <w:rPr>
          <w:sz w:val="22"/>
        </w:rPr>
        <w:t>13.3. Résiliation pour inexactitude des déclarations</w:t>
      </w:r>
    </w:p>
    <w:p>
      <w:r>
        <w:rPr>
          <w:sz w:val="22"/>
        </w:rPr>
        <w:t>Le marché pourra être résilié de plein droit en cas d'inexactitude des déclarations du Titulaire faites lors de la procédure de passation du marché, notamment celles relatives à ses capacités ou à l'absence d'interdictions de soumissionner.</w:t>
      </w:r>
    </w:p>
    <w:p/>
    <w:p>
      <w:r>
        <w:rPr>
          <w:sz w:val="22"/>
        </w:rPr>
        <w:t>13.4. Résiliation en cas de redressement ou liquidation judiciaire</w:t>
      </w:r>
    </w:p>
    <w:p>
      <w:r>
        <w:rPr>
          <w:sz w:val="22"/>
        </w:rPr>
        <w:t>En cas de redressement ou de liquidation judiciaire du Titulaire, le marché pourra être résilié dans les conditions prévues par l'article 35 du CCAG-FCS.</w:t>
      </w:r>
    </w:p>
    <w:p/>
    <w:p>
      <w:pPr>
        <w:pStyle w:val="Heading2"/>
      </w:pPr>
      <w:r>
        <w:rPr>
          <w:b/>
          <w:color w:val="6B0F4C"/>
          <w:sz w:val="26"/>
        </w:rPr>
        <w:t>14. LITIGES ET TRIBUNAL COMPÉTENT</w:t>
      </w:r>
    </w:p>
    <w:p/>
    <w:p>
      <w:r>
        <w:rPr>
          <w:sz w:val="22"/>
        </w:rPr>
        <w:t>[À PRÉCISER : Le tribunal compétent doit être défini. Voici une proposition.]</w:t>
      </w:r>
    </w:p>
    <w:p/>
    <w:p>
      <w:r>
        <w:rPr>
          <w:sz w:val="22"/>
        </w:rPr>
        <w:t>En cas de litige relatif à l'exécution ou à l'interprétation du présent marché, les parties s'efforceront de trouver une solution amiable.</w:t>
      </w:r>
    </w:p>
    <w:p>
      <w:r>
        <w:rPr>
          <w:sz w:val="22"/>
        </w:rPr>
        <w:t>À défaut d'accord amiable, le litige sera porté devant le Tribunal Administratif de Paris, seul compétent pour connaître des litiges entre l'Acheteur et le Titulaire.</w:t>
      </w:r>
    </w:p>
    <w:p/>
    <w:p>
      <w:pPr>
        <w:pStyle w:val="Heading2"/>
      </w:pPr>
      <w:r>
        <w:rPr>
          <w:b/>
          <w:color w:val="6B0F4C"/>
          <w:sz w:val="26"/>
        </w:rPr>
        <w:t>15. LANGUE DES DOCUMENTS</w:t>
      </w:r>
    </w:p>
    <w:p/>
    <w:p>
      <w:r>
        <w:rPr>
          <w:sz w:val="22"/>
        </w:rPr>
        <w:t>[À PRÉCISER : La langue des documents doit être définie. Voici une proposition.]</w:t>
      </w:r>
    </w:p>
    <w:p/>
    <w:p>
      <w:r>
        <w:rPr>
          <w:sz w:val="22"/>
        </w:rPr>
        <w:t>La langue du marché est le français. Tous les documents relatifs à la consultation, à l'exécution du marché, ainsi que toutes les correspondances et communications entre les parties, devront être rédigés en langue française.</w:t>
      </w:r>
    </w:p>
    <w:p>
      <w:r>
        <w:rPr>
          <w:sz w:val="22"/>
        </w:rPr>
        <w:t>Tout document rédigé dans une autre langue devra être accompagné d'une traduction certifiée conforme à l'original par un traducteur assermenté, aux frais de la partie qui le produit.</w:t>
      </w:r>
    </w:p>
    <w:p/>
    <w:p>
      <w:pPr>
        <w:pStyle w:val="Heading2"/>
      </w:pPr>
      <w:r>
        <w:rPr>
          <w:b/>
          <w:color w:val="6B0F4C"/>
          <w:sz w:val="26"/>
        </w:rPr>
        <w:t>16. CONFIDENTIALITÉ</w:t>
      </w:r>
    </w:p>
    <w:p/>
    <w:p>
      <w:r>
        <w:rPr>
          <w:sz w:val="22"/>
        </w:rPr>
        <w:t>[À PRÉCISER : La clause de confidentialité doit être définie. Voici une proposition.]</w:t>
      </w:r>
    </w:p>
    <w:p/>
    <w:p>
      <w:r>
        <w:rPr>
          <w:sz w:val="22"/>
        </w:rPr>
        <w:t>Le Titulaire s'engage à considérer comme strictement confidentielles toutes les informations, données, documents, méthodes, savoir-faire et tout élément porté à sa connaissance dans le cadre de l'exécution du marché, qu'ils soient de nature technique, commerciale, financière ou administrative, et ce, pendant toute la durée du marché et pour une durée de [À PRÉCISER : ex: cinq (5) ans] après son terme.</w:t>
      </w:r>
    </w:p>
    <w:p>
      <w:r>
        <w:rPr>
          <w:sz w:val="22"/>
        </w:rPr>
        <w:t>Le Titulaire s'interdit de divulguer ces informations à des tiers, de les utiliser à d'autres fins que l'exécution du marché, ou d'en faire des copies non autorisées. Cette obligation s'étend à son personnel et à ses éventuels sous-traitants.</w:t>
      </w:r>
    </w:p>
    <w:p>
      <w:r>
        <w:rPr>
          <w:sz w:val="22"/>
        </w:rPr>
        <w:t>L'Acheteur s'engage également à respecter la confidentialité des informations du Titulaire identifiées comme telles.</w:t>
      </w:r>
    </w:p>
    <w:p/>
    <w:p>
      <w:pPr>
        <w:pStyle w:val="Heading2"/>
      </w:pPr>
      <w:r>
        <w:rPr>
          <w:b/>
          <w:color w:val="6B0F4C"/>
          <w:sz w:val="26"/>
        </w:rPr>
        <w:t>17. PROTECTION DES DONNÉES À CARACTÈRE PERSONNEL</w:t>
      </w:r>
    </w:p>
    <w:p/>
    <w:p>
      <w:r>
        <w:rPr>
          <w:sz w:val="22"/>
        </w:rPr>
        <w:t>17.1. Cadre légal</w:t>
      </w:r>
    </w:p>
    <w:p>
      <w:r>
        <w:rPr>
          <w:sz w:val="22"/>
        </w:rPr>
        <w:t>Les parties s'engagent à respecter les dispositions du Règlement (UE) 2016/679 du Parlement européen et du Conseil du 27 avril 2016 relatif à la protection des personnes physiques à l'égard du traitement des données à caractère personnel et à la libre circulation de ces données (RGPD), ainsi que la loi n° 78-17 du 6 janvier 1978 relative à l'informatique, aux fichiers et aux libertés, modifiée.</w:t>
      </w:r>
    </w:p>
    <w:p/>
    <w:p>
      <w:r>
        <w:rPr>
          <w:sz w:val="22"/>
        </w:rPr>
        <w:t>17.2. Rôles des parties</w:t>
      </w:r>
    </w:p>
    <w:p>
      <w:r>
        <w:rPr>
          <w:sz w:val="22"/>
        </w:rPr>
        <w:t>Dans le cadre de l'exécution du marché, France Travail agit en qualité de responsable de traitement des données à caractère personnel. Le Titulaire agit en qualité de sous-traitant de France Travail pour les traitements de données nécessaires à l'exécution des prestations, notamment la gestion des accès par badge RFID, l'historique des charges des usagers et la monétisation.</w:t>
      </w:r>
    </w:p>
    <w:p/>
    <w:p>
      <w:r>
        <w:rPr>
          <w:sz w:val="22"/>
        </w:rPr>
        <w:t>17.3. Obligations du Titulaire en tant que sous-traitant</w:t>
      </w:r>
    </w:p>
    <w:p>
      <w:r>
        <w:rPr>
          <w:sz w:val="22"/>
        </w:rPr>
        <w:t>Le Titulaire s'engage à :</w:t>
      </w:r>
    </w:p>
    <w:p>
      <w:pPr>
        <w:pStyle w:val="ListBullet"/>
      </w:pPr>
      <w:r>
        <w:rPr>
          <w:sz w:val="22"/>
        </w:rPr>
        <w:t>Traiter les données à caractère personnel uniquement sur instruction documentée de France Travail, y compris en ce qui concerne les transferts de données hors de l'Union européenne.</w:t>
      </w:r>
    </w:p>
    <w:p>
      <w:pPr>
        <w:pStyle w:val="ListBullet"/>
      </w:pPr>
      <w:r>
        <w:rPr>
          <w:sz w:val="22"/>
        </w:rPr>
        <w:t>Veiller à ce que les personnes autorisées à traiter les données à caractère personnel s'engagent à respecter la confidentialité ou soient soumises à une obligation légale appropriée de confidentialité.</w:t>
      </w:r>
    </w:p>
    <w:p>
      <w:pPr>
        <w:pStyle w:val="ListBullet"/>
      </w:pPr>
      <w:r>
        <w:rPr>
          <w:sz w:val="22"/>
        </w:rPr>
        <w:t>Prendre toutes les mesures de sécurité techniques et organisationnelles appropriées pour garantir un niveau de sécurité adapté au risque, conformément à l'article 32 du RGPD.</w:t>
      </w:r>
    </w:p>
    <w:p>
      <w:pPr>
        <w:pStyle w:val="ListBullet"/>
      </w:pPr>
      <w:r>
        <w:rPr>
          <w:sz w:val="22"/>
        </w:rPr>
        <w:t>Assister France Travail pour la réalisation d'analyses d'impact relatives à la protection des données (AIPD) si nécessaire.</w:t>
      </w:r>
    </w:p>
    <w:p>
      <w:pPr>
        <w:pStyle w:val="ListBullet"/>
      </w:pPr>
      <w:r>
        <w:rPr>
          <w:sz w:val="22"/>
        </w:rPr>
        <w:t>Assister France Travail pour la prise en compte des droits des personnes concernées (droit d'accès, de rectification, d'effacement, d'opposition, de limitation, de portabilité).</w:t>
      </w:r>
    </w:p>
    <w:p>
      <w:pPr>
        <w:pStyle w:val="ListBullet"/>
      </w:pPr>
      <w:r>
        <w:rPr>
          <w:sz w:val="22"/>
        </w:rPr>
        <w:t>Notifier à France Travail toute violation de données à caractère personnel dans les meilleurs délais après en avoir pris connaissance.</w:t>
      </w:r>
    </w:p>
    <w:p>
      <w:pPr>
        <w:pStyle w:val="ListBullet"/>
      </w:pPr>
      <w:r>
        <w:rPr>
          <w:sz w:val="22"/>
        </w:rPr>
        <w:t>Restituer ou détruire toutes les données à caractère personnel à la fin du marché, selon les instructions de France Travail, et supprimer les copies existantes.</w:t>
      </w:r>
    </w:p>
    <w:p>
      <w:pPr>
        <w:pStyle w:val="ListBullet"/>
      </w:pPr>
      <w:r>
        <w:rPr>
          <w:sz w:val="22"/>
        </w:rPr>
        <w:t>Mettre à la disposition de France Travail toutes les informations nécessaires pour démontrer le respect de ses obligations et permettre la réalisation d'audits.</w:t>
      </w:r>
    </w:p>
    <w:p>
      <w:pPr>
        <w:pStyle w:val="ListBullet"/>
      </w:pPr>
      <w:r>
        <w:rPr>
          <w:sz w:val="22"/>
        </w:rPr>
        <w:t>Ne pas faire appel à un autre sous-traitant sans l'autorisation écrite préalable et spécifique de France Travail.</w:t>
      </w:r>
    </w:p>
    <w:p/>
    <w:p>
      <w:r>
        <w:rPr>
          <w:sz w:val="22"/>
        </w:rPr>
        <w:t>17.4. Description des traitements</w:t>
      </w:r>
    </w:p>
    <w:p>
      <w:r>
        <w:rPr>
          <w:sz w:val="22"/>
        </w:rPr>
        <w:t>Les données traitées incluent notamment :</w:t>
      </w:r>
    </w:p>
    <w:p>
      <w:pPr>
        <w:pStyle w:val="ListBullet"/>
      </w:pPr>
      <w:r>
        <w:rPr>
          <w:sz w:val="22"/>
        </w:rPr>
        <w:t>Données d'identification des utilisateurs/usagers : Nom, prénom, identifiant RFID, adresse e-mail (pour les agents demandant un badge personnel).</w:t>
      </w:r>
    </w:p>
    <w:p>
      <w:pPr>
        <w:pStyle w:val="ListBullet"/>
      </w:pPr>
      <w:r>
        <w:rPr>
          <w:sz w:val="22"/>
        </w:rPr>
        <w:t>Données de consommation : Historique des charges (date, heure, durée, kW/h utilisés, lieu de branchement).</w:t>
      </w:r>
    </w:p>
    <w:p>
      <w:pPr>
        <w:pStyle w:val="ListBullet"/>
      </w:pPr>
      <w:r>
        <w:rPr>
          <w:sz w:val="22"/>
        </w:rPr>
        <w:t>Données de paiement : Informations nécessaires à la monétisation des recharges (si activée).</w:t>
      </w:r>
    </w:p>
    <w:p/>
    <w:p>
      <w:r>
        <w:rPr>
          <w:sz w:val="22"/>
        </w:rPr>
        <w:t>Les finalités de ces traitements sont la gestion des accès aux bornes, la facturation des recharges, le suivi de l'utilisation des IRVE et la maintenance.</w:t>
      </w:r>
    </w:p>
    <w:p/>
    <w:p>
      <w:r>
        <w:rPr>
          <w:sz w:val="22"/>
        </w:rPr>
        <w:t>---</w:t>
      </w:r>
    </w:p>
    <w:p>
      <w:r>
        <w:rPr>
          <w:sz w:val="22"/>
        </w:rPr>
        <w:t>Fait à [À PRÉCISER : Ville], le [À PRÉCISER : Date]</w:t>
      </w:r>
    </w:p>
    <w:p/>
    <w:p>
      <w:r>
        <w:rPr>
          <w:sz w:val="22"/>
        </w:rPr>
        <w:t>Pour France Travail</w:t>
      </w:r>
    </w:p>
    <w:p>
      <w:r>
        <w:rPr>
          <w:sz w:val="22"/>
        </w:rPr>
        <w:t>[Nom et fonction du représentant habilité]</w:t>
      </w:r>
    </w:p>
    <w:p>
      <w:r>
        <w:rPr>
          <w:sz w:val="22"/>
        </w:rPr>
        <w:t>[Signature]</w:t>
      </w:r>
    </w:p>
    <w:p/>
    <w:p>
      <w:r>
        <w:rPr>
          <w:sz w:val="22"/>
        </w:rPr>
        <w:t>Pour le Titulaire</w:t>
      </w:r>
    </w:p>
    <w:p>
      <w:r>
        <w:rPr>
          <w:sz w:val="22"/>
        </w:rPr>
        <w:t>[Nom et fonction du représentant habilité]</w:t>
      </w:r>
    </w:p>
    <w:p>
      <w:r>
        <w:rPr>
          <w:sz w:val="22"/>
        </w:rPr>
        <w:t>[Signature]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