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A56DB"/>
          <w:sz w:val="32"/>
        </w:rPr>
        <w:t>CAHIER DES CLAUSES TECHNIQUES PARTICULIÈRES (CCTP)</w:t>
      </w:r>
    </w:p>
    <w:p>
      <w:r>
        <w:t>Généré automatiquement pour N2IGC le 09/07/2026 - Structure Validée</w:t>
        <w:br/>
      </w:r>
    </w:p>
    <w:p>
      <w:r>
        <w:rPr>
          <w:sz w:val="22"/>
        </w:rPr>
        <w:t>En tant qu'ingénieur principal expert en rédaction de CCTP, je vous propose la rédaction suivante, intégrant toutes les informations des documents fournis et respectant scrupuleusement la structure imposée.</w:t>
      </w:r>
    </w:p>
    <w:p/>
    <w:p>
      <w:r>
        <w:rPr>
          <w:sz w:val="22"/>
        </w:rPr>
        <w:t>---</w:t>
      </w:r>
    </w:p>
    <w:p/>
    <w:p>
      <w:r>
        <w:rPr>
          <w:sz w:val="22"/>
        </w:rPr>
        <w:t>CAHIER DES CLAUSES TECHNIQUES PARTICULIÈRES (CCTP)</w:t>
      </w:r>
    </w:p>
    <w:p/>
    <w:p>
      <w:r>
        <w:rPr>
          <w:sz w:val="22"/>
        </w:rPr>
        <w:t>MARCHÉ DE FOURNITURE, D’INSTALLATION, DE MAINTENANCE ET DE SUPERVISION D’INFRASTRUCTURES DE RECHARGE DE VÉHICULE ÉLECTRIQUE</w:t>
      </w:r>
    </w:p>
    <w:p/>
    <w:p>
      <w:r>
        <w:rPr>
          <w:sz w:val="22"/>
        </w:rPr>
        <w:t>N° DE CONSULTATION : 010.26 - MARCHÉ BORNES ÉLECTRIQUES</w:t>
      </w:r>
    </w:p>
    <w:p/>
    <w:p>
      <w:r>
        <w:rPr>
          <w:sz w:val="22"/>
        </w:rPr>
        <w:t>---</w:t>
      </w:r>
    </w:p>
    <w:p/>
    <w:p>
      <w:pPr>
        <w:pStyle w:val="Heading2"/>
      </w:pPr>
      <w:r>
        <w:rPr>
          <w:b/>
          <w:color w:val="6B0F4C"/>
          <w:sz w:val="26"/>
        </w:rPr>
        <w:t>1. PRÉAMBULE ET OBJET DU MARCHÉ</w:t>
      </w:r>
    </w:p>
    <w:p/>
    <w:p>
      <w:pPr>
        <w:pStyle w:val="Heading2"/>
      </w:pPr>
      <w:r>
        <w:rPr>
          <w:b/>
          <w:color w:val="6B0F4C"/>
          <w:sz w:val="26"/>
        </w:rPr>
        <w:t>1.1. Contexte</w:t>
      </w:r>
    </w:p>
    <w:p>
      <w:r>
        <w:rPr>
          <w:sz w:val="22"/>
        </w:rPr>
        <w:t>France Travail, établissement public administratif issu de la transformation de Pôle emploi au 1er janvier 2024, est un acteur majeur du marché de l'emploi en France. Dans le cadre de sa politique de transition énergétique et du renouvellement de sa flotte automobile, France Travail s'engage à équiper progressivement ses sites d'Infrastructures de Recharge pour Véhicules Électriques (IRVE) et à mettre en place une solution de supervision centralisée de ces infrastructures. La flotte de France Travail comprend environ 900 véhicules de services et 120 véhicules de fonction, dont le renouvellement s'oriente vers des véhicules électriques, sauf incompatibilité fonctionnelle avérée. Ces véhicules sont répartis sur l'ensemble des directions régionales, territoriales et agences de France Travail. Le présent marché s'inscrit dans cette démarche globale visant à soutenir la mobilité électrique de ses agents et à optimiser la gestion de ses infrastructures de recharge.</w:t>
      </w:r>
    </w:p>
    <w:p/>
    <w:p>
      <w:pPr>
        <w:pStyle w:val="Heading2"/>
      </w:pPr>
      <w:r>
        <w:rPr>
          <w:b/>
          <w:color w:val="6B0F4C"/>
          <w:sz w:val="26"/>
        </w:rPr>
        <w:t>1.2. Objet Détaillé du Marché</w:t>
      </w:r>
    </w:p>
    <w:p>
      <w:r>
        <w:rPr>
          <w:sz w:val="22"/>
        </w:rPr>
        <w:t>Le présent marché a pour objet la fourniture, l'installation, la maintenance et la supervision d'Infrastructures de Recharge de Véhicules Électriques (IRVE) pour les sites de France Travail. Il inclut également la reprise en gestion, maintenance et supervision du parc IRVE existant, ainsi que la mise en œuvre d'un système de monétisation pour la recharge des véhicules personnels des agents de France Travail.</w:t>
      </w:r>
    </w:p>
    <w:p/>
    <w:p>
      <w:r>
        <w:rPr>
          <w:sz w:val="22"/>
        </w:rPr>
        <w:t>Les prestations attendues se déclinent en plusieurs catégories principales :</w:t>
      </w:r>
    </w:p>
    <w:p>
      <w:pPr>
        <w:pStyle w:val="ListBullet"/>
      </w:pPr>
      <w:r>
        <w:rPr>
          <w:sz w:val="22"/>
        </w:rPr>
        <w:t>Fourniture d’IRVE : Acquisition de bornes de recharge conformes aux spécifications techniques détaillées.</w:t>
      </w:r>
    </w:p>
    <w:p>
      <w:pPr>
        <w:pStyle w:val="ListBullet"/>
      </w:pPr>
      <w:r>
        <w:rPr>
          <w:sz w:val="22"/>
        </w:rPr>
        <w:t>Installation et mise en service des IRVE : Réalisation de l'ensemble des travaux de génie civil, de raccordement électrique et d'installation des équipements, jusqu'à la mise en service opérationnelle des bornes.</w:t>
      </w:r>
    </w:p>
    <w:p>
      <w:pPr>
        <w:pStyle w:val="ListBullet"/>
      </w:pPr>
      <w:r>
        <w:rPr>
          <w:sz w:val="22"/>
        </w:rPr>
        <w:t>Maintenance des IRVE : Assurer la maintenance préventive et corrective des infrastructures, garantissant leur bon fonctionnement et leur pérennité.</w:t>
      </w:r>
    </w:p>
    <w:p>
      <w:pPr>
        <w:pStyle w:val="ListBullet"/>
      </w:pPr>
      <w:r>
        <w:rPr>
          <w:sz w:val="22"/>
        </w:rPr>
        <w:t>Supervision des IRVE : Mise à disposition et gestion d'un système de supervision permettant le pilotage, le suivi et l'optimisation des bornes de recharge.</w:t>
      </w:r>
    </w:p>
    <w:p>
      <w:pPr>
        <w:pStyle w:val="ListBullet"/>
      </w:pPr>
      <w:r>
        <w:rPr>
          <w:sz w:val="22"/>
        </w:rPr>
        <w:t>Reprise de la gestion, de la maintenance et de la supervision du parc IRVE existant : Intégration des bornes déjà en place dans le dispositif global du marché.</w:t>
      </w:r>
    </w:p>
    <w:p>
      <w:pPr>
        <w:pStyle w:val="ListBullet"/>
      </w:pPr>
      <w:r>
        <w:rPr>
          <w:sz w:val="22"/>
        </w:rPr>
        <w:t>Mise en œuvre de la charge payante : Déploiement d'une solution de monétisation pour la recharge des véhicules personnels des agents de France Travail sur les bornes installées.</w:t>
      </w:r>
    </w:p>
    <w:p/>
    <w:p>
      <w:pPr>
        <w:pStyle w:val="Heading2"/>
      </w:pPr>
      <w:r>
        <w:rPr>
          <w:b/>
          <w:color w:val="6B0F4C"/>
          <w:sz w:val="26"/>
        </w:rPr>
        <w:t>1.3. Périmètre du Marché</w:t>
      </w:r>
    </w:p>
    <w:p>
      <w:pPr>
        <w:pStyle w:val="ListBullet"/>
      </w:pPr>
      <w:r>
        <w:rPr>
          <w:sz w:val="22"/>
        </w:rPr>
        <w:t>Périmètre territorial : Le marché concerne l'ensemble des directions régionales de France Travail pour la France métropolitaine et la Corse.</w:t>
      </w:r>
    </w:p>
    <w:p>
      <w:pPr>
        <w:pStyle w:val="ListBullet"/>
      </w:pPr>
      <w:r>
        <w:rPr>
          <w:sz w:val="22"/>
        </w:rPr>
        <w:t>Périmètre fonctionnel : Le marché couvre la fourniture, la maintenance préventive et curative, la supervision des IRVE de France Travail, la reprise du parc existant de bornes en supervision et en maintenance, ainsi que la monétisation de la recharge des véhicules personnels des agents France Travail.</w:t>
      </w:r>
    </w:p>
    <w:p>
      <w:pPr>
        <w:pStyle w:val="ListBullet"/>
      </w:pPr>
      <w:r>
        <w:rPr>
          <w:sz w:val="22"/>
        </w:rPr>
        <w:t>Exclusions : Le marché ne concerne pas les sites situés dans les Départements et Régions d'Outre-Mer (DOM/ROM).</w:t>
      </w:r>
    </w:p>
    <w:p/>
    <w:p>
      <w:pPr>
        <w:pStyle w:val="Heading2"/>
      </w:pPr>
      <w:r>
        <w:rPr>
          <w:b/>
          <w:color w:val="6B0F4C"/>
          <w:sz w:val="26"/>
        </w:rPr>
        <w:t>1.4. Volumétrie</w:t>
      </w:r>
    </w:p>
    <w:p>
      <w:r>
        <w:rPr>
          <w:sz w:val="22"/>
        </w:rPr>
        <w:t>Les informations ci-dessous sont fournies à titre indicatif, basées sur une étude des besoins de France Travail :</w:t>
      </w:r>
    </w:p>
    <w:p/>
    <w:p>
      <w:r>
        <w:rPr>
          <w:sz w:val="22"/>
        </w:rPr>
        <w:t>| Catégorie             | Nombre de sites                                | Nombre de points de charge                                 |</w:t>
      </w:r>
    </w:p>
    <w:p>
      <w:r>
        <w:rPr>
          <w:sz w:val="22"/>
        </w:rPr>
        <w:t>| :-------------------- | :--------------------------------------------- | :--------------------------------------------------------- |</w:t>
      </w:r>
    </w:p>
    <w:p>
      <w:r>
        <w:rPr>
          <w:sz w:val="22"/>
        </w:rPr>
        <w:t>| Marché actuel         | 343 (dont 62 sites à points de charge multiples) | 454 (dont 182 points de charge répartis sur les 62 sites) |</w:t>
      </w:r>
    </w:p>
    <w:p>
      <w:r>
        <w:rPr>
          <w:sz w:val="22"/>
        </w:rPr>
        <w:t>| Parc non supervisé    | NC                                             | 105 bornes                                                 |</w:t>
      </w:r>
    </w:p>
    <w:p>
      <w:r>
        <w:rPr>
          <w:sz w:val="22"/>
        </w:rPr>
        <w:t>| Nouveau marché (estimé sur 3 ans) | 400 sites                                      | 600 points de charge                                       |</w:t>
      </w:r>
    </w:p>
    <w:p/>
    <w:p>
      <w:pPr>
        <w:pStyle w:val="Heading2"/>
      </w:pPr>
      <w:r>
        <w:rPr>
          <w:b/>
          <w:color w:val="6B0F4C"/>
          <w:sz w:val="26"/>
        </w:rPr>
        <w:t>2. DÉFINITIONS ET ACRONYMES</w:t>
      </w:r>
    </w:p>
    <w:p/>
    <w:p>
      <w:r>
        <w:rPr>
          <w:sz w:val="22"/>
        </w:rPr>
        <w:t>Afin de faciliter la compréhension du présent document, les définitions et acronymes suivants sont utilisés :</w:t>
      </w:r>
    </w:p>
    <w:p/>
    <w:p>
      <w:pPr>
        <w:pStyle w:val="ListBullet"/>
      </w:pPr>
      <w:r>
        <w:rPr>
          <w:sz w:val="22"/>
        </w:rPr>
        <w:t>AC : Courant Alternatif (Alternating Current).</w:t>
      </w:r>
    </w:p>
    <w:p>
      <w:pPr>
        <w:pStyle w:val="ListBullet"/>
      </w:pPr>
      <w:r>
        <w:rPr>
          <w:sz w:val="22"/>
        </w:rPr>
        <w:t>AURORE : Code interne à France Travail, composé de 4 caractères numériques, permettant d'identifier chaque site.</w:t>
      </w:r>
    </w:p>
    <w:p>
      <w:pPr>
        <w:pStyle w:val="ListBullet"/>
      </w:pPr>
      <w:r>
        <w:rPr>
          <w:sz w:val="22"/>
        </w:rPr>
        <w:t>BPU : Bordereau des Prix Unitaires.</w:t>
      </w:r>
    </w:p>
    <w:p>
      <w:pPr>
        <w:pStyle w:val="ListBullet"/>
      </w:pPr>
      <w:r>
        <w:rPr>
          <w:sz w:val="22"/>
        </w:rPr>
        <w:t>CB : Certification de conformité aux normes de sécurité électrique.</w:t>
      </w:r>
    </w:p>
    <w:p>
      <w:pPr>
        <w:pStyle w:val="ListBullet"/>
      </w:pPr>
      <w:r>
        <w:rPr>
          <w:sz w:val="22"/>
        </w:rPr>
        <w:t>CCFT : Cahier des Clauses Fonctionnelles et Techniques (le présent document).</w:t>
      </w:r>
    </w:p>
    <w:p>
      <w:pPr>
        <w:pStyle w:val="ListBullet"/>
      </w:pPr>
      <w:r>
        <w:rPr>
          <w:sz w:val="22"/>
        </w:rPr>
        <w:t>CE : Conformité Européenne.</w:t>
      </w:r>
    </w:p>
    <w:p>
      <w:pPr>
        <w:pStyle w:val="ListBullet"/>
      </w:pPr>
      <w:r>
        <w:rPr>
          <w:sz w:val="22"/>
        </w:rPr>
        <w:t>CSPS : Coordonnateur en matière de Sécurité et de Protection de la Santé.</w:t>
      </w:r>
    </w:p>
    <w:p>
      <w:pPr>
        <w:pStyle w:val="ListBullet"/>
      </w:pPr>
      <w:r>
        <w:rPr>
          <w:sz w:val="22"/>
        </w:rPr>
        <w:t>DAM : Direction des Achats et des Marchés (France Travail).</w:t>
      </w:r>
    </w:p>
    <w:p>
      <w:pPr>
        <w:pStyle w:val="ListBullet"/>
      </w:pPr>
      <w:r>
        <w:rPr>
          <w:sz w:val="22"/>
        </w:rPr>
        <w:t>DOE : Dossier des Ouvrages Exécutés.</w:t>
      </w:r>
    </w:p>
    <w:p>
      <w:pPr>
        <w:pStyle w:val="ListBullet"/>
      </w:pPr>
      <w:r>
        <w:rPr>
          <w:sz w:val="22"/>
        </w:rPr>
        <w:t>DR : Direction Régionale (de France Travail).</w:t>
      </w:r>
    </w:p>
    <w:p>
      <w:pPr>
        <w:pStyle w:val="ListBullet"/>
      </w:pPr>
      <w:r>
        <w:rPr>
          <w:sz w:val="22"/>
        </w:rPr>
        <w:t>EV Ready : Label de certification pour les infrastructures de recharge de véhicules électriques, garantissant leur interopérabilité et leur sécurité.</w:t>
      </w:r>
    </w:p>
    <w:p>
      <w:pPr>
        <w:pStyle w:val="ListBullet"/>
      </w:pPr>
      <w:r>
        <w:rPr>
          <w:sz w:val="22"/>
        </w:rPr>
        <w:t>FR : Code pays pour la France.</w:t>
      </w:r>
    </w:p>
    <w:p>
      <w:pPr>
        <w:pStyle w:val="ListBullet"/>
      </w:pPr>
      <w:r>
        <w:rPr>
          <w:sz w:val="22"/>
        </w:rPr>
        <w:t>IK 10 : Indice de protection contre les chocs mécaniques (résistance à un impact de 20 joules).</w:t>
      </w:r>
    </w:p>
    <w:p>
      <w:pPr>
        <w:pStyle w:val="ListBullet"/>
      </w:pPr>
      <w:r>
        <w:rPr>
          <w:sz w:val="22"/>
        </w:rPr>
        <w:t>INSEE : Institut National de la Statistique et des Études Économiques.</w:t>
      </w:r>
    </w:p>
    <w:p>
      <w:pPr>
        <w:pStyle w:val="ListBullet"/>
      </w:pPr>
      <w:r>
        <w:rPr>
          <w:sz w:val="22"/>
        </w:rPr>
        <w:t>IP 55 : Indice de protection contre la pénétration de corps solides (poussière) et liquides (jets d'eau).</w:t>
      </w:r>
    </w:p>
    <w:p>
      <w:pPr>
        <w:pStyle w:val="ListBullet"/>
      </w:pPr>
      <w:r>
        <w:rPr>
          <w:sz w:val="22"/>
        </w:rPr>
        <w:t>IRVE : Infrastructure de Recharge de Véhicule Électrique.</w:t>
      </w:r>
    </w:p>
    <w:p>
      <w:pPr>
        <w:pStyle w:val="ListBullet"/>
      </w:pPr>
      <w:r>
        <w:rPr>
          <w:sz w:val="22"/>
        </w:rPr>
        <w:t>kW/h : Kilowatt-heure, unité de mesure de l'énergie électrique consommée.</w:t>
      </w:r>
    </w:p>
    <w:p>
      <w:pPr>
        <w:pStyle w:val="ListBullet"/>
      </w:pPr>
      <w:r>
        <w:rPr>
          <w:sz w:val="22"/>
        </w:rPr>
        <w:t>MID : Measuring Instruments Directive, certification pour les compteurs d'énergie électrique.</w:t>
      </w:r>
    </w:p>
    <w:p>
      <w:pPr>
        <w:pStyle w:val="ListBullet"/>
      </w:pPr>
      <w:r>
        <w:rPr>
          <w:sz w:val="22"/>
        </w:rPr>
        <w:t>OCPP : Open Charge Point Protocol, protocole de communication standard pour les bornes de recharge.</w:t>
      </w:r>
    </w:p>
    <w:p>
      <w:pPr>
        <w:pStyle w:val="ListBullet"/>
      </w:pPr>
      <w:r>
        <w:rPr>
          <w:sz w:val="22"/>
        </w:rPr>
        <w:t>P : Point de charge (utilisé dans la codification).</w:t>
      </w:r>
    </w:p>
    <w:p>
      <w:pPr>
        <w:pStyle w:val="ListBullet"/>
      </w:pPr>
      <w:r>
        <w:rPr>
          <w:sz w:val="22"/>
        </w:rPr>
        <w:t>PMR : Personnes à Mobilité Réduite.</w:t>
      </w:r>
    </w:p>
    <w:p>
      <w:pPr>
        <w:pStyle w:val="ListBullet"/>
      </w:pPr>
      <w:r>
        <w:rPr>
          <w:sz w:val="22"/>
        </w:rPr>
        <w:t>RFID : Radio Frequency Identification, technologie d'identification par radiofréquence (badges).</w:t>
      </w:r>
    </w:p>
    <w:p>
      <w:pPr>
        <w:pStyle w:val="ListBullet"/>
      </w:pPr>
      <w:r>
        <w:rPr>
          <w:sz w:val="22"/>
        </w:rPr>
        <w:t>RSE : Responsabilité Sociale et Environnementale.</w:t>
      </w:r>
    </w:p>
    <w:p>
      <w:pPr>
        <w:pStyle w:val="ListBullet"/>
      </w:pPr>
      <w:r>
        <w:rPr>
          <w:sz w:val="22"/>
        </w:rPr>
        <w:t>S : Station de recharge (utilisé dans la codification).</w:t>
      </w:r>
    </w:p>
    <w:p>
      <w:pPr>
        <w:pStyle w:val="ListBullet"/>
      </w:pPr>
      <w:r>
        <w:rPr>
          <w:sz w:val="22"/>
        </w:rPr>
        <w:t>SAAS : Software As A Service, logiciel en tant que service.</w:t>
      </w:r>
    </w:p>
    <w:p>
      <w:pPr>
        <w:pStyle w:val="ListBullet"/>
      </w:pPr>
      <w:r>
        <w:rPr>
          <w:sz w:val="22"/>
        </w:rPr>
        <w:t>SAP : Système d'information de gestion intégré (utilisé pour les bons de commande).</w:t>
      </w:r>
    </w:p>
    <w:p>
      <w:pPr>
        <w:pStyle w:val="ListBullet"/>
      </w:pPr>
      <w:r>
        <w:rPr>
          <w:sz w:val="22"/>
        </w:rPr>
        <w:t>SIM M&amp;M : Carte SIM Machine to Machine, carte SIM dédiée à la communication entre machines.</w:t>
      </w:r>
    </w:p>
    <w:p>
      <w:pPr>
        <w:pStyle w:val="ListBullet"/>
      </w:pPr>
      <w:r>
        <w:rPr>
          <w:sz w:val="22"/>
        </w:rPr>
        <w:t>TGBT : Tableau Général Basse Tension.</w:t>
      </w:r>
    </w:p>
    <w:p>
      <w:pPr>
        <w:pStyle w:val="ListBullet"/>
      </w:pPr>
      <w:r>
        <w:rPr>
          <w:sz w:val="22"/>
        </w:rPr>
        <w:t>Titulaire : L'entreprise attributaire du marché.</w:t>
      </w:r>
    </w:p>
    <w:p>
      <w:pPr>
        <w:pStyle w:val="ListBullet"/>
      </w:pPr>
      <w:r>
        <w:rPr>
          <w:sz w:val="22"/>
        </w:rPr>
        <w:t>Usager : Toute personne utilisant les bornes de recharge.</w:t>
      </w:r>
    </w:p>
    <w:p>
      <w:pPr>
        <w:pStyle w:val="ListBullet"/>
      </w:pPr>
      <w:r>
        <w:rPr>
          <w:sz w:val="22"/>
        </w:rPr>
        <w:t>Utilisateur : Agent de France Travail utilisant les bornes de recharge.</w:t>
      </w:r>
    </w:p>
    <w:p>
      <w:pPr>
        <w:pStyle w:val="ListBullet"/>
      </w:pPr>
      <w:r>
        <w:rPr>
          <w:sz w:val="22"/>
        </w:rPr>
        <w:t>UV : Ultra-Violets.</w:t>
      </w:r>
    </w:p>
    <w:p>
      <w:pPr>
        <w:pStyle w:val="ListBullet"/>
      </w:pPr>
      <w:r>
        <w:rPr>
          <w:sz w:val="22"/>
        </w:rPr>
        <w:t>VE : Véhicule Électrique.</w:t>
      </w:r>
    </w:p>
    <w:p/>
    <w:p>
      <w:pPr>
        <w:pStyle w:val="Heading2"/>
      </w:pPr>
      <w:r>
        <w:rPr>
          <w:b/>
          <w:color w:val="6B0F4C"/>
          <w:sz w:val="26"/>
        </w:rPr>
        <w:t>3. DOCUMENTS DE RÉFÉRENCE</w:t>
      </w:r>
    </w:p>
    <w:p/>
    <w:p>
      <w:r>
        <w:rPr>
          <w:sz w:val="22"/>
        </w:rPr>
        <w:t>Les documents contractuels régissant le présent marché sont, par ordre de priorité décroissant :</w:t>
      </w:r>
    </w:p>
    <w:p/>
    <w:p>
      <w:r>
        <w:rPr>
          <w:sz w:val="22"/>
        </w:rPr>
        <w:t>1.  Le Cahier des Clauses Administratives Particulières (CCAP).</w:t>
      </w:r>
    </w:p>
    <w:p>
      <w:r>
        <w:rPr>
          <w:sz w:val="22"/>
        </w:rPr>
        <w:t>2.  Le présent Cahier des Clauses Techniques Particulières (CCTP).</w:t>
      </w:r>
    </w:p>
    <w:p>
      <w:r>
        <w:rPr>
          <w:sz w:val="22"/>
        </w:rPr>
        <w:t>3.  Le Bordereau des Prix Unitaires (BPU), le Détail Quantitatif Estimatif (DQE) et la Décomposition du Prix Global et Forfaitaire (DPGF).</w:t>
      </w:r>
    </w:p>
    <w:p>
      <w:r>
        <w:rPr>
          <w:sz w:val="22"/>
        </w:rPr>
        <w:t>4.  L'Acte d'Engagement et ses annexes.</w:t>
      </w:r>
    </w:p>
    <w:p>
      <w:r>
        <w:rPr>
          <w:sz w:val="22"/>
        </w:rPr>
        <w:t>5.  L'offre technique et financière du Titulaire.</w:t>
      </w:r>
    </w:p>
    <w:p>
      <w:r>
        <w:rPr>
          <w:sz w:val="22"/>
        </w:rPr>
        <w:t>6.  Les réponses aux questions des candidats (Registre de questions - réponses n°1 du 1er juillet 2026, référence 010.26 - Bornes Electriques Questions réponse n°1 01 07 2026.pdf).</w:t>
      </w:r>
    </w:p>
    <w:p>
      <w:r>
        <w:rPr>
          <w:sz w:val="22"/>
        </w:rPr>
        <w:t>7.  Les décrets n°2017-26 du 12 janvier 2017 et n°2021-546 du 4 mai 2021 relatifs aux infrastructures de recharge pour véhicules électriques.</w:t>
      </w:r>
    </w:p>
    <w:p/>
    <w:p>
      <w:r>
        <w:rPr>
          <w:sz w:val="22"/>
        </w:rPr>
        <w:t>En cas de contradiction entre les documents, les dispositions du document de rang supérieur prévalent.</w:t>
      </w:r>
    </w:p>
    <w:p/>
    <w:p>
      <w:pPr>
        <w:pStyle w:val="Heading2"/>
      </w:pPr>
      <w:r>
        <w:rPr>
          <w:b/>
          <w:color w:val="6B0F4C"/>
          <w:sz w:val="26"/>
        </w:rPr>
        <w:t>4. EXIGENCES GÉNÉRALES ET TRANSVERSALES</w:t>
      </w:r>
    </w:p>
    <w:p/>
    <w:p>
      <w:pPr>
        <w:pStyle w:val="Heading2"/>
      </w:pPr>
      <w:r>
        <w:rPr>
          <w:b/>
          <w:color w:val="6B0F4C"/>
          <w:sz w:val="26"/>
        </w:rPr>
        <w:t>4.1. Garanties</w:t>
      </w:r>
    </w:p>
    <w:p>
      <w:r>
        <w:rPr>
          <w:sz w:val="22"/>
        </w:rPr>
        <w:t>Le Titulaire est soumis aux garanties suivantes :</w:t>
      </w:r>
    </w:p>
    <w:p>
      <w:pPr>
        <w:pStyle w:val="ListBullet"/>
      </w:pPr>
      <w:r>
        <w:rPr>
          <w:sz w:val="22"/>
        </w:rPr>
        <w:t>Garantie contractuelle sur le matériel : D'une durée minimale de deux (2) ans à partir de la réception des prestations (mise en service de l’IRVE). Cette garantie est réputée intégrée dans le coût de fourniture du matériel.</w:t>
      </w:r>
    </w:p>
    <w:p>
      <w:pPr>
        <w:pStyle w:val="ListBullet"/>
      </w:pPr>
      <w:r>
        <w:rPr>
          <w:sz w:val="22"/>
        </w:rPr>
        <w:t>Garantie de parfait achèvement : D'une durée d'un (1) an à compter de la réception des travaux.</w:t>
      </w:r>
    </w:p>
    <w:p>
      <w:pPr>
        <w:pStyle w:val="ListBullet"/>
      </w:pPr>
      <w:r>
        <w:rPr>
          <w:sz w:val="22"/>
        </w:rPr>
        <w:t>Garantie de bon fonctionnement : D'une durée de deux (2) ans à compter de la réception des travaux.</w:t>
      </w:r>
    </w:p>
    <w:p/>
    <w:p>
      <w:pPr>
        <w:pStyle w:val="Heading2"/>
      </w:pPr>
      <w:r>
        <w:rPr>
          <w:b/>
          <w:color w:val="6B0F4C"/>
          <w:sz w:val="26"/>
        </w:rPr>
        <w:t>4.2. Responsabilité Sociale et Environnementale (RSE)</w:t>
      </w:r>
    </w:p>
    <w:p>
      <w:r>
        <w:rPr>
          <w:sz w:val="22"/>
        </w:rPr>
        <w:t>Le Titulaire s'engage à intégrer les principes de la Responsabilité Sociale et Environnementale dans l'exécution de toutes les prestations du marché.</w:t>
      </w:r>
    </w:p>
    <w:p>
      <w:pPr>
        <w:pStyle w:val="ListBullet"/>
      </w:pPr>
      <w:r>
        <w:rPr>
          <w:sz w:val="22"/>
        </w:rPr>
        <w:t>Gestion des déchets : Le Titulaire est responsable du traitement et de l'évacuation de tous les déchets et gravats générés par les travaux, dans le respect des bonnes pratiques RSE et de la réglementation en vigueur.</w:t>
      </w:r>
    </w:p>
    <w:p>
      <w:pPr>
        <w:pStyle w:val="ListBullet"/>
      </w:pPr>
      <w:r>
        <w:rPr>
          <w:sz w:val="22"/>
        </w:rPr>
        <w:t>Matériaux et produits : Le Titulaire veillera à utiliser autant que possible des matières, matériaux et produits ayant un faible impact environnemental. Pour la signalétique horizontale, il utilisera des produits bénéficiant de l'écolabel NF Environnement 331 - Produits de signalisation horizontale ou équivalent.</w:t>
      </w:r>
    </w:p>
    <w:p>
      <w:pPr>
        <w:pStyle w:val="ListBullet"/>
      </w:pPr>
      <w:r>
        <w:rPr>
          <w:sz w:val="22"/>
        </w:rPr>
        <w:t>Insertion sociale : Le Titulaire s'engage à réaliser 3 000 heures d'insertion sociale par année d’exécution du marché, à compter de sa date de notification, quel que soit le nombre de bornes installées au cours de l'année. Cette exigence est prévue à l'article 6.1.2 du contrat.</w:t>
      </w:r>
    </w:p>
    <w:p>
      <w:pPr>
        <w:pStyle w:val="ListBullet"/>
      </w:pPr>
      <w:r>
        <w:rPr>
          <w:sz w:val="22"/>
        </w:rPr>
        <w:t>Charte Achats Responsables de France Travail : Le Titulaire s'engage à respecter les principes de la Charte Achats Responsables de France Travail. Aucun élément complémentaire n'est attendu à ce stade de la procédure concernant la signature de cette charte.</w:t>
      </w:r>
    </w:p>
    <w:p>
      <w:pPr>
        <w:pStyle w:val="ListBullet"/>
      </w:pPr>
      <w:r>
        <w:rPr>
          <w:sz w:val="22"/>
        </w:rPr>
        <w:t>Déclaration du candidat relative à la gestion des droits de l’homme dans ses chaînes d’approvisionnement : Le Titulaire s'engage à compléter et signer le document fourni. Aucun justificatif ou développement complémentaire n'est attendu à ce stade de la procédure.</w:t>
      </w:r>
    </w:p>
    <w:p/>
    <w:p>
      <w:pPr>
        <w:pStyle w:val="Heading2"/>
      </w:pPr>
      <w:r>
        <w:rPr>
          <w:b/>
          <w:color w:val="6B0F4C"/>
          <w:sz w:val="26"/>
        </w:rPr>
        <w:t>4.3. Accessibilité</w:t>
      </w:r>
    </w:p>
    <w:p>
      <w:r>
        <w:rPr>
          <w:sz w:val="22"/>
        </w:rPr>
        <w:t>En tant que de besoin, le Titulaire proposera une solution accessible aux Personnes à Mobilité Réduite (PMR) pour l'ensemble des infrastructures et services.</w:t>
      </w:r>
    </w:p>
    <w:p/>
    <w:p>
      <w:pPr>
        <w:pStyle w:val="Heading2"/>
      </w:pPr>
      <w:r>
        <w:rPr>
          <w:b/>
          <w:color w:val="6B0F4C"/>
          <w:sz w:val="26"/>
        </w:rPr>
        <w:t>4.4. Devoir de Conseil</w:t>
      </w:r>
    </w:p>
    <w:p>
      <w:r>
        <w:rPr>
          <w:sz w:val="22"/>
        </w:rPr>
        <w:t>Le Titulaire est tenu à un devoir de conseil envers France Travail. Il devra informer France Travail de toute évolution technique, réglementaire ou de toute opportunité d'optimisation des infrastructures ou des services. Il devra également alerter France Travail sur toute contrainte ou difficulté prévisible susceptible d'affecter la bonne exécution des prestations.</w:t>
      </w:r>
    </w:p>
    <w:p>
      <w:r>
        <w:rPr>
          <w:sz w:val="22"/>
        </w:rPr>
        <w:t>[À PRÉCISER : Le Titulaire devra proposer des solutions adaptées aux besoins spécifiques de chaque site, en tenant compte des contraintes techniques et budgétaires.]</w:t>
      </w:r>
    </w:p>
    <w:p/>
    <w:p>
      <w:pPr>
        <w:pStyle w:val="Heading2"/>
      </w:pPr>
      <w:r>
        <w:rPr>
          <w:b/>
          <w:color w:val="6B0F4C"/>
          <w:sz w:val="26"/>
        </w:rPr>
        <w:t>4.5. Plan de Progrès</w:t>
      </w:r>
    </w:p>
    <w:p>
      <w:r>
        <w:rPr>
          <w:sz w:val="22"/>
        </w:rPr>
        <w:t>[À PRÉCISER : Le Titulaire s'engage à soumettre annuellement un plan de progrès visant à améliorer la qualité des prestations, l'efficacité opérationnelle, la performance environnementale et l'innovation des solutions proposées. Ce plan sera discuté et validé lors des instances de pilotage du marché.]</w:t>
      </w:r>
    </w:p>
    <w:p/>
    <w:p>
      <w:pPr>
        <w:pStyle w:val="Heading2"/>
      </w:pPr>
      <w:r>
        <w:rPr>
          <w:b/>
          <w:color w:val="6B0F4C"/>
          <w:sz w:val="26"/>
        </w:rPr>
        <w:t>4.6. Devoir d'Information</w:t>
      </w:r>
    </w:p>
    <w:p>
      <w:r>
        <w:rPr>
          <w:sz w:val="22"/>
        </w:rPr>
        <w:t>[À PRÉCISER : Le Titulaire s'engage à informer France Travail de manière proactive et transparente sur l'avancement des prestations, les éventuels retards, les difficultés rencontrées et les mesures correctives mises en œuvre. Il devra également communiquer toute information pertinente concernant la sécurité, la conformité ou l'évolution des équipements et services.]</w:t>
      </w:r>
    </w:p>
    <w:p/>
    <w:p>
      <w:pPr>
        <w:pStyle w:val="Heading2"/>
      </w:pPr>
      <w:r>
        <w:rPr>
          <w:b/>
          <w:color w:val="6B0F4C"/>
          <w:sz w:val="26"/>
        </w:rPr>
        <w:t>5. SPÉCIFICATIONS TECHNIQUES DÉTAILLÉES PAR LOT / PAR MATÉRIEL</w:t>
      </w:r>
    </w:p>
    <w:p/>
    <w:p>
      <w:pPr>
        <w:pStyle w:val="Heading2"/>
      </w:pPr>
      <w:r>
        <w:rPr>
          <w:b/>
          <w:color w:val="6B0F4C"/>
          <w:sz w:val="26"/>
        </w:rPr>
        <w:t>5.1. Spécifications des Infrastructures de Recharge de Véhicule Électrique (IRVE)</w:t>
      </w:r>
    </w:p>
    <w:p/>
    <w:p>
      <w:r>
        <w:rPr>
          <w:sz w:val="22"/>
        </w:rPr>
        <w:t>Les bornes à fournir devront être de type 7 kVA ou 22 kVA, à simple ou double point de recharge, et devront impérativement présenter les caractéristiques suivantes :</w:t>
      </w:r>
    </w:p>
    <w:p/>
    <w:p>
      <w:pPr>
        <w:pStyle w:val="ListBullet"/>
      </w:pPr>
      <w:r>
        <w:rPr>
          <w:sz w:val="22"/>
        </w:rPr>
        <w:t>Type d'installation : Être conçues pour être posées en intérieur ou en extérieur, sur un pied ou en façade.</w:t>
      </w:r>
    </w:p>
    <w:p>
      <w:pPr>
        <w:pStyle w:val="ListBullet"/>
      </w:pPr>
      <w:r>
        <w:rPr>
          <w:sz w:val="22"/>
        </w:rPr>
        <w:t>Prises : Être équipées de prises de Type 2 (prise « Mennekes »), conformément au standard européen pour la charge AC.</w:t>
      </w:r>
    </w:p>
    <w:p>
      <w:pPr>
        <w:pStyle w:val="ListBullet"/>
      </w:pPr>
      <w:r>
        <w:rPr>
          <w:sz w:val="22"/>
        </w:rPr>
        <w:t>Comptage : Être équipées d’un compteur MID, ou équivalent, permettant une gestion dynamique de l’appel de courant afin de s’adapter en temps réel à la puissance résiduelle disponible sur le site.</w:t>
      </w:r>
    </w:p>
    <w:p>
      <w:pPr>
        <w:pStyle w:val="ListBullet"/>
      </w:pPr>
      <w:r>
        <w:rPr>
          <w:sz w:val="22"/>
        </w:rPr>
        <w:t>Supervision : Être supervisables et pilotables à distance selon le Protocole OCPP v1.6, ou équivalent, (ou dans une version plus récente).</w:t>
      </w:r>
    </w:p>
    <w:p>
      <w:pPr>
        <w:pStyle w:val="ListBullet"/>
      </w:pPr>
      <w:r>
        <w:rPr>
          <w:sz w:val="22"/>
        </w:rPr>
        <w:t>Identification utilisateur : Être équipées d’un lecteur RFID, ou équivalent.</w:t>
      </w:r>
    </w:p>
    <w:p>
      <w:pPr>
        <w:pStyle w:val="ListBullet"/>
      </w:pPr>
      <w:r>
        <w:rPr>
          <w:sz w:val="22"/>
        </w:rPr>
        <w:t>Interface utilisateur : Disposer d’une interface utilisateur indiquant à minima l’état du point de charge (Disponible, En Charge, Hors Service).</w:t>
      </w:r>
    </w:p>
    <w:p>
      <w:pPr>
        <w:pStyle w:val="ListBullet"/>
      </w:pPr>
      <w:r>
        <w:rPr>
          <w:sz w:val="22"/>
        </w:rPr>
        <w:t>Résistance et étanchéité : Avoir les garanties d’étanchéité et de solidité conformes à la réglementation en vigueur, avec un indice de protection minimal de IP 55 et un indice de résistance aux chocs minimal de IK 10 (ou normes équivalentes).</w:t>
      </w:r>
    </w:p>
    <w:p>
      <w:pPr>
        <w:pStyle w:val="ListBullet"/>
      </w:pPr>
      <w:r>
        <w:rPr>
          <w:sz w:val="22"/>
        </w:rPr>
        <w:t>Résistance aux UV : Présenter un niveau de résistance aux UV adapté à un usage extérieur.</w:t>
      </w:r>
    </w:p>
    <w:p>
      <w:pPr>
        <w:pStyle w:val="ListBullet"/>
      </w:pPr>
      <w:r>
        <w:rPr>
          <w:sz w:val="22"/>
        </w:rPr>
        <w:t>Certifications : Avoir les certifications EV Ready, CE, CB ou équivalentes.</w:t>
      </w:r>
    </w:p>
    <w:p>
      <w:pPr>
        <w:pStyle w:val="ListBullet"/>
      </w:pPr>
      <w:r>
        <w:rPr>
          <w:sz w:val="22"/>
        </w:rPr>
        <w:t>Connectivité : Avoir la capacité de se connecter en Ethernet, en DATA et en Wi-Fi.</w:t>
      </w:r>
    </w:p>
    <w:p>
      <w:pPr>
        <w:pStyle w:val="ListBullet"/>
      </w:pPr>
      <w:r>
        <w:rPr>
          <w:sz w:val="22"/>
        </w:rPr>
        <w:t>Normes : Respecter les normes d'installation et de communication suivantes :</w:t>
      </w:r>
    </w:p>
    <w:p>
      <w:pPr>
        <w:pStyle w:val="ListBullet"/>
      </w:pPr>
      <w:r>
        <w:rPr>
          <w:sz w:val="22"/>
        </w:rPr>
        <w:t>Installation : Normes IEC 60364 et NFC 15-100.</w:t>
      </w:r>
    </w:p>
    <w:p>
      <w:pPr>
        <w:pStyle w:val="ListBullet"/>
      </w:pPr>
      <w:r>
        <w:rPr>
          <w:sz w:val="22"/>
        </w:rPr>
        <w:t>Communication et prises : Normes IEC /EN 61851, 62196.</w:t>
      </w:r>
    </w:p>
    <w:p>
      <w:pPr>
        <w:pStyle w:val="ListBullet"/>
      </w:pPr>
      <w:r>
        <w:rPr>
          <w:sz w:val="22"/>
        </w:rPr>
        <w:t>Référentiel : « EV Ready 1.4 » ou toutes autres normes équivalentes.</w:t>
      </w:r>
    </w:p>
    <w:p/>
    <w:p>
      <w:pPr>
        <w:pStyle w:val="Heading2"/>
      </w:pPr>
      <w:r>
        <w:rPr>
          <w:b/>
          <w:color w:val="6B0F4C"/>
          <w:sz w:val="26"/>
        </w:rPr>
        <w:t>5.2. Spécifications du Système de Supervision et d’Exploitation</w:t>
      </w:r>
    </w:p>
    <w:p/>
    <w:p>
      <w:r>
        <w:rPr>
          <w:sz w:val="22"/>
        </w:rPr>
        <w:t>Le Système de supervision et d’exploitation doit être compatible au niveau du langage de communication avec OCPP 1.6 (ou une version plus récente) et permettre ainsi d’inclure l’ensemble des IRVE disponibles sur le marché. Il doit permettre notamment :</w:t>
      </w:r>
    </w:p>
    <w:p/>
    <w:p>
      <w:pPr>
        <w:pStyle w:val="ListBullet"/>
      </w:pPr>
      <w:r>
        <w:rPr>
          <w:sz w:val="22"/>
        </w:rPr>
        <w:t>Pilotage et gestion des stations :</w:t>
      </w:r>
    </w:p>
    <w:p>
      <w:pPr>
        <w:pStyle w:val="ListBullet"/>
      </w:pPr>
      <w:r>
        <w:rPr>
          <w:sz w:val="22"/>
        </w:rPr>
        <w:t>Piloter le fonctionnement des Stations de recharge.</w:t>
      </w:r>
    </w:p>
    <w:p>
      <w:pPr>
        <w:pStyle w:val="ListBullet"/>
      </w:pPr>
      <w:r>
        <w:rPr>
          <w:sz w:val="22"/>
        </w:rPr>
        <w:t>Veiller au bon fonctionnement des applications mises à disposition.</w:t>
      </w:r>
    </w:p>
    <w:p>
      <w:pPr>
        <w:pStyle w:val="ListBullet"/>
      </w:pPr>
      <w:r>
        <w:rPr>
          <w:sz w:val="22"/>
        </w:rPr>
        <w:t>Déclencher des opérations de maintenance à distance.</w:t>
      </w:r>
    </w:p>
    <w:p>
      <w:pPr>
        <w:pStyle w:val="ListBullet"/>
      </w:pPr>
      <w:r>
        <w:rPr>
          <w:sz w:val="22"/>
        </w:rPr>
        <w:t>Envoyer les ordres d’intervention aux Prestataires de maintenance lorsque la maintenance à distance ne suffit pas.</w:t>
      </w:r>
    </w:p>
    <w:p>
      <w:pPr>
        <w:pStyle w:val="ListBullet"/>
      </w:pPr>
      <w:r>
        <w:rPr>
          <w:sz w:val="22"/>
        </w:rPr>
        <w:t>Gérer la charge.</w:t>
      </w:r>
    </w:p>
    <w:p>
      <w:pPr>
        <w:pStyle w:val="ListBullet"/>
      </w:pPr>
      <w:r>
        <w:rPr>
          <w:sz w:val="22"/>
        </w:rPr>
        <w:t>Modifier et planifier les réservations des points de charge.</w:t>
      </w:r>
    </w:p>
    <w:p>
      <w:pPr>
        <w:pStyle w:val="ListBullet"/>
      </w:pPr>
      <w:r>
        <w:rPr>
          <w:sz w:val="22"/>
        </w:rPr>
        <w:t>Réinitialiser le système.</w:t>
      </w:r>
    </w:p>
    <w:p>
      <w:pPr>
        <w:pStyle w:val="ListBullet"/>
      </w:pPr>
      <w:r>
        <w:rPr>
          <w:sz w:val="22"/>
        </w:rPr>
        <w:t>Déverrouiller un point de charge.</w:t>
      </w:r>
    </w:p>
    <w:p>
      <w:pPr>
        <w:pStyle w:val="ListBullet"/>
      </w:pPr>
      <w:r>
        <w:rPr>
          <w:sz w:val="22"/>
        </w:rPr>
        <w:t>Gérer des transactions (option activable par France Travail).</w:t>
      </w:r>
    </w:p>
    <w:p>
      <w:pPr>
        <w:pStyle w:val="ListBullet"/>
      </w:pPr>
      <w:r>
        <w:rPr>
          <w:sz w:val="22"/>
        </w:rPr>
        <w:t>Remontée de données et diagnostics :</w:t>
      </w:r>
    </w:p>
    <w:p>
      <w:pPr>
        <w:pStyle w:val="ListBullet"/>
      </w:pPr>
      <w:r>
        <w:rPr>
          <w:sz w:val="22"/>
        </w:rPr>
        <w:t>Remonter des données et diagnostics.</w:t>
      </w:r>
    </w:p>
    <w:p>
      <w:pPr>
        <w:pStyle w:val="ListBullet"/>
      </w:pPr>
      <w:r>
        <w:rPr>
          <w:sz w:val="22"/>
        </w:rPr>
        <w:t>Faire remonter et traiter les informations qui auraient été stockées au niveau d’une IRVE à l’occasion d’une coupure de la communication entre la Borne et le Système de supervision et d’exploitation.</w:t>
      </w:r>
    </w:p>
    <w:p>
      <w:pPr>
        <w:pStyle w:val="ListBullet"/>
      </w:pPr>
      <w:r>
        <w:rPr>
          <w:sz w:val="22"/>
        </w:rPr>
        <w:t>Identifier, pour chaque IRVE, le nombre d’occurrences d’une telle coupure.</w:t>
      </w:r>
    </w:p>
    <w:p>
      <w:pPr>
        <w:pStyle w:val="ListBullet"/>
      </w:pPr>
      <w:r>
        <w:rPr>
          <w:sz w:val="22"/>
        </w:rPr>
        <w:t>Gestion des accès et profils :</w:t>
      </w:r>
    </w:p>
    <w:p>
      <w:pPr>
        <w:pStyle w:val="ListBullet"/>
      </w:pPr>
      <w:r>
        <w:rPr>
          <w:sz w:val="22"/>
        </w:rPr>
        <w:t>Gérer des profils ayant des droits d’accès différents (profil visualisation, administrateur) ainsi qu’une gestion des accès en termes de périmètre (régional, station de recharge, national).</w:t>
      </w:r>
    </w:p>
    <w:p>
      <w:pPr>
        <w:pStyle w:val="ListBullet"/>
      </w:pPr>
      <w:r>
        <w:rPr>
          <w:sz w:val="22"/>
        </w:rPr>
        <w:t>Gérer les droits d’accès et modalités de paiement par les utilisateurs.</w:t>
      </w:r>
    </w:p>
    <w:p/>
    <w:p>
      <w:pPr>
        <w:pStyle w:val="Heading2"/>
      </w:pPr>
      <w:r>
        <w:rPr>
          <w:b/>
          <w:color w:val="6B0F4C"/>
          <w:sz w:val="26"/>
        </w:rPr>
        <w:t>5.3. Spécifications de la Communication Machine to Machine</w:t>
      </w:r>
    </w:p>
    <w:p/>
    <w:p>
      <w:r>
        <w:rPr>
          <w:sz w:val="22"/>
        </w:rPr>
        <w:t>Les moyens de communication « Machine to Machine » sont inclus dans les prestations prévues au présent marché.</w:t>
      </w:r>
    </w:p>
    <w:p>
      <w:pPr>
        <w:pStyle w:val="ListBullet"/>
      </w:pPr>
      <w:r>
        <w:rPr>
          <w:sz w:val="22"/>
        </w:rPr>
        <w:t>Cartes de télécommunication : Le Titulaire doit fournir les cartes de télécommunication (de type carte SIM M&amp;M) adaptées aux IRVE et permettant l’échange de données entre lesdites Bornes et le Système de supervision et d’exploitation.</w:t>
      </w:r>
    </w:p>
    <w:p>
      <w:pPr>
        <w:pStyle w:val="ListBullet"/>
      </w:pPr>
      <w:r>
        <w:rPr>
          <w:sz w:val="22"/>
        </w:rPr>
        <w:t>Abonnements : Le Titulaire doit mettre en service les abonnements auprès des sociétés de télécommunication mobile.</w:t>
      </w:r>
    </w:p>
    <w:p>
      <w:pPr>
        <w:pStyle w:val="ListBullet"/>
      </w:pPr>
      <w:r>
        <w:rPr>
          <w:sz w:val="22"/>
        </w:rPr>
        <w:t>Gestion des factures : Le Titulaire doit assurer la gestion, en particulier le paiement des factures, de ces services de télécommunication.</w:t>
      </w:r>
    </w:p>
    <w:p>
      <w:pPr>
        <w:pStyle w:val="ListBullet"/>
      </w:pPr>
      <w:r>
        <w:rPr>
          <w:sz w:val="22"/>
        </w:rPr>
        <w:t>Qualité de service : Le Titulaire doit en particulier s’assurer de la qualité du service de télécommunication mis en œuvre et du temps de rétablissement en cas d’incident de communication entre les IRVE et le Système de supervision et d’exploitation.</w:t>
      </w:r>
    </w:p>
    <w:p>
      <w:pPr>
        <w:pStyle w:val="ListBullet"/>
      </w:pPr>
      <w:r>
        <w:rPr>
          <w:sz w:val="22"/>
        </w:rPr>
        <w:t>Délai d'interruption : Aucune interruption de service ne pourra dépasser dix (10) heures, y compris en cas de changement de carte SIM.</w:t>
      </w:r>
    </w:p>
    <w:p/>
    <w:p>
      <w:pPr>
        <w:pStyle w:val="Heading2"/>
      </w:pPr>
      <w:r>
        <w:rPr>
          <w:b/>
          <w:color w:val="6B0F4C"/>
          <w:sz w:val="26"/>
        </w:rPr>
        <w:t>5.4. Spécifications de la Signalétique et Protection</w:t>
      </w:r>
    </w:p>
    <w:p/>
    <w:p>
      <w:r>
        <w:rPr>
          <w:sz w:val="22"/>
        </w:rPr>
        <w:t>Le volet signalétique comprend l’ensemble des travaux nécessaires pour la création des places de stationnement « IRVE » conformes aux prescriptions, à savoir :</w:t>
      </w:r>
    </w:p>
    <w:p>
      <w:pPr>
        <w:pStyle w:val="ListBullet"/>
      </w:pPr>
      <w:r>
        <w:rPr>
          <w:sz w:val="22"/>
        </w:rPr>
        <w:t>Marquage au sol : Marquage du logo VE au sol.</w:t>
      </w:r>
    </w:p>
    <w:p>
      <w:pPr>
        <w:pStyle w:val="ListBullet"/>
      </w:pPr>
      <w:r>
        <w:rPr>
          <w:sz w:val="22"/>
        </w:rPr>
        <w:t>Signalétique verticale : Panneau sur pied ou signalétique murale.</w:t>
      </w:r>
    </w:p>
    <w:p>
      <w:pPr>
        <w:pStyle w:val="ListBullet"/>
      </w:pPr>
      <w:r>
        <w:rPr>
          <w:sz w:val="22"/>
        </w:rPr>
        <w:t>Protection physique : Arrêt de sol et protection mécanique des bornes.</w:t>
      </w:r>
    </w:p>
    <w:p>
      <w:pPr>
        <w:pStyle w:val="ListBullet"/>
      </w:pPr>
      <w:r>
        <w:rPr>
          <w:sz w:val="22"/>
        </w:rPr>
        <w:t>Matériaux RSE : Le Titulaire veillera à utiliser autant que possible des matières, matériaux et produits ayant un faible impact environnemental et à utiliser pour la signalétique horizontale des produits bénéficiant de l’écolabel NF Environnement 331 - Produits de signalisation horizontale ou équivalent.</w:t>
      </w:r>
    </w:p>
    <w:p/>
    <w:p>
      <w:pPr>
        <w:pStyle w:val="Heading2"/>
      </w:pPr>
      <w:r>
        <w:rPr>
          <w:b/>
          <w:color w:val="6B0F4C"/>
          <w:sz w:val="26"/>
        </w:rPr>
        <w:t>6. DOCUMENTATION TECHNIQUE ET PÉDAGOGIQUE À FOURNIR PAR LE CANDIDAT</w:t>
      </w:r>
    </w:p>
    <w:p/>
    <w:p>
      <w:r>
        <w:rPr>
          <w:sz w:val="22"/>
        </w:rPr>
        <w:t>Le Titulaire devra fournir la documentation suivante à France Travail :</w:t>
      </w:r>
    </w:p>
    <w:p/>
    <w:p>
      <w:pPr>
        <w:pStyle w:val="ListBullet"/>
      </w:pPr>
      <w:r>
        <w:rPr>
          <w:sz w:val="22"/>
        </w:rPr>
        <w:t>Études et plans :</w:t>
      </w:r>
    </w:p>
    <w:p>
      <w:pPr>
        <w:pStyle w:val="ListBullet"/>
      </w:pPr>
      <w:r>
        <w:rPr>
          <w:sz w:val="22"/>
        </w:rPr>
        <w:t>L’ensemble des plans (principe, implantation, électricité, etc.) pour validation avant exécution des travaux.</w:t>
      </w:r>
    </w:p>
    <w:p>
      <w:pPr>
        <w:pStyle w:val="ListBullet"/>
      </w:pPr>
      <w:r>
        <w:rPr>
          <w:sz w:val="22"/>
        </w:rPr>
        <w:t>L’ensemble des notes de calculs utiles.</w:t>
      </w:r>
    </w:p>
    <w:p>
      <w:pPr>
        <w:pStyle w:val="ListBullet"/>
      </w:pPr>
      <w:r>
        <w:rPr>
          <w:sz w:val="22"/>
        </w:rPr>
        <w:t>L’ensemble des plans et dossier équipements mis à jour.</w:t>
      </w:r>
    </w:p>
    <w:p>
      <w:pPr>
        <w:pStyle w:val="ListBullet"/>
      </w:pPr>
      <w:r>
        <w:rPr>
          <w:sz w:val="22"/>
        </w:rPr>
        <w:t>Les documents nécessaires pour informer les usagers des éventuelles perturbations engendrées et afin d’obtenir les autorisations diverses (occupations du domaine public, etc.).</w:t>
      </w:r>
    </w:p>
    <w:p>
      <w:pPr>
        <w:pStyle w:val="ListBullet"/>
      </w:pPr>
      <w:r>
        <w:rPr>
          <w:sz w:val="22"/>
        </w:rPr>
        <w:t>Dossier des Ouvrages Exécutés (DOE) : L’ensemble des plans et notices du DOE à l'issue de la mise en service des IRVE.</w:t>
      </w:r>
    </w:p>
    <w:p>
      <w:pPr>
        <w:pStyle w:val="ListBullet"/>
      </w:pPr>
      <w:r>
        <w:rPr>
          <w:sz w:val="22"/>
        </w:rPr>
        <w:t>Rapports de maintenance :</w:t>
      </w:r>
    </w:p>
    <w:p>
      <w:pPr>
        <w:pStyle w:val="ListBullet"/>
      </w:pPr>
      <w:r>
        <w:rPr>
          <w:sz w:val="22"/>
        </w:rPr>
        <w:t>Rapports mensuels de maintenance préventive annuelle : Le cinquième jour ouvré du mois suivant, un rapport indiquant les maintenances annuelles réalisées au cours du mois concerné, précisant les défauts et dysfonctionnements constatés et les réparations réalisées (à distance ou sur site).</w:t>
      </w:r>
    </w:p>
    <w:p>
      <w:pPr>
        <w:pStyle w:val="ListBullet"/>
      </w:pPr>
      <w:r>
        <w:rPr>
          <w:sz w:val="22"/>
        </w:rPr>
        <w:t>Planning mensuel de maintenance préventive : Le cinquième jour ouvré du mois suivant, le planning des maintenances préventives à réaliser le mois suivant.</w:t>
      </w:r>
    </w:p>
    <w:p>
      <w:pPr>
        <w:pStyle w:val="ListBullet"/>
      </w:pPr>
      <w:r>
        <w:rPr>
          <w:sz w:val="22"/>
        </w:rPr>
        <w:t>Rapports mensuels de télémaintenance : Le cinquième jour ouvré du mois suivant, le reporting indiquant les maintenances mensuelles réalisées à distance, reprenant l’ensemble des informations attendues (événements de charge, erreurs, registre, perte de puissance, ouverture de porte, tests disjoncteurs, démarrage/arrêt charge, historiques, kW/h utilisés, qualité signal Data/GSM).</w:t>
      </w:r>
    </w:p>
    <w:p>
      <w:pPr>
        <w:pStyle w:val="ListBullet"/>
      </w:pPr>
      <w:r>
        <w:rPr>
          <w:sz w:val="22"/>
        </w:rPr>
        <w:t>Rapport de diagnostic : En cas de maintenance corrective, un rapport de diagnostic de la panne.</w:t>
      </w:r>
    </w:p>
    <w:p>
      <w:pPr>
        <w:pStyle w:val="ListBullet"/>
      </w:pPr>
      <w:r>
        <w:rPr>
          <w:sz w:val="22"/>
        </w:rPr>
        <w:t>Rapport d'intervention : Pour toute intervention sur site, un rapport d’intervention devra être transmis dans les 48 heures suivant la visite. Ce rapport devra indiquer, si nécessaire, le délai de réception des pièces et la date prévisible de remise en service.</w:t>
      </w:r>
    </w:p>
    <w:p>
      <w:pPr>
        <w:pStyle w:val="ListBullet"/>
      </w:pPr>
      <w:r>
        <w:rPr>
          <w:sz w:val="22"/>
        </w:rPr>
        <w:t>Procédures et actions correctives : En cas d’incident, le Titulaire fournira à France Travail les procédures ou actions correctives mises en œuvre.</w:t>
      </w:r>
    </w:p>
    <w:p>
      <w:pPr>
        <w:pStyle w:val="ListBullet"/>
      </w:pPr>
      <w:r>
        <w:rPr>
          <w:sz w:val="22"/>
        </w:rPr>
        <w:t>Schéma de commande des badges RFID : Le Titulaire proposera un schéma de commande du badge RFID pour les agents souhaitant recharger leur véhicule personnel, incluant le processus de validation par la Direction régionale de France Travail (par workflow ou par email).</w:t>
      </w:r>
    </w:p>
    <w:p/>
    <w:p>
      <w:pPr>
        <w:pStyle w:val="Heading2"/>
      </w:pPr>
      <w:r>
        <w:rPr>
          <w:b/>
          <w:color w:val="6B0F4C"/>
          <w:sz w:val="26"/>
        </w:rPr>
        <w:t>7. MODALITÉS D'INSTALLATION, DE MISE EN SERVICE ET DE FORMATION</w:t>
      </w:r>
    </w:p>
    <w:p/>
    <w:p>
      <w:pPr>
        <w:pStyle w:val="Heading2"/>
      </w:pPr>
      <w:r>
        <w:rPr>
          <w:b/>
          <w:color w:val="6B0F4C"/>
          <w:sz w:val="26"/>
        </w:rPr>
        <w:t>7.1. Processus d'Installation</w:t>
      </w:r>
    </w:p>
    <w:p/>
    <w:p>
      <w:r>
        <w:rPr>
          <w:sz w:val="22"/>
        </w:rPr>
        <w:t>7.1.1. Visite du site</w:t>
      </w:r>
    </w:p>
    <w:p>
      <w:r>
        <w:rPr>
          <w:sz w:val="22"/>
        </w:rPr>
        <w:t>Le Titulaire doit avoir pris connaissance des lieux par une visite approfondie du site, ou tout autre moyen qu’il juge pertinent, et de ses abords afin de juger de l'importance de sa proposition d’installation, de la nature et de l’emplacement des travaux, des conditions générales et locales et tout autre élément pouvant d’une manière quelconque affecter les travaux, objet de ce marché. Il est également tenu d'avoir effectué toutes les recherches utiles pour l’étude et l’exécution du marché. Aucune réclamation au cours des travaux ne pourra être prise en considération pour les difficultés des accès et des sujétions dues à la nature des terrains existants.</w:t>
      </w:r>
    </w:p>
    <w:p>
      <w:r>
        <w:rPr>
          <w:sz w:val="22"/>
        </w:rPr>
        <w:t>À cette fin, le Titulaire prend rendez-vous avec le Gestionnaire régional de France Travail.</w:t>
      </w:r>
    </w:p>
    <w:p>
      <w:r>
        <w:rPr>
          <w:sz w:val="22"/>
        </w:rPr>
        <w:t>Délai maximal pour la réalisation de la visite de site après prise de contact par le Gestionnaire régional de France Travail : 21 jours.</w:t>
      </w:r>
    </w:p>
    <w:p/>
    <w:p>
      <w:r>
        <w:rPr>
          <w:sz w:val="22"/>
        </w:rPr>
        <w:t>7.1.2. Étude et devis</w:t>
      </w:r>
    </w:p>
    <w:p>
      <w:r>
        <w:rPr>
          <w:sz w:val="22"/>
        </w:rPr>
        <w:t>L’étude concerne l’ensemble des études nécessaires à la réalisation des travaux d’installation de bornes et notamment :</w:t>
      </w:r>
    </w:p>
    <w:p>
      <w:pPr>
        <w:pStyle w:val="ListBullet"/>
      </w:pPr>
      <w:r>
        <w:rPr>
          <w:sz w:val="22"/>
        </w:rPr>
        <w:t>L’ensemble des plans (principe, implantation, électricité, etc.) doit être transmis pour validation avant exécution des travaux.</w:t>
      </w:r>
    </w:p>
    <w:p>
      <w:pPr>
        <w:pStyle w:val="ListBullet"/>
      </w:pPr>
      <w:r>
        <w:rPr>
          <w:sz w:val="22"/>
        </w:rPr>
        <w:t>L’ensemble des notes de calculs utiles est à produire.</w:t>
      </w:r>
    </w:p>
    <w:p>
      <w:pPr>
        <w:pStyle w:val="ListBullet"/>
      </w:pPr>
      <w:r>
        <w:rPr>
          <w:sz w:val="22"/>
        </w:rPr>
        <w:t>L’ensemble des plans et dossier équipements est mis à jour.</w:t>
      </w:r>
    </w:p>
    <w:p>
      <w:pPr>
        <w:pStyle w:val="ListBullet"/>
      </w:pPr>
      <w:r>
        <w:rPr>
          <w:sz w:val="22"/>
        </w:rPr>
        <w:t>Le Titulaire fournit les documents nécessaires pour informer les usagers des éventuelles perturbations engendrées et afin d’obtenir les autorisations diverses (occupations du domaine public, etc.).</w:t>
      </w:r>
    </w:p>
    <w:p/>
    <w:p>
      <w:r>
        <w:rPr>
          <w:sz w:val="22"/>
        </w:rPr>
        <w:t>7.1.3. Émission du devis</w:t>
      </w:r>
    </w:p>
    <w:p>
      <w:r>
        <w:rPr>
          <w:sz w:val="22"/>
        </w:rPr>
        <w:t>Chaque installation fait l’objet d’un devis dont les unités d’œuvres et les prix unitaires font référence au Bordereau des prix unitaires. Dans l’hypothèse où le devis est approuvé par France Travail, il donne lieu à l’émission d’un bon de commande de la part du Gestionnaire régional de France Travail.</w:t>
      </w:r>
    </w:p>
    <w:p>
      <w:r>
        <w:rPr>
          <w:sz w:val="22"/>
        </w:rPr>
        <w:t>Délai maximal entre la réalisation de la visite de site et l’émission du devis : 14 jours.</w:t>
      </w:r>
    </w:p>
    <w:p/>
    <w:p>
      <w:pPr>
        <w:pStyle w:val="Heading2"/>
      </w:pPr>
      <w:r>
        <w:rPr>
          <w:b/>
          <w:color w:val="6B0F4C"/>
          <w:sz w:val="26"/>
        </w:rPr>
        <w:t>7.2. Détail des Travaux</w:t>
      </w:r>
    </w:p>
    <w:p/>
    <w:p>
      <w:r>
        <w:rPr>
          <w:sz w:val="22"/>
        </w:rPr>
        <w:t>Délai maximal entre la réception par le Titulaire du bon de commande SAP, valant acceptation du devis, et le début des travaux : 30 jours.</w:t>
      </w:r>
    </w:p>
    <w:p/>
    <w:p>
      <w:r>
        <w:rPr>
          <w:sz w:val="22"/>
        </w:rPr>
        <w:t>7.2.1. Travaux de Génie Civil</w:t>
      </w:r>
    </w:p>
    <w:p>
      <w:r>
        <w:rPr>
          <w:sz w:val="22"/>
        </w:rPr>
        <w:t>L’installation des IRVE peut nécessiter des travaux de génie civil qui comprennent l’ensemble des travaux nécessaires à la mise en œuvre d’un ou deux points de charge hors prise domestique, à savoir à minima :</w:t>
      </w:r>
    </w:p>
    <w:p>
      <w:pPr>
        <w:pStyle w:val="ListBullet"/>
      </w:pPr>
      <w:r>
        <w:rPr>
          <w:sz w:val="22"/>
        </w:rPr>
        <w:t>Les massifs de fixation pour les pieds des bornes et le panneau de signalisation ou la fixation murale de l’IRVE le cas échéant.</w:t>
      </w:r>
    </w:p>
    <w:p>
      <w:pPr>
        <w:pStyle w:val="ListBullet"/>
      </w:pPr>
      <w:r>
        <w:rPr>
          <w:sz w:val="22"/>
        </w:rPr>
        <w:t>Les tranchées éventuelles y compris leur rebouchage et la réfection d’enrobé.</w:t>
      </w:r>
    </w:p>
    <w:p>
      <w:pPr>
        <w:pStyle w:val="ListBullet"/>
      </w:pPr>
      <w:r>
        <w:rPr>
          <w:sz w:val="22"/>
        </w:rPr>
        <w:t>Tous travaux de fourreau.</w:t>
      </w:r>
    </w:p>
    <w:p>
      <w:pPr>
        <w:pStyle w:val="ListBullet"/>
      </w:pPr>
      <w:r>
        <w:rPr>
          <w:sz w:val="22"/>
        </w:rPr>
        <w:t>Le traitement et l’évacuation de tous les déchets/gravats dans le respect des bonnes pratiques Responsabilité Sociale et Environnementale (RSE).</w:t>
      </w:r>
    </w:p>
    <w:p>
      <w:r>
        <w:rPr>
          <w:sz w:val="22"/>
        </w:rPr>
        <w:t>Ce volet comprend l’ensemble des sujets autour de la gestion de projet : plan de prévention, CSPS (coordonnateur en matière de sécurité et de protection de la santé) éventuel, suivi du chantier, réception du chantier, signalisation des travaux et autres sujétions.</w:t>
      </w:r>
    </w:p>
    <w:p/>
    <w:p>
      <w:r>
        <w:rPr>
          <w:sz w:val="22"/>
        </w:rPr>
        <w:t>7.2.2. Installation des Équipements</w:t>
      </w:r>
    </w:p>
    <w:p>
      <w:r>
        <w:rPr>
          <w:sz w:val="22"/>
        </w:rPr>
        <w:t>Les équipements, notamment l’IRVE et la signalétique, sont installés par le Titulaire.</w:t>
      </w:r>
    </w:p>
    <w:p/>
    <w:p>
      <w:r>
        <w:rPr>
          <w:sz w:val="22"/>
        </w:rPr>
        <w:t>7.2.2.1. Raccordement électrique</w:t>
      </w:r>
    </w:p>
    <w:p>
      <w:r>
        <w:rPr>
          <w:sz w:val="22"/>
        </w:rPr>
        <w:t>Le volet raccordement électrique comprend l’ensemble des travaux nécessaires pour raccorder les points de recharge aussi bien d‘un point de vue électrique au TGBT du site que communications à savoir et a minima :</w:t>
      </w:r>
    </w:p>
    <w:p>
      <w:pPr>
        <w:pStyle w:val="ListBullet"/>
      </w:pPr>
      <w:r>
        <w:rPr>
          <w:sz w:val="22"/>
        </w:rPr>
        <w:t>Le coffret de répartition ou tableau divisionnaire.</w:t>
      </w:r>
    </w:p>
    <w:p>
      <w:pPr>
        <w:pStyle w:val="ListBullet"/>
      </w:pPr>
      <w:r>
        <w:rPr>
          <w:sz w:val="22"/>
        </w:rPr>
        <w:t>Le disjoncteur de tête et les protections électriques de chacun des départs.</w:t>
      </w:r>
    </w:p>
    <w:p>
      <w:pPr>
        <w:pStyle w:val="ListBullet"/>
      </w:pPr>
      <w:r>
        <w:rPr>
          <w:sz w:val="22"/>
        </w:rPr>
        <w:t>Les câbles.</w:t>
      </w:r>
    </w:p>
    <w:p>
      <w:pPr>
        <w:pStyle w:val="ListBullet"/>
      </w:pPr>
      <w:r>
        <w:rPr>
          <w:sz w:val="22"/>
        </w:rPr>
        <w:t>Les goulottes, chemins de câbles et tubes de protection mécanique.</w:t>
      </w:r>
    </w:p>
    <w:p>
      <w:r>
        <w:rPr>
          <w:sz w:val="22"/>
        </w:rPr>
        <w:t>La gestion de l’abonnement (puissance) sera gérée par France Travail avec son fournisseur d’électricité. En prévision d’installations futures, l’ensemble pourra être dimensionné pour prendre en compte deux points de charge supplémentaires au(x) point(s) de charge initial(aux).</w:t>
      </w:r>
    </w:p>
    <w:p/>
    <w:p>
      <w:r>
        <w:rPr>
          <w:sz w:val="22"/>
        </w:rPr>
        <w:t>7.2.2.2. Signalétique et protection</w:t>
      </w:r>
    </w:p>
    <w:p>
      <w:r>
        <w:rPr>
          <w:sz w:val="22"/>
        </w:rPr>
        <w:t>Le volet signalétique comprend l’ensemble des travaux nécessaires pour la création des places de stationnement « IRVE » conformes aux prescriptions, à savoir :</w:t>
      </w:r>
    </w:p>
    <w:p>
      <w:pPr>
        <w:pStyle w:val="ListBullet"/>
      </w:pPr>
      <w:r>
        <w:rPr>
          <w:sz w:val="22"/>
        </w:rPr>
        <w:t>Marquage logo VE au sol.</w:t>
      </w:r>
    </w:p>
    <w:p>
      <w:pPr>
        <w:pStyle w:val="ListBullet"/>
      </w:pPr>
      <w:r>
        <w:rPr>
          <w:sz w:val="22"/>
        </w:rPr>
        <w:t>Panneau sur pied / Signalétique verticale.</w:t>
      </w:r>
    </w:p>
    <w:p>
      <w:pPr>
        <w:pStyle w:val="ListBullet"/>
      </w:pPr>
      <w:r>
        <w:rPr>
          <w:sz w:val="22"/>
        </w:rPr>
        <w:t>Arrêt de sol et protection mécanique des bornes.</w:t>
      </w:r>
    </w:p>
    <w:p>
      <w:r>
        <w:rPr>
          <w:sz w:val="22"/>
        </w:rPr>
        <w:t>Le Titulaire veille à utiliser autant que possible des matières, matériaux et produits ayant un faible impact environnemental et à utiliser pour la signalétique horizontale des produits bénéficiant de l’écolabel NF Environnement 331 - Produits de signalisation horizontale ou équivalent.</w:t>
      </w:r>
    </w:p>
    <w:p/>
    <w:p>
      <w:pPr>
        <w:pStyle w:val="Heading2"/>
      </w:pPr>
      <w:r>
        <w:rPr>
          <w:b/>
          <w:color w:val="6B0F4C"/>
          <w:sz w:val="26"/>
        </w:rPr>
        <w:t>7.3. Mise en Service des IRVE</w:t>
      </w:r>
    </w:p>
    <w:p/>
    <w:p>
      <w:r>
        <w:rPr>
          <w:sz w:val="22"/>
        </w:rPr>
        <w:t>Le volet mise en service comprend l’ensemble des prestations nécessaires à la mise en service des points de charges, à savoir :</w:t>
      </w:r>
    </w:p>
    <w:p>
      <w:pPr>
        <w:pStyle w:val="ListBullet"/>
      </w:pPr>
      <w:r>
        <w:rPr>
          <w:sz w:val="22"/>
        </w:rPr>
        <w:t>La mise sous tension de la borne.</w:t>
      </w:r>
    </w:p>
    <w:p>
      <w:pPr>
        <w:pStyle w:val="ListBullet"/>
      </w:pPr>
      <w:r>
        <w:rPr>
          <w:sz w:val="22"/>
        </w:rPr>
        <w:t>Le paramétrage de la borne et l’intégration dans l’outil de supervision sous un délai maximal de 48 heures ouvrées à compter de la réception des travaux d’installation.</w:t>
      </w:r>
    </w:p>
    <w:p>
      <w:pPr>
        <w:pStyle w:val="ListBullet"/>
      </w:pPr>
      <w:r>
        <w:rPr>
          <w:sz w:val="22"/>
        </w:rPr>
        <w:t>Les essais de fonctionnement.</w:t>
      </w:r>
    </w:p>
    <w:p>
      <w:pPr>
        <w:pStyle w:val="ListBullet"/>
      </w:pPr>
      <w:r>
        <w:rPr>
          <w:sz w:val="22"/>
        </w:rPr>
        <w:t>Présence lors de la Visite initiale de conformité d’un bureau de contrôle électrique.</w:t>
      </w:r>
    </w:p>
    <w:p>
      <w:pPr>
        <w:pStyle w:val="ListBullet"/>
      </w:pPr>
      <w:r>
        <w:rPr>
          <w:sz w:val="22"/>
        </w:rPr>
        <w:t>La recette matérielle.</w:t>
      </w:r>
    </w:p>
    <w:p>
      <w:pPr>
        <w:pStyle w:val="ListBullet"/>
      </w:pPr>
      <w:r>
        <w:rPr>
          <w:sz w:val="22"/>
        </w:rPr>
        <w:t>L’ensemble des plans et notices Dossier des Ouvrages Exécutés « DOE ».</w:t>
      </w:r>
    </w:p>
    <w:p/>
    <w:p>
      <w:r>
        <w:rPr>
          <w:sz w:val="22"/>
        </w:rPr>
        <w:t>7.3.1. Réception des travaux</w:t>
      </w:r>
    </w:p>
    <w:p>
      <w:r>
        <w:rPr>
          <w:sz w:val="22"/>
        </w:rPr>
        <w:t>Le Titulaire informe le Gestionnaire régional de France Travail de la fin des travaux. France Travail coordonne et prend à sa charge la visite de conformité. Le Titulaire procède, en présence des responsables, à une visite en vue de vérifier la bonne exécution et la conformité du projet afin de valider la fin des travaux. Le cas échéant, les imperfections, les omissions ou malfaçons constatées sont notifiées. Le procès-verbal de réception des travaux doit être établi dans les 14 jours à réception de l’attestation conformité de l’installation établie par le bureau de contrôle. Le Titulaire est tenu alors d'exécuter ou terminer les travaux incomplets ou de remédier aux imperfections et malfaçons dans les délais fixés par le Gestionnaire régional de France Travail. Si le procès-verbal de réception n’est pas réalisé dans les délais de 14 jours ci-dessus, les travaux d’installation sont considérés réceptionnés. Dans cette hypothèse, le Titulaire précise dans sa facture que les travaux ont été réceptionnés tacitement.</w:t>
      </w:r>
    </w:p>
    <w:p/>
    <w:p>
      <w:pPr>
        <w:pStyle w:val="Heading2"/>
      </w:pPr>
      <w:r>
        <w:rPr>
          <w:b/>
          <w:color w:val="6B0F4C"/>
          <w:sz w:val="26"/>
        </w:rPr>
        <w:t>7.4. Formation</w:t>
      </w:r>
    </w:p>
    <w:p>
      <w:r>
        <w:rPr>
          <w:sz w:val="22"/>
        </w:rPr>
        <w:t>[À PRÉCISER : Le Titulaire devra proposer un programme de formation destiné aux gestionnaires régionaux de France Travail et aux utilisateurs clés, couvrant l'utilisation du système de supervision, la gestion des badges RFID, les procédures de signalement d'incidents et les bonnes pratiques de recharge. Cette formation pourra être dispensée à distance ou sur site, selon les besoins de France Travail.]</w:t>
      </w:r>
    </w:p>
    <w:p/>
    <w:p>
      <w:pPr>
        <w:pStyle w:val="Heading2"/>
      </w:pPr>
      <w:r>
        <w:rPr>
          <w:b/>
          <w:color w:val="6B0F4C"/>
          <w:sz w:val="26"/>
        </w:rPr>
        <w:t>8. MODALITÉS DE MAINTENANCE (PRÉVENTIVE ET CORRECTIVE) ET DÉLAIS D'INTERVENTION</w:t>
      </w:r>
    </w:p>
    <w:p/>
    <w:p>
      <w:r>
        <w:rPr>
          <w:sz w:val="22"/>
        </w:rPr>
        <w:t>Les missions confiées au Titulaire au titre de l’entretien et de la maintenance de l’Infrastructure incluent :</w:t>
      </w:r>
    </w:p>
    <w:p>
      <w:pPr>
        <w:pStyle w:val="ListBullet"/>
      </w:pPr>
      <w:r>
        <w:rPr>
          <w:sz w:val="22"/>
        </w:rPr>
        <w:t>La réalisation des opérations de maintenance préventive et corrective des Bornes de recharge.</w:t>
      </w:r>
    </w:p>
    <w:p>
      <w:pPr>
        <w:pStyle w:val="ListBullet"/>
      </w:pPr>
      <w:r>
        <w:rPr>
          <w:sz w:val="22"/>
        </w:rPr>
        <w:t>Le contrôle du bon fonctionnement des installations.</w:t>
      </w:r>
    </w:p>
    <w:p>
      <w:pPr>
        <w:pStyle w:val="ListBullet"/>
      </w:pPr>
      <w:r>
        <w:rPr>
          <w:sz w:val="22"/>
        </w:rPr>
        <w:t>Le contrôle du Système de supervision et d’exploitation, comprenant la rédaction de rapports de défauts ou de dysfonctionnements.</w:t>
      </w:r>
    </w:p>
    <w:p>
      <w:pPr>
        <w:pStyle w:val="ListBullet"/>
      </w:pPr>
      <w:r>
        <w:rPr>
          <w:sz w:val="22"/>
        </w:rPr>
        <w:t>Le maintien en état de bon fonctionnement du Système de supervision et d’exploitation.</w:t>
      </w:r>
    </w:p>
    <w:p>
      <w:pPr>
        <w:pStyle w:val="ListBullet"/>
      </w:pPr>
      <w:r>
        <w:rPr>
          <w:sz w:val="22"/>
        </w:rPr>
        <w:t>Le maintien en état de la sécurité de l’infrastructure.</w:t>
      </w:r>
    </w:p>
    <w:p>
      <w:pPr>
        <w:pStyle w:val="ListBullet"/>
      </w:pPr>
      <w:r>
        <w:rPr>
          <w:sz w:val="22"/>
        </w:rPr>
        <w:t>L’entretien courant de l’Infrastructure et le renouvellement des pièces d’usures et tous autres matériels.</w:t>
      </w:r>
    </w:p>
    <w:p/>
    <w:p>
      <w:pPr>
        <w:pStyle w:val="Heading2"/>
      </w:pPr>
      <w:r>
        <w:rPr>
          <w:b/>
          <w:color w:val="6B0F4C"/>
          <w:sz w:val="26"/>
        </w:rPr>
        <w:t>8.1. Maintenance Préventive</w:t>
      </w:r>
    </w:p>
    <w:p/>
    <w:p>
      <w:r>
        <w:rPr>
          <w:sz w:val="22"/>
        </w:rPr>
        <w:t>8.1.1. Maintenance préventive annuelle sur site</w:t>
      </w:r>
    </w:p>
    <w:p>
      <w:r>
        <w:rPr>
          <w:sz w:val="22"/>
        </w:rPr>
        <w:t>Ce volet concerne la maintenance préventive annuelle sur site conforme aux prescriptions du constructeur sur une durée de trois (3) ans à compter de la mise en service de la borne, destinée à réduire les probabilités de défaillance de l’Infrastructure, assurer sa pérennité et optimiser son fonctionnement. Le Titulaire s'engage, pour la maintenance des IRVE, à tenir compte des préconisations de leur constructeur et/ou fabricant.</w:t>
      </w:r>
    </w:p>
    <w:p>
      <w:r>
        <w:rPr>
          <w:sz w:val="22"/>
        </w:rPr>
        <w:t>Le Titulaire présente mensuellement, le cinquième jour ouvré du mois suivant, un rapport indiquant les maintenances annuelles réalisées au cours du mois concerné en précisant s’il y a lieu les défauts et dysfonctionnements constatés et les réparations réalisées à distance ou sur site. Il transmet également le planning des maintenances préventives à réaliser le mois suivant.</w:t>
      </w:r>
    </w:p>
    <w:p/>
    <w:p>
      <w:r>
        <w:rPr>
          <w:sz w:val="22"/>
        </w:rPr>
        <w:t>8.1.2. Maintenance préventive mensuelle à distance (télémaintenance)</w:t>
      </w:r>
    </w:p>
    <w:p>
      <w:r>
        <w:rPr>
          <w:sz w:val="22"/>
        </w:rPr>
        <w:t>Le Titulaire procède au moins une fois par mois, pour chaque point de charge, aux opérations de maintenance préventive suivantes, réalisées à distance via le Système de supervision et d’exploitation :</w:t>
      </w:r>
    </w:p>
    <w:p>
      <w:pPr>
        <w:pStyle w:val="ListBullet"/>
      </w:pPr>
      <w:r>
        <w:rPr>
          <w:sz w:val="22"/>
        </w:rPr>
        <w:t>Vérification des événements de charge.</w:t>
      </w:r>
    </w:p>
    <w:p>
      <w:pPr>
        <w:pStyle w:val="ListBullet"/>
      </w:pPr>
      <w:r>
        <w:rPr>
          <w:sz w:val="22"/>
        </w:rPr>
        <w:t>Vérification des événements d'erreur, collisions comprises.</w:t>
      </w:r>
    </w:p>
    <w:p>
      <w:pPr>
        <w:pStyle w:val="ListBullet"/>
      </w:pPr>
      <w:r>
        <w:rPr>
          <w:sz w:val="22"/>
        </w:rPr>
        <w:t>Contrôle de tous les événements du registre.</w:t>
      </w:r>
    </w:p>
    <w:p>
      <w:pPr>
        <w:pStyle w:val="ListBullet"/>
      </w:pPr>
      <w:r>
        <w:rPr>
          <w:sz w:val="22"/>
        </w:rPr>
        <w:t>Contrôle des événements de perte de puissance de charge.</w:t>
      </w:r>
    </w:p>
    <w:p>
      <w:pPr>
        <w:pStyle w:val="ListBullet"/>
      </w:pPr>
      <w:r>
        <w:rPr>
          <w:sz w:val="22"/>
        </w:rPr>
        <w:t>Ouverture de la porte d'une Borne de recharge à distance.</w:t>
      </w:r>
    </w:p>
    <w:p>
      <w:pPr>
        <w:pStyle w:val="ListBullet"/>
      </w:pPr>
      <w:r>
        <w:rPr>
          <w:sz w:val="22"/>
        </w:rPr>
        <w:t>Test et mise en fonction des disjoncteurs différentiels.</w:t>
      </w:r>
    </w:p>
    <w:p>
      <w:pPr>
        <w:pStyle w:val="ListBullet"/>
      </w:pPr>
      <w:r>
        <w:rPr>
          <w:sz w:val="22"/>
        </w:rPr>
        <w:t>Démarrer et arrêter la charge.</w:t>
      </w:r>
    </w:p>
    <w:p>
      <w:pPr>
        <w:pStyle w:val="ListBullet"/>
      </w:pPr>
      <w:r>
        <w:rPr>
          <w:sz w:val="22"/>
        </w:rPr>
        <w:t>Contrôle des historiques des événements :</w:t>
      </w:r>
    </w:p>
    <w:p>
      <w:pPr>
        <w:pStyle w:val="ListBullet"/>
      </w:pPr>
      <w:r>
        <w:rPr>
          <w:sz w:val="22"/>
        </w:rPr>
        <w:t>Lieu de branchement.</w:t>
      </w:r>
    </w:p>
    <w:p>
      <w:pPr>
        <w:pStyle w:val="ListBullet"/>
      </w:pPr>
      <w:r>
        <w:rPr>
          <w:sz w:val="22"/>
        </w:rPr>
        <w:t>Date et heure de branchement et de débranchement.</w:t>
      </w:r>
    </w:p>
    <w:p>
      <w:pPr>
        <w:pStyle w:val="ListBullet"/>
      </w:pPr>
      <w:r>
        <w:rPr>
          <w:sz w:val="22"/>
        </w:rPr>
        <w:t>kW/h utilisés.</w:t>
      </w:r>
    </w:p>
    <w:p>
      <w:pPr>
        <w:pStyle w:val="ListBullet"/>
      </w:pPr>
      <w:r>
        <w:rPr>
          <w:sz w:val="22"/>
        </w:rPr>
        <w:t>Contrôle de la qualité du signal Data.</w:t>
      </w:r>
    </w:p>
    <w:p>
      <w:r>
        <w:rPr>
          <w:sz w:val="22"/>
        </w:rPr>
        <w:t>Chaque contrôle à distance ou sur site donne lieu à la rédaction de rapport des défauts ou de dysfonctionnements dans le Système de supervision et d’exploitation. Le Titulaire transmet le cinquième jour ouvré du mois suivant, le reporting indiquant les maintenances mensuelles réalisées au cours du mois concerné reprenant l’ensemble des informations attendues ci-dessus.</w:t>
      </w:r>
    </w:p>
    <w:p>
      <w:r>
        <w:rPr>
          <w:sz w:val="22"/>
        </w:rPr>
        <w:t>Délai maximum d’intervention pour une télémaintenance : 12 heures.</w:t>
      </w:r>
    </w:p>
    <w:p/>
    <w:p>
      <w:pPr>
        <w:pStyle w:val="Heading2"/>
      </w:pPr>
      <w:r>
        <w:rPr>
          <w:b/>
          <w:color w:val="6B0F4C"/>
          <w:sz w:val="26"/>
        </w:rPr>
        <w:t>8.2. Maintenance Corrective (incluant période de garantie et hors garantie)</w:t>
      </w:r>
    </w:p>
    <w:p/>
    <w:p>
      <w:r>
        <w:rPr>
          <w:sz w:val="22"/>
        </w:rPr>
        <w:t>La maintenance corrective a pour objet le dépannage suivi ou non d'une réparation d’une IRVE après détection d'une défaillance ne pouvant pas être résolue à distance. Lorsque la défaillance ne peut être corrigée à distance, une intervention sur site doit être réalisée.</w:t>
      </w:r>
    </w:p>
    <w:p>
      <w:pPr>
        <w:pStyle w:val="ListBullet"/>
      </w:pPr>
      <w:r>
        <w:rPr>
          <w:sz w:val="22"/>
        </w:rPr>
        <w:t>Diagnostic : Le Titulaire établit un diagnostic de la panne à la suite d’une détection à distance via le système de supervision ou à la suite d’une alerte d’un Usager ou d’un Utilisateur ou du Gestionnaire régional de France Travail. En cas d’alerte, il réalise le maximum de tests et d’essais à distance pour régler le problème et rétablir le service.</w:t>
      </w:r>
    </w:p>
    <w:p>
      <w:pPr>
        <w:pStyle w:val="ListBullet"/>
      </w:pPr>
      <w:r>
        <w:rPr>
          <w:sz w:val="22"/>
        </w:rPr>
        <w:t>Devis et travaux : Il produit un rapport de diagnostic qui déclenche un devis si l’intervention n’est pas couverte par la garantie ; après validation de ce devis éventuel par France Travail, il réalise les travaux.</w:t>
      </w:r>
    </w:p>
    <w:p>
      <w:pPr>
        <w:pStyle w:val="ListBullet"/>
      </w:pPr>
      <w:r>
        <w:rPr>
          <w:sz w:val="22"/>
        </w:rPr>
        <w:t>Bon de commande : À réception du rapport d’intervention, le gestionnaire France Travail émet un bon de commande correspondant à l’intervention effectuée.</w:t>
      </w:r>
    </w:p>
    <w:p/>
    <w:p>
      <w:pPr>
        <w:pStyle w:val="Heading2"/>
      </w:pPr>
      <w:r>
        <w:rPr>
          <w:b/>
          <w:color w:val="6B0F4C"/>
          <w:sz w:val="26"/>
        </w:rPr>
        <w:t>8.3. Délais d'Intervention</w:t>
      </w:r>
    </w:p>
    <w:p/>
    <w:p>
      <w:r>
        <w:rPr>
          <w:sz w:val="22"/>
        </w:rPr>
        <w:t>Le délai d’intervention imposé au Titulaire dépend de la nature du défaut identifié. Ces délais courent à compter du signalement (par l’outil d’alerte, l’Acheteur, un Usager ou un tiers) du défaut. Toute intervention sur site donne lieu à l’établissement d’un rapport d’intervention par le Titulaire, qui devra être transmis dans les 48 heures suivant la visite d’intervention. Dans l’hypothèse où le rétablissement nécessite la commande de pièces détachées ou de matériel, le Titulaire indique dans le Rapport d’intervention le délai de réception des pièces, et la date prévisible de remise en service.</w:t>
      </w:r>
    </w:p>
    <w:p/>
    <w:p>
      <w:pPr>
        <w:pStyle w:val="ListBullet"/>
      </w:pPr>
      <w:r>
        <w:rPr>
          <w:sz w:val="22"/>
        </w:rPr>
        <w:t>Niveau 1 : Défaut identifié par un technicien présent sur site (au titre d’une opération de maintenance préventive)</w:t>
      </w:r>
    </w:p>
    <w:p>
      <w:pPr>
        <w:pStyle w:val="ListBullet"/>
      </w:pPr>
      <w:r>
        <w:rPr>
          <w:sz w:val="22"/>
        </w:rPr>
        <w:t>Délai d’intervention : 72 heures ouvrées maximum.</w:t>
      </w:r>
    </w:p>
    <w:p/>
    <w:p>
      <w:pPr>
        <w:pStyle w:val="ListBullet"/>
      </w:pPr>
      <w:r>
        <w:rPr>
          <w:sz w:val="22"/>
        </w:rPr>
        <w:t>Niveau 2 : Défaut présentant un danger pour la sécurité des personnes</w:t>
      </w:r>
    </w:p>
    <w:p>
      <w:pPr>
        <w:pStyle w:val="ListBullet"/>
      </w:pPr>
      <w:r>
        <w:rPr>
          <w:sz w:val="22"/>
        </w:rPr>
        <w:t>Délai d’intervention maximal :</w:t>
      </w:r>
    </w:p>
    <w:p>
      <w:pPr>
        <w:pStyle w:val="ListBullet"/>
      </w:pPr>
      <w:r>
        <w:rPr>
          <w:sz w:val="22"/>
        </w:rPr>
        <w:t>4 heures en jours et heures ouvrés (de 8 heures à 17 heures du lundi au vendredi).</w:t>
      </w:r>
    </w:p>
    <w:p>
      <w:pPr>
        <w:pStyle w:val="ListBullet"/>
      </w:pPr>
      <w:r>
        <w:rPr>
          <w:sz w:val="22"/>
        </w:rPr>
        <w:t>12 heures ouvrées.</w:t>
      </w:r>
    </w:p>
    <w:p/>
    <w:p>
      <w:pPr>
        <w:pStyle w:val="ListBullet"/>
      </w:pPr>
      <w:r>
        <w:rPr>
          <w:sz w:val="22"/>
        </w:rPr>
        <w:t>Niveau 3 : Défaut ne présentant pas un danger pour la sécurité des personnes</w:t>
      </w:r>
    </w:p>
    <w:p>
      <w:pPr>
        <w:pStyle w:val="ListBullet"/>
      </w:pPr>
      <w:r>
        <w:rPr>
          <w:sz w:val="22"/>
        </w:rPr>
        <w:t>Délai d’intervention maximal :</w:t>
      </w:r>
    </w:p>
    <w:p>
      <w:pPr>
        <w:pStyle w:val="ListBullet"/>
      </w:pPr>
      <w:r>
        <w:rPr>
          <w:sz w:val="22"/>
        </w:rPr>
        <w:t>48 heures ouvrées si le site n’a qu’une seule borne (1 ou 2 points de charge).</w:t>
      </w:r>
    </w:p>
    <w:p>
      <w:pPr>
        <w:pStyle w:val="ListBullet"/>
      </w:pPr>
      <w:r>
        <w:rPr>
          <w:sz w:val="22"/>
        </w:rPr>
        <w:t>72 heures ouvrées si le site est doté d’une autre borne (1 ou 2 points de charge) en fonctionnement.</w:t>
      </w:r>
    </w:p>
    <w:p/>
    <w:p>
      <w:pPr>
        <w:pStyle w:val="Heading2"/>
      </w:pPr>
      <w:r>
        <w:rPr>
          <w:b/>
          <w:color w:val="6B0F4C"/>
          <w:sz w:val="26"/>
        </w:rPr>
        <w:t>8.4. Délais de Rétablissement</w:t>
      </w:r>
    </w:p>
    <w:p/>
    <w:p>
      <w:r>
        <w:rPr>
          <w:sz w:val="22"/>
        </w:rPr>
        <w:t>Les délais de rétablissement, au terme duquel le Titulaire s’engage à avoir rétabli le bon état de fonctionnement des Bornes de recharge concernées, dépendent de la nature du défaut identifié. Ces délais courent à compter du constat du défaut ou du dysfonctionnement. Le délai de rétablissement pris en compte est le délai issu du Rapport d’intervention tenant compte notamment de la réception des pièces ou matériel nécessaire.</w:t>
      </w:r>
    </w:p>
    <w:p/>
    <w:p>
      <w:pPr>
        <w:pStyle w:val="ListBullet"/>
      </w:pPr>
      <w:r>
        <w:rPr>
          <w:sz w:val="22"/>
        </w:rPr>
        <w:t>Niveau 1 : Défaut affectant la disponibilité de la totalité de l’outil de supervision et du service (notamment au titre de l’obligation de bon fonctionnement du Système de supervision et d’exploitation)</w:t>
      </w:r>
    </w:p>
    <w:p>
      <w:pPr>
        <w:pStyle w:val="ListBullet"/>
      </w:pPr>
      <w:r>
        <w:rPr>
          <w:sz w:val="22"/>
        </w:rPr>
        <w:t>Délai de rétablissement maximal : 72 heures ouvrées.</w:t>
      </w:r>
    </w:p>
    <w:p/>
    <w:p>
      <w:pPr>
        <w:pStyle w:val="ListBullet"/>
      </w:pPr>
      <w:r>
        <w:rPr>
          <w:sz w:val="22"/>
        </w:rPr>
        <w:t>Niveau 2 : Défaut affectant un ou plusieurs IRVE, sans changement de pièce nécessaire</w:t>
      </w:r>
    </w:p>
    <w:p>
      <w:pPr>
        <w:pStyle w:val="ListBullet"/>
      </w:pPr>
      <w:r>
        <w:rPr>
          <w:sz w:val="22"/>
        </w:rPr>
        <w:t>Délai de rétablissement maximal : 48 heures ouvrées.</w:t>
      </w:r>
    </w:p>
    <w:p/>
    <w:p>
      <w:pPr>
        <w:pStyle w:val="ListBullet"/>
      </w:pPr>
      <w:r>
        <w:rPr>
          <w:sz w:val="22"/>
        </w:rPr>
        <w:t>Niveau 3 : Défaut affectant une ou plusieurs IRVE, avec changement de pièce nécessaire mais sans remplacement de l’IRVE</w:t>
      </w:r>
    </w:p>
    <w:p>
      <w:pPr>
        <w:pStyle w:val="ListBullet"/>
      </w:pPr>
      <w:r>
        <w:rPr>
          <w:sz w:val="22"/>
        </w:rPr>
        <w:t>Délai de rétablissement maximal :</w:t>
      </w:r>
    </w:p>
    <w:p>
      <w:pPr>
        <w:pStyle w:val="ListBullet"/>
      </w:pPr>
      <w:r>
        <w:rPr>
          <w:sz w:val="22"/>
        </w:rPr>
        <w:t>Si le défaut affecte tous les points de charge d’un même site : 96 heures ouvrées.</w:t>
      </w:r>
    </w:p>
    <w:p>
      <w:pPr>
        <w:pStyle w:val="ListBullet"/>
      </w:pPr>
      <w:r>
        <w:rPr>
          <w:sz w:val="22"/>
        </w:rPr>
        <w:t>Si le défaut n’affecte pas tous les points de charge d’un même site : 120 heures ouvrées.</w:t>
      </w:r>
    </w:p>
    <w:p/>
    <w:p>
      <w:pPr>
        <w:pStyle w:val="ListBullet"/>
      </w:pPr>
      <w:r>
        <w:rPr>
          <w:sz w:val="22"/>
        </w:rPr>
        <w:t>Niveau 4 : Défaut affectant une ou plusieurs Bornes de recharge, avec remplacement de la Borne</w:t>
      </w:r>
    </w:p>
    <w:p>
      <w:pPr>
        <w:pStyle w:val="ListBullet"/>
      </w:pPr>
      <w:r>
        <w:rPr>
          <w:sz w:val="22"/>
        </w:rPr>
        <w:t>Délai de rétablissement maximal :</w:t>
      </w:r>
    </w:p>
    <w:p>
      <w:pPr>
        <w:pStyle w:val="ListBullet"/>
      </w:pPr>
      <w:r>
        <w:rPr>
          <w:sz w:val="22"/>
        </w:rPr>
        <w:t>Si le défaut n’affecte pas tous les points de charge d’un même site : 144 heures ouvrées.</w:t>
      </w:r>
    </w:p>
    <w:p>
      <w:pPr>
        <w:pStyle w:val="ListBullet"/>
      </w:pPr>
      <w:r>
        <w:rPr>
          <w:sz w:val="22"/>
        </w:rPr>
        <w:t>Si le défaut affecte tous les points de charge d’un même site : 120 heures ouvrées.</w:t>
      </w:r>
    </w:p>
    <w:p/>
    <w:p>
      <w:r>
        <w:rPr>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