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RAPPORT D'ANALYSE &amp; CAHIER DES CHARGES - N2IGC</w:t>
      </w:r>
    </w:p>
    <w:p>
      <w:r>
        <w:t>Généré via Gemini le 09/07/2026 à 19:12</w:t>
        <w:br/>
      </w:r>
    </w:p>
    <w:p>
      <w:pPr>
        <w:pStyle w:val="Heading1"/>
      </w:pPr>
      <w:r>
        <w:rPr>
          <w:color w:val="1A56DB"/>
          <w:sz w:val="28"/>
        </w:rPr>
        <w:t>1. ÉLIGIBILITÉ ET PREDICTION NOTE JURY</w:t>
      </w:r>
    </w:p>
    <w:p/>
    <w:p>
      <w:r>
        <w:br w:type="page"/>
      </w:r>
    </w:p>
    <w:p>
      <w:pPr>
        <w:pStyle w:val="Heading1"/>
      </w:pPr>
      <w:r>
        <w:rPr>
          <w:color w:val="1A56DB"/>
          <w:sz w:val="28"/>
        </w:rPr>
        <w:t>2. CAHIER DES CHARGES TECHNIQUE DÉTAILLÉ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