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56DB"/>
          <w:sz w:val="32"/>
        </w:rPr>
        <w:t>RÈGLEMENT DE CONSULTATION (RC)</w:t>
      </w:r>
    </w:p>
    <w:p>
      <w:r>
        <w:t>Généré automatiquement pour N2IGC le 09/07/2026 - Structure Validée</w:t>
        <w:br/>
      </w:r>
    </w:p>
    <w:p>
      <w:r>
        <w:rPr>
          <w:sz w:val="22"/>
        </w:rPr>
        <w:t>RÈGLEMENT DE CONSULTATION (RC)</w:t>
      </w:r>
    </w:p>
    <w:p/>
    <w:p>
      <w:r>
        <w:rPr>
          <w:sz w:val="22"/>
        </w:rPr>
        <w:t>Marché de Fourniture, d’Installation, de Maintenance et de Supervision d’Infrastructures de Recharge de Véhicule Électrique</w:t>
      </w:r>
    </w:p>
    <w:p/>
    <w:p>
      <w:r>
        <w:rPr>
          <w:sz w:val="22"/>
        </w:rPr>
        <w:t>Référence : 010.26</w:t>
      </w:r>
    </w:p>
    <w:p>
      <w:r>
        <w:rPr>
          <w:sz w:val="22"/>
        </w:rPr>
        <w:t>Type de procédure : Appel d'offres ouvert</w:t>
      </w:r>
    </w:p>
    <w:p>
      <w:r>
        <w:rPr>
          <w:sz w:val="22"/>
        </w:rPr>
        <w:t>Date et heure limite de remise des plis : 15/07/2026 à 16h00</w:t>
      </w:r>
    </w:p>
    <w:p/>
    <w:p>
      <w:r>
        <w:rPr>
          <w:sz w:val="22"/>
        </w:rPr>
        <w:t>---</w:t>
      </w:r>
    </w:p>
    <w:p/>
    <w:p>
      <w:pPr>
        <w:pStyle w:val="Heading2"/>
      </w:pPr>
      <w:r>
        <w:rPr>
          <w:b/>
          <w:color w:val="6B0F4C"/>
          <w:sz w:val="26"/>
        </w:rPr>
        <w:t>1. Objet de la consultation</w:t>
      </w:r>
    </w:p>
    <w:p/>
    <w:p>
      <w:r>
        <w:rPr>
          <w:sz w:val="22"/>
        </w:rPr>
        <w:t>La présente consultation, menée par France Travail, établissement public administratif soumis aux dispositions du Code de la commande publique, a pour objet la fourniture, l’installation, la maintenance et la supervision d’infrastructures de recharge de véhicule électrique (IRVE).</w:t>
      </w:r>
    </w:p>
    <w:p/>
    <w:p>
      <w:r>
        <w:rPr>
          <w:sz w:val="22"/>
        </w:rPr>
        <w:t>Plus précisément, le marché couvre les prestations suivantes :</w:t>
      </w:r>
    </w:p>
    <w:p>
      <w:pPr>
        <w:pStyle w:val="ListBullet"/>
      </w:pPr>
      <w:r>
        <w:rPr>
          <w:sz w:val="22"/>
        </w:rPr>
        <w:t>La fourniture d’IRVE de type 7 Kwa ou 22 Kwa, à simple ou double point de recharge, conformes aux spécifications techniques détaillées dans le Cahier des Clauses Techniques Particulières (CCTP), notamment en termes de prises (Type 2), compteurs (MID), protocoles de supervision (OCPP v1.6 ou plus récent), lecteurs RFID, étanchéité (IP 55), solidité (IK 10) et certifications (EV Ready, CE, CB).</w:t>
      </w:r>
    </w:p>
    <w:p>
      <w:pPr>
        <w:pStyle w:val="ListBullet"/>
      </w:pPr>
      <w:r>
        <w:rPr>
          <w:sz w:val="22"/>
        </w:rPr>
        <w:t>L’installation et la mise en service des IRVE, incluant les travaux de génie civil, le raccordement électrique, la signalétique (avec utilisation de produits écolabellisés NF Environnement 331 pour la signalétique horizontale) et la réalisation des essais de fonctionnement.</w:t>
      </w:r>
    </w:p>
    <w:p>
      <w:pPr>
        <w:pStyle w:val="ListBullet"/>
      </w:pPr>
      <w:r>
        <w:rPr>
          <w:sz w:val="22"/>
        </w:rPr>
        <w:t>La maintenance préventive (annuelle sur site pendant 3 ans après mise en service, et mensuelle à distance) et corrective des IRVE, avec des délais d'intervention et de rétablissement spécifiques selon la nature des défauts.</w:t>
      </w:r>
    </w:p>
    <w:p>
      <w:pPr>
        <w:pStyle w:val="ListBullet"/>
      </w:pPr>
      <w:r>
        <w:rPr>
          <w:sz w:val="22"/>
        </w:rPr>
        <w:t>La supervision des IRVE via un système compatible OCPP v1.6 ou plus récent, permettant le pilotage, la gestion des alertes, la remontée de données, la planification des réservations, la gestion des accès et des paiements.</w:t>
      </w:r>
    </w:p>
    <w:p>
      <w:pPr>
        <w:pStyle w:val="ListBullet"/>
      </w:pPr>
      <w:r>
        <w:rPr>
          <w:sz w:val="22"/>
        </w:rPr>
        <w:t>La reprise de la gestion, de la maintenance et de la supervision du parc IRVE existant de France Travail.</w:t>
      </w:r>
    </w:p>
    <w:p>
      <w:pPr>
        <w:pStyle w:val="ListBullet"/>
      </w:pPr>
      <w:r>
        <w:rPr>
          <w:sz w:val="22"/>
        </w:rPr>
        <w:t>La mise en œuvre de la charge payante pour la recharge des véhicules personnels des agents de France Travail, avec gestion des paiements et reversement des sommes à France Travail.</w:t>
      </w:r>
    </w:p>
    <w:p>
      <w:pPr>
        <w:pStyle w:val="ListBullet"/>
      </w:pPr>
      <w:r>
        <w:rPr>
          <w:sz w:val="22"/>
        </w:rPr>
        <w:t>La gestion et la fourniture de cartes d’identification RFID pour les véhicules de service et les véhicules personnels des agents.</w:t>
      </w:r>
    </w:p>
    <w:p/>
    <w:p>
      <w:r>
        <w:rPr>
          <w:sz w:val="22"/>
        </w:rPr>
        <w:t>Le marché concerne l’ensemble des directions régionales de France Travail pour la France métropolitaine et la Corse. Les sites situés dans les DOM/ROM sont exclus du périmètre de ce marché.</w:t>
      </w:r>
    </w:p>
    <w:p/>
    <w:p>
      <w:r>
        <w:rPr>
          <w:sz w:val="22"/>
        </w:rPr>
        <w:t>À titre d'information, la volumétrie estimée pour le nouveau marché est de 600 points de charge répartis sur 400 sites sur les trois prochaines années. Le marché inclut également la reprise en supervision et maintenance d'un parc existant de 105 bornes non supervisées, en plus du parc déjà supervisé.</w:t>
      </w:r>
    </w:p>
    <w:p/>
    <w:p>
      <w:r>
        <w:rPr>
          <w:sz w:val="22"/>
        </w:rPr>
        <w:t>Allotissement : [À PRÉCISER : Le dossier ne mentionne pas d'allotissement. Le marché est considéré comme un marché global unique compte tenu de l'interdépendance des prestations de fourniture, installation, maintenance et supervision. Les candidats devront donc proposer une offre pour l'ensemble des prestations décrites.]</w:t>
      </w:r>
    </w:p>
    <w:p/>
    <w:p>
      <w:pPr>
        <w:pStyle w:val="Heading2"/>
      </w:pPr>
      <w:r>
        <w:rPr>
          <w:b/>
          <w:color w:val="6B0F4C"/>
          <w:sz w:val="26"/>
        </w:rPr>
        <w:t>2. Conditions relatives à la consultation</w:t>
      </w:r>
    </w:p>
    <w:p/>
    <w:p>
      <w:r>
        <w:rPr>
          <w:sz w:val="22"/>
        </w:rPr>
        <w:t>Délai de validité des offres : Les offres devront être valables pendant un délai de 180 jours à compter de la date limite de remise des plis.</w:t>
      </w:r>
    </w:p>
    <w:p/>
    <w:p>
      <w:r>
        <w:rPr>
          <w:sz w:val="22"/>
        </w:rPr>
        <w:t>Confidentialité : Les informations contenues dans le dossier de consultation des entreprises (DCE) sont confidentielles et ne doivent pas être divulguées à des tiers. Les candidats s'engagent à respecter cette confidentialité. France Travail s'engage également à préserver la confidentialité des informations et documents transmis par les candidats et les soumissionnaires, notamment les secrets techniques et commerciaux, sous réserve des dispositions légales et réglementaires en vigueur.</w:t>
      </w:r>
    </w:p>
    <w:p/>
    <w:p>
      <w:pPr>
        <w:pStyle w:val="Heading2"/>
      </w:pPr>
      <w:r>
        <w:rPr>
          <w:b/>
          <w:color w:val="6B0F4C"/>
          <w:sz w:val="26"/>
        </w:rPr>
        <w:t>3. Contenu du dossier de consultation des entreprises (DCE) + modalités de retrait/plateforme</w:t>
      </w:r>
    </w:p>
    <w:p/>
    <w:p>
      <w:r>
        <w:rPr>
          <w:sz w:val="22"/>
        </w:rPr>
        <w:t>Le Dossier de Consultation des Entreprises (DCE) comprend les documents suivants :</w:t>
      </w:r>
    </w:p>
    <w:p>
      <w:pPr>
        <w:pStyle w:val="ListBullet"/>
      </w:pPr>
      <w:r>
        <w:rPr>
          <w:sz w:val="22"/>
        </w:rPr>
        <w:t>Le présent Règlement de Consultation (RC)</w:t>
      </w:r>
    </w:p>
    <w:p>
      <w:pPr>
        <w:pStyle w:val="ListBullet"/>
      </w:pPr>
      <w:r>
        <w:rPr>
          <w:sz w:val="22"/>
        </w:rPr>
        <w:t>L'Acte d'Engagement (AE)</w:t>
      </w:r>
    </w:p>
    <w:p>
      <w:pPr>
        <w:pStyle w:val="ListBullet"/>
      </w:pPr>
      <w:r>
        <w:rPr>
          <w:sz w:val="22"/>
        </w:rPr>
        <w:t>Le Cahier des Clauses Administratives Particulières (CCAP)</w:t>
      </w:r>
    </w:p>
    <w:p>
      <w:pPr>
        <w:pStyle w:val="ListBullet"/>
      </w:pPr>
      <w:r>
        <w:rPr>
          <w:sz w:val="22"/>
        </w:rPr>
        <w:t>Le Cahier des Clauses Techniques Particulières (CCTP), incluant le Cahier des Charges Fonctionnel et Technique (CCFT)</w:t>
      </w:r>
    </w:p>
    <w:p>
      <w:pPr>
        <w:pStyle w:val="ListBullet"/>
      </w:pPr>
      <w:r>
        <w:rPr>
          <w:sz w:val="22"/>
        </w:rPr>
        <w:t>Le Bordereau des Prix Unitaires (BPU)</w:t>
      </w:r>
    </w:p>
    <w:p>
      <w:pPr>
        <w:pStyle w:val="ListBullet"/>
      </w:pPr>
      <w:r>
        <w:rPr>
          <w:sz w:val="22"/>
        </w:rPr>
        <w:t>La Décomposition du Prix Global Forfaitaire (DPGF) [À PRÉCISER : Si applicable, ou si le BPU est suffisant, la DPGF peut être optionnelle ou non fournie par l'acheteur.]</w:t>
      </w:r>
    </w:p>
    <w:p>
      <w:pPr>
        <w:pStyle w:val="ListBullet"/>
      </w:pPr>
      <w:r>
        <w:rPr>
          <w:sz w:val="22"/>
        </w:rPr>
        <w:t>Les annexes éventuelles.</w:t>
      </w:r>
    </w:p>
    <w:p/>
    <w:p>
      <w:r>
        <w:rPr>
          <w:sz w:val="22"/>
        </w:rPr>
        <w:t>Modalités de retrait du DCE :</w:t>
      </w:r>
    </w:p>
    <w:p>
      <w:r>
        <w:rPr>
          <w:sz w:val="22"/>
        </w:rPr>
        <w:t>Le DCE est mis gratuitement à la disposition des candidats sur la plateforme de dématérialisation de France Travail : [À PRÉCISER : Indiquer l'adresse exacte de la plateforme, ex: https://www.marches-publics.gouv.fr ou https://www.achatpublic.com].</w:t>
      </w:r>
    </w:p>
    <w:p>
      <w:r>
        <w:rPr>
          <w:sz w:val="22"/>
        </w:rPr>
        <w:t>L'accès au DCE est libre, direct et complet. Les candidats sont invités à s'inscrire sur la plateforme pour être informés des éventuelles modifications ou compléments apportés au DCE.</w:t>
      </w:r>
    </w:p>
    <w:p/>
    <w:p>
      <w:pPr>
        <w:pStyle w:val="Heading2"/>
      </w:pPr>
      <w:r>
        <w:rPr>
          <w:b/>
          <w:color w:val="6B0F4C"/>
          <w:sz w:val="26"/>
        </w:rPr>
        <w:t>4. Délai et modalités pour poser des questions</w:t>
      </w:r>
    </w:p>
    <w:p/>
    <w:p>
      <w:r>
        <w:rPr>
          <w:sz w:val="22"/>
        </w:rPr>
        <w:t>Les candidats ont la possibilité de poser des questions relatives au DCE.</w:t>
      </w:r>
    </w:p>
    <w:p>
      <w:r>
        <w:rPr>
          <w:sz w:val="22"/>
        </w:rPr>
        <w:t>Date limite pour poser des questions : Les questions devront être posées au plus tard 10 jours ouvrés avant la date limite de remise des plis, soit le 01/07/2026 à 16h00.</w:t>
      </w:r>
    </w:p>
    <w:p/>
    <w:p>
      <w:r>
        <w:rPr>
          <w:sz w:val="22"/>
        </w:rPr>
        <w:t>Modalités de soumission des questions :</w:t>
      </w:r>
    </w:p>
    <w:p>
      <w:r>
        <w:rPr>
          <w:sz w:val="22"/>
        </w:rPr>
        <w:t>Toutes les questions devront être posées exclusivement par écrit, via la plateforme de dématérialisation mentionnée à l'article 3 du présent RC. Aucune question posée par un autre canal (téléphone, e-mail direct, courrier) ne sera prise en compte.</w:t>
      </w:r>
    </w:p>
    <w:p/>
    <w:p>
      <w:r>
        <w:rPr>
          <w:sz w:val="22"/>
        </w:rPr>
        <w:t>Publication des réponses :</w:t>
      </w:r>
    </w:p>
    <w:p>
      <w:r>
        <w:rPr>
          <w:sz w:val="22"/>
        </w:rPr>
        <w:t>Les réponses aux questions seront publiées sur la même plateforme de dématérialisation, dans un délai permettant à tous les candidats d'en prendre connaissance avant la date limite de remise des plis. Les réponses seront anonymisées et accessibles à l'ensemble des candidats ayant retiré le DCE.</w:t>
      </w:r>
    </w:p>
    <w:p/>
    <w:p>
      <w:pPr>
        <w:pStyle w:val="Heading2"/>
      </w:pPr>
      <w:r>
        <w:rPr>
          <w:b/>
          <w:color w:val="6B0F4C"/>
          <w:sz w:val="26"/>
        </w:rPr>
        <w:t>5. Documents à produire au titre de la candidature</w:t>
      </w:r>
    </w:p>
    <w:p/>
    <w:p>
      <w:r>
        <w:rPr>
          <w:sz w:val="22"/>
        </w:rPr>
        <w:t>Les candidats devront produire les documents suivants pour justifier de leurs capacités et de leur aptitude à exécuter le marché :</w:t>
      </w:r>
    </w:p>
    <w:p/>
    <w:p>
      <w:r>
        <w:rPr>
          <w:sz w:val="22"/>
        </w:rPr>
        <w:t>5.1. Déclarations sur l'honneur et formulaires standards :</w:t>
      </w:r>
    </w:p>
    <w:p>
      <w:pPr>
        <w:pStyle w:val="ListBullet"/>
      </w:pPr>
      <w:r>
        <w:rPr>
          <w:sz w:val="22"/>
        </w:rPr>
        <w:t>Une déclaration sur l'honneur attestant que le candidat ne fait l'objet d'aucune exclusion de la participation à la procédure de passation des contrats de concession en vertu des articles L. 3123-1 à L. 3123-14 du Code de la commande publique.</w:t>
      </w:r>
    </w:p>
    <w:p>
      <w:pPr>
        <w:pStyle w:val="ListBullet"/>
      </w:pPr>
      <w:r>
        <w:rPr>
          <w:sz w:val="22"/>
        </w:rPr>
        <w:t>Le formulaire DC1 (Lettre de candidature – Habilitation du mandataire par ses cotraitants) dûment complété et signé.</w:t>
      </w:r>
    </w:p>
    <w:p>
      <w:pPr>
        <w:pStyle w:val="ListBullet"/>
      </w:pPr>
      <w:r>
        <w:rPr>
          <w:sz w:val="22"/>
        </w:rPr>
        <w:t>Le formulaire DC2 (Déclaration du candidat individuel ou du membre du groupement) dûment complété et signé, ou le Document Unique de Marché Européen (DUME) complété.</w:t>
      </w:r>
    </w:p>
    <w:p/>
    <w:p>
      <w:r>
        <w:rPr>
          <w:sz w:val="22"/>
        </w:rPr>
        <w:t>5.2. Capacités économiques et financières :</w:t>
      </w:r>
    </w:p>
    <w:p>
      <w:pPr>
        <w:pStyle w:val="ListBullet"/>
      </w:pPr>
      <w:r>
        <w:rPr>
          <w:sz w:val="22"/>
        </w:rPr>
        <w:t>Déclaration concernant le chiffre d'affaires global et le chiffre d'affaires concernant les prestations objet du marché, réalisés au cours des trois derniers exercices disponibles.</w:t>
      </w:r>
    </w:p>
    <w:p>
      <w:pPr>
        <w:pStyle w:val="ListBullet"/>
      </w:pPr>
      <w:r>
        <w:rPr>
          <w:sz w:val="22"/>
        </w:rPr>
        <w:t>Attestation d'assurance pour les risques professionnels (responsabilité civile professionnelle et décennale si applicable aux travaux d'installation).</w:t>
      </w:r>
    </w:p>
    <w:p>
      <w:pPr>
        <w:pStyle w:val="ListBullet"/>
      </w:pPr>
      <w:r>
        <w:rPr>
          <w:sz w:val="22"/>
        </w:rPr>
        <w:t>[À PRÉCISER : Tout autre document jugé pertinent par l'acheteur pour évaluer la solidité financière, ex: bilans ou extraits de bilans des trois derniers exercices.]</w:t>
      </w:r>
    </w:p>
    <w:p/>
    <w:p>
      <w:r>
        <w:rPr>
          <w:sz w:val="22"/>
        </w:rPr>
        <w:t>5.3. Capacités techniques et professionnelles :</w:t>
      </w:r>
    </w:p>
    <w:p>
      <w:pPr>
        <w:pStyle w:val="ListBullet"/>
      </w:pPr>
      <w:r>
        <w:rPr>
          <w:sz w:val="22"/>
        </w:rPr>
        <w:t>Une présentation de l'entreprise, de ses activités, de ses moyens humains (effectifs moyens annuels, qualifications du personnel dédié au marché) et matériels (outils, équipements spécifiques).</w:t>
      </w:r>
    </w:p>
    <w:p>
      <w:pPr>
        <w:pStyle w:val="ListBullet"/>
      </w:pPr>
      <w:r>
        <w:rPr>
          <w:sz w:val="22"/>
        </w:rPr>
        <w:t>Une liste des principales prestations similaires effectuées au cours des trois dernières années, indiquant le montant, la date et le destinataire public ou privé. Les prestations seront prouvées par des attestations de bonne exécution ou, à défaut, par une déclaration du candidat.</w:t>
      </w:r>
    </w:p>
    <w:p>
      <w:pPr>
        <w:pStyle w:val="ListBullet"/>
      </w:pPr>
      <w:r>
        <w:rPr>
          <w:sz w:val="22"/>
        </w:rPr>
        <w:t>Les qualifications professionnelles pertinentes, telles que :</w:t>
      </w:r>
    </w:p>
    <w:p>
      <w:pPr>
        <w:pStyle w:val="ListBullet"/>
      </w:pPr>
      <w:r>
        <w:rPr>
          <w:sz w:val="22"/>
        </w:rPr>
        <w:t>Qualification Qualifelec IRVE (P1, P2, P3) ou équivalent.</w:t>
      </w:r>
    </w:p>
    <w:p>
      <w:pPr>
        <w:pStyle w:val="ListBullet"/>
      </w:pPr>
      <w:r>
        <w:rPr>
          <w:sz w:val="22"/>
        </w:rPr>
        <w:t>Certification ISO 9001 (management de la qualité) et/ou ISO 14001 (management environnemental) [À PRÉCISER : Si l'acheteur souhaite ces certifications].</w:t>
      </w:r>
    </w:p>
    <w:p>
      <w:pPr>
        <w:pStyle w:val="ListBullet"/>
      </w:pPr>
      <w:r>
        <w:rPr>
          <w:sz w:val="22"/>
        </w:rPr>
        <w:t>Une description de l'outillage, du matériel et de l'équipement technique dont le candidat disposera pour la réalisation du marché.</w:t>
      </w:r>
    </w:p>
    <w:p>
      <w:pPr>
        <w:pStyle w:val="ListBullet"/>
      </w:pPr>
      <w:r>
        <w:rPr>
          <w:sz w:val="22"/>
        </w:rPr>
        <w:t>Une description des mesures environnementales mises en œuvre par le candidat dans l'exécution de prestations de même nature.</w:t>
      </w:r>
    </w:p>
    <w:p/>
    <w:p>
      <w:r>
        <w:rPr>
          <w:sz w:val="22"/>
        </w:rPr>
        <w:t>5.4. Engagements spécifiques :</w:t>
      </w:r>
    </w:p>
    <w:p>
      <w:pPr>
        <w:pStyle w:val="ListBullet"/>
      </w:pPr>
      <w:r>
        <w:rPr>
          <w:sz w:val="22"/>
        </w:rPr>
        <w:t>La "Charte Achats Responsables de France Travail" dûment signée par le candidat, attestant de son adhésion aux principes d'achats responsables de l'établissement. Il n'est pas attendu d'éléments complémentaires à ce stade de la procédure.</w:t>
      </w:r>
    </w:p>
    <w:p>
      <w:pPr>
        <w:pStyle w:val="ListBullet"/>
      </w:pPr>
      <w:r>
        <w:rPr>
          <w:sz w:val="22"/>
        </w:rPr>
        <w:t>La "Déclaration du candidat relative à la gestion des droits de l’homme dans ses chaînes d’approvisionnement" dûment complétée et signée. Il n'est pas attendu d'éléments complémentaires à ce stade de la procédure.</w:t>
      </w:r>
    </w:p>
    <w:p/>
    <w:p>
      <w:r>
        <w:rPr>
          <w:sz w:val="22"/>
        </w:rPr>
        <w:t>5.5. Attestations fiscales et sociales :</w:t>
      </w:r>
    </w:p>
    <w:p>
      <w:pPr>
        <w:pStyle w:val="ListBullet"/>
      </w:pPr>
      <w:r>
        <w:rPr>
          <w:sz w:val="22"/>
        </w:rPr>
        <w:t>Les attestations et certificats délivrés par les administrations et organismes compétents prouvant que le candidat est à jour de ses obligations fiscales et sociales (URSSAF, impôts).</w:t>
      </w:r>
    </w:p>
    <w:p/>
    <w:p>
      <w:pPr>
        <w:pStyle w:val="Heading2"/>
      </w:pPr>
      <w:r>
        <w:rPr>
          <w:b/>
          <w:color w:val="6B0F4C"/>
          <w:sz w:val="26"/>
        </w:rPr>
        <w:t>6. Documents à produire au titre de l'offre</w:t>
      </w:r>
    </w:p>
    <w:p/>
    <w:p>
      <w:r>
        <w:rPr>
          <w:sz w:val="22"/>
        </w:rPr>
        <w:t>Les candidats devront produire les documents suivants pour présenter leur offre :</w:t>
      </w:r>
    </w:p>
    <w:p/>
    <w:p>
      <w:r>
        <w:rPr>
          <w:sz w:val="22"/>
        </w:rPr>
        <w:t>6.1. Acte d'Engagement (AE) :</w:t>
      </w:r>
    </w:p>
    <w:p>
      <w:pPr>
        <w:pStyle w:val="ListBullet"/>
      </w:pPr>
      <w:r>
        <w:rPr>
          <w:sz w:val="22"/>
        </w:rPr>
        <w:t>L'Acte d'Engagement (AE) dûment complété, daté et signé par une personne habilitée à engager le candidat.</w:t>
      </w:r>
    </w:p>
    <w:p/>
    <w:p>
      <w:r>
        <w:rPr>
          <w:sz w:val="22"/>
        </w:rPr>
        <w:t>6.2. Bordereau des Prix Unitaires (BPU) :</w:t>
      </w:r>
    </w:p>
    <w:p>
      <w:pPr>
        <w:pStyle w:val="ListBullet"/>
      </w:pPr>
      <w:r>
        <w:rPr>
          <w:sz w:val="22"/>
        </w:rPr>
        <w:t>Le Bordereau des Prix Unitaires (BPU) dûment complété, sans modification des libellés des postes. Les prix devront être exprimés en euros (€) hors taxes (HT). Il est rappelé que pour les prestations de maintenance curative, le forfait déplacement comprend le déplacement ainsi que le temps passé pour le diagnostic du dysfonctionnement constaté (durée moyenne estimée à 1 heure).</w:t>
      </w:r>
    </w:p>
    <w:p/>
    <w:p>
      <w:r>
        <w:rPr>
          <w:sz w:val="22"/>
        </w:rPr>
        <w:t>6.3. Mémoire Technique :</w:t>
      </w:r>
    </w:p>
    <w:p>
      <w:r>
        <w:rPr>
          <w:sz w:val="22"/>
        </w:rPr>
        <w:t>Le Mémoire Technique devra détailler la compréhension du besoin de France Travail et la solution proposée par le candidat pour l'ensemble des prestations. Il devra notamment aborder les points suivants :</w:t>
      </w:r>
    </w:p>
    <w:p/>
    <w:p>
      <w:pPr>
        <w:pStyle w:val="ListBullet"/>
      </w:pPr>
      <w:r>
        <w:rPr>
          <w:sz w:val="22"/>
        </w:rPr>
        <w:t>Compréhension du besoin et méthodologie générale :</w:t>
      </w:r>
    </w:p>
    <w:p>
      <w:pPr>
        <w:pStyle w:val="ListBullet"/>
      </w:pPr>
      <w:r>
        <w:rPr>
          <w:sz w:val="22"/>
        </w:rPr>
        <w:t>Présentation de la compréhension du marché et des enjeux pour France Travail.</w:t>
      </w:r>
    </w:p>
    <w:p>
      <w:pPr>
        <w:pStyle w:val="ListBullet"/>
      </w:pPr>
      <w:r>
        <w:rPr>
          <w:sz w:val="22"/>
        </w:rPr>
        <w:t>Description de la méthodologie générale d'exécution des prestations (fourniture, installation, maintenance, supervision, reprise du parc existant, monétisation).</w:t>
      </w:r>
    </w:p>
    <w:p>
      <w:pPr>
        <w:pStyle w:val="ListBullet"/>
      </w:pPr>
      <w:r>
        <w:rPr>
          <w:sz w:val="22"/>
        </w:rPr>
        <w:t>Fourniture et installation des IRVE :</w:t>
      </w:r>
    </w:p>
    <w:p>
      <w:pPr>
        <w:pStyle w:val="ListBullet"/>
      </w:pPr>
      <w:r>
        <w:rPr>
          <w:sz w:val="22"/>
        </w:rPr>
        <w:t>Description détaillée des types de bornes proposées (7 Kwa, 22 Kwa, simple/double point), de leurs caractéristiques techniques (prises Type 2, compteur MID, OCPP v1.6+, RFID, IP 55, IK 10, certifications EV Ready, CE, CB, connectivité Ethernet/DATA/Wi-Fi) et de leurs garanties (contractuelle 2 ans, parfait achèvement 1 an, bon fonctionnement 2 ans).</w:t>
      </w:r>
    </w:p>
    <w:p>
      <w:pPr>
        <w:pStyle w:val="ListBullet"/>
      </w:pPr>
      <w:r>
        <w:rPr>
          <w:sz w:val="22"/>
        </w:rPr>
        <w:t>Description du processus d'installation, incluant la visite de site (délai max 21 jours), l'étude et l'émission du devis (délai max 14 jours après visite), et le début des travaux (délai max 30 jours après bon de commande SAP).</w:t>
      </w:r>
    </w:p>
    <w:p>
      <w:pPr>
        <w:pStyle w:val="ListBullet"/>
      </w:pPr>
      <w:r>
        <w:rPr>
          <w:sz w:val="22"/>
        </w:rPr>
        <w:t>Détail des travaux de génie civil, raccordement électrique et signalétique, en précisant l'utilisation de produits écolabellisés NF Environnement 331 pour la signalétique horizontale et la gestion des déchets/gravats dans le respect des bonnes pratiques RSE.</w:t>
      </w:r>
    </w:p>
    <w:p>
      <w:pPr>
        <w:pStyle w:val="ListBullet"/>
      </w:pPr>
      <w:r>
        <w:rPr>
          <w:sz w:val="22"/>
        </w:rPr>
        <w:t>Description des opérations de mise en service et de réception des travaux (intégration supervision 48h ouvrées max après réception travaux, procès-verbal de réception dans les 14 jours après attestation de conformité).</w:t>
      </w:r>
    </w:p>
    <w:p>
      <w:pPr>
        <w:pStyle w:val="ListBullet"/>
      </w:pPr>
      <w:r>
        <w:rPr>
          <w:sz w:val="22"/>
        </w:rPr>
        <w:t>Maintenance des IRVE :</w:t>
      </w:r>
    </w:p>
    <w:p>
      <w:pPr>
        <w:pStyle w:val="ListBullet"/>
      </w:pPr>
      <w:r>
        <w:rPr>
          <w:sz w:val="22"/>
        </w:rPr>
        <w:t>Description de l'organisation et des moyens dédiés à la maintenance préventive (annuelle sur site conforme constructeur pendant 3 ans, mensuelle à distance) et corrective.</w:t>
      </w:r>
    </w:p>
    <w:p>
      <w:pPr>
        <w:pStyle w:val="ListBullet"/>
      </w:pPr>
      <w:r>
        <w:rPr>
          <w:sz w:val="22"/>
        </w:rPr>
        <w:t>Engagement sur les délais d'intervention (Niveau 1 : 72h ouvrées ; Niveau 2 : 4h ouvrées / 12h ouvrées ; Niveau 3 : 48h ouvrées / 72h ouvrées) et de rétablissement (Niveau 1 : 72h ouvrées ; Niveau 2 : 48h ouvrées ; Niveau 3 : 96h ouvrées / 120h ouvrées ; Niveau 4 : 144h ouvrées / 120h ouvrées).</w:t>
      </w:r>
    </w:p>
    <w:p>
      <w:pPr>
        <w:pStyle w:val="ListBullet"/>
      </w:pPr>
      <w:r>
        <w:rPr>
          <w:sz w:val="22"/>
        </w:rPr>
        <w:t>Modalités de reporting mensuel des maintenances réalisées et planning des maintenances à venir.</w:t>
      </w:r>
    </w:p>
    <w:p>
      <w:pPr>
        <w:pStyle w:val="ListBullet"/>
      </w:pPr>
      <w:r>
        <w:rPr>
          <w:sz w:val="22"/>
        </w:rPr>
        <w:t>Supervision des IRVE :</w:t>
      </w:r>
    </w:p>
    <w:p>
      <w:pPr>
        <w:pStyle w:val="ListBullet"/>
      </w:pPr>
      <w:r>
        <w:rPr>
          <w:sz w:val="22"/>
        </w:rPr>
        <w:t>Description de la solution de supervision proposée (SAAS, compatible OCPP v1.6 ou plus récent), de ses fonctionnalités pour le gestionnaire régional (état en temps réel, alertes, statistiques, gestion planning maintenance, pilotage énergétique, télé-paramétrage/dépannage, télé-maintenance mensuelle avec délai max 12h) et pour l'utilisateur/usager (géolocalisation, état, réservation, historique, gestion accès RFID).</w:t>
      </w:r>
    </w:p>
    <w:p>
      <w:pPr>
        <w:pStyle w:val="ListBullet"/>
      </w:pPr>
      <w:r>
        <w:rPr>
          <w:sz w:val="22"/>
        </w:rPr>
        <w:t>Détail du processus d'identification des IRVE et des stations de recharge, incluant l'utilisation du code AURORE (code interne France Travail à 4 caractères numériques) et la structure de codification unique.</w:t>
      </w:r>
    </w:p>
    <w:p>
      <w:pPr>
        <w:pStyle w:val="ListBullet"/>
      </w:pPr>
      <w:r>
        <w:rPr>
          <w:sz w:val="22"/>
        </w:rPr>
        <w:t>Description des moyens de communication "Machine to Machine" (cartes SIM M&amp;M, gestion des abonnements télécom) et engagement sur un délai maximal d'interruption de service de 10 heures.</w:t>
      </w:r>
    </w:p>
    <w:p>
      <w:pPr>
        <w:pStyle w:val="ListBullet"/>
      </w:pPr>
      <w:r>
        <w:rPr>
          <w:sz w:val="22"/>
        </w:rPr>
        <w:t>Monétisation et gestion des badges RFID :</w:t>
      </w:r>
    </w:p>
    <w:p>
      <w:pPr>
        <w:pStyle w:val="ListBullet"/>
      </w:pPr>
      <w:r>
        <w:rPr>
          <w:sz w:val="22"/>
        </w:rPr>
        <w:t>Description du système de monétisation pour la recharge des véhicules personnels des agents, incluant la gestion des paiements et le reversement des sommes à France Travail.</w:t>
      </w:r>
    </w:p>
    <w:p>
      <w:pPr>
        <w:pStyle w:val="ListBullet"/>
      </w:pPr>
      <w:r>
        <w:rPr>
          <w:sz w:val="22"/>
        </w:rPr>
        <w:t>Processus de fourniture (5 badges par point de charge) et de gestion des cartes d'identification RFID (attribution, distribution, suivi statistique), incluant le schéma de commande pour les agents avec validation de la Direction régionale.</w:t>
      </w:r>
    </w:p>
    <w:p>
      <w:pPr>
        <w:pStyle w:val="ListBullet"/>
      </w:pPr>
      <w:r>
        <w:rPr>
          <w:sz w:val="22"/>
        </w:rPr>
        <w:t>Engagements RSE et sociaux :</w:t>
      </w:r>
    </w:p>
    <w:p>
      <w:pPr>
        <w:pStyle w:val="ListBullet"/>
      </w:pPr>
      <w:r>
        <w:rPr>
          <w:sz w:val="22"/>
        </w:rPr>
        <w:t>Description des actions mises en œuvre pour respecter les exigences RSE du marché, notamment le traitement et l'évacuation des déchets/gravats.</w:t>
      </w:r>
    </w:p>
    <w:p>
      <w:pPr>
        <w:pStyle w:val="ListBullet"/>
      </w:pPr>
      <w:r>
        <w:rPr>
          <w:sz w:val="22"/>
        </w:rPr>
        <w:t>Engagement formel sur la réalisation de 3 000 heures d'insertion sociale par année d’exécution du marché, à compter de sa date de notification, quel que soit le nombre de bornes installées au cours de l'année. Description des modalités de mise en œuvre et de suivi de cet engagement.</w:t>
      </w:r>
    </w:p>
    <w:p>
      <w:pPr>
        <w:pStyle w:val="ListBullet"/>
      </w:pPr>
      <w:r>
        <w:rPr>
          <w:sz w:val="22"/>
        </w:rPr>
        <w:t>Organisation et interlocuteurs :</w:t>
      </w:r>
    </w:p>
    <w:p>
      <w:pPr>
        <w:pStyle w:val="ListBullet"/>
      </w:pPr>
      <w:r>
        <w:rPr>
          <w:sz w:val="22"/>
        </w:rPr>
        <w:t>Organigramme du personnel dédié au marché, avec identification des interlocuteurs clés (chef de projet, responsable technique).</w:t>
      </w:r>
    </w:p>
    <w:p>
      <w:pPr>
        <w:pStyle w:val="ListBullet"/>
      </w:pPr>
      <w:r>
        <w:rPr>
          <w:sz w:val="22"/>
        </w:rPr>
        <w:t>Description des outils de pilotage et de suivi du marché (instances de pilotage, éléments de reporting).</w:t>
      </w:r>
    </w:p>
    <w:p/>
    <w:p>
      <w:pPr>
        <w:pStyle w:val="Heading2"/>
      </w:pPr>
      <w:r>
        <w:rPr>
          <w:b/>
          <w:color w:val="6B0F4C"/>
          <w:sz w:val="26"/>
        </w:rPr>
        <w:t>7. Conditions d'envoi ou de remise des plis</w:t>
      </w:r>
    </w:p>
    <w:p/>
    <w:p>
      <w:r>
        <w:rPr>
          <w:sz w:val="22"/>
        </w:rPr>
        <w:t>Date et heure limite de remise des plis : Les plis devront être remis au plus tard le 15/07/2026 à 16h00. Tout pli reçu après cette date et heure sera considéré comme hors délai et ne sera pas ouvert.</w:t>
      </w:r>
    </w:p>
    <w:p/>
    <w:p>
      <w:r>
        <w:rPr>
          <w:sz w:val="22"/>
        </w:rPr>
        <w:t>Transmission électronique obligatoire :</w:t>
      </w:r>
    </w:p>
    <w:p>
      <w:r>
        <w:rPr>
          <w:sz w:val="22"/>
        </w:rPr>
        <w:t>La transmission des plis est obligatoirement effectuée par voie électronique via la plateforme de dématérialisation de France Travail : [À PRÉCISER : Indiquer l'adresse exacte de la plateforme, ex: https://www.marches-publics.gouv.fr ou https://www.achatpublic.com].</w:t>
      </w:r>
    </w:p>
    <w:p>
      <w:r>
        <w:rPr>
          <w:sz w:val="22"/>
        </w:rPr>
        <w:t>Les candidats devront s'assurer de disposer des équipements et logiciels nécessaires pour la transmission électronique (certificat de signature électronique valide, etc.).</w:t>
      </w:r>
    </w:p>
    <w:p/>
    <w:p>
      <w:r>
        <w:rPr>
          <w:sz w:val="22"/>
        </w:rPr>
        <w:t>Formats des documents :</w:t>
      </w:r>
    </w:p>
    <w:p>
      <w:r>
        <w:rPr>
          <w:sz w:val="22"/>
        </w:rPr>
        <w:t>Les documents devront être transmis dans des formats non modifiables et couramment utilisés (ex: PDF pour les documents signés et les mémoires, Excel pour le BPU). Les fichiers compressés sont acceptés à condition que leur contenu soit lisible et que le format de compression soit standard (ex: .zip).</w:t>
      </w:r>
    </w:p>
    <w:p/>
    <w:p>
      <w:r>
        <w:rPr>
          <w:sz w:val="22"/>
        </w:rPr>
        <w:t>Copie de sauvegarde (facultative) :</w:t>
      </w:r>
    </w:p>
    <w:p>
      <w:r>
        <w:rPr>
          <w:sz w:val="22"/>
        </w:rPr>
        <w:t>Les candidats ont la possibilité de transmettre une copie de sauvegarde sur support physique (CD-ROM, DVD-ROM, clé USB) sous pli scellé, portant la mention "Copie de sauvegarde - Marché Bornes électriques - Référence 010.26 - Ne pas ouvrir". Cette copie de sauvegarde devra parvenir à France Travail avant la date et heure limite de remise des plis, à l'adresse suivante : [À PRÉCISER : Indiquer l'adresse postale de France Travail pour la réception des plis physiques].</w:t>
      </w:r>
    </w:p>
    <w:p>
      <w:r>
        <w:rPr>
          <w:sz w:val="22"/>
        </w:rPr>
        <w:t>La copie de sauvegarde ne sera ouverte qu'en cas de problème technique avéré lors de la transmission électronique.</w:t>
      </w:r>
    </w:p>
    <w:p/>
    <w:p>
      <w:pPr>
        <w:pStyle w:val="Heading2"/>
      </w:pPr>
      <w:r>
        <w:rPr>
          <w:b/>
          <w:color w:val="6B0F4C"/>
          <w:sz w:val="26"/>
        </w:rPr>
        <w:t>8. Sélection des candidatures</w:t>
      </w:r>
    </w:p>
    <w:p/>
    <w:p>
      <w:r>
        <w:rPr>
          <w:sz w:val="22"/>
        </w:rPr>
        <w:t>La sélection des candidatures sera effectuée sur la base des documents fournis à l'article 5 du présent RC, afin d'évaluer les capacités professionnelles, techniques et financières des candidats.</w:t>
      </w:r>
    </w:p>
    <w:p/>
    <w:p>
      <w:r>
        <w:rPr>
          <w:sz w:val="22"/>
        </w:rPr>
        <w:t>Critères de sélection des candidatures :</w:t>
      </w:r>
    </w:p>
    <w:p>
      <w:pPr>
        <w:pStyle w:val="ListBullet"/>
      </w:pPr>
      <w:r>
        <w:rPr>
          <w:sz w:val="22"/>
        </w:rPr>
        <w:t>Capacités économiques et financières : Évaluation de la solidité financière du candidat à travers son chiffre d'affaires, ses bilans et ses assurances.</w:t>
      </w:r>
    </w:p>
    <w:p>
      <w:pPr>
        <w:pStyle w:val="ListBullet"/>
      </w:pPr>
      <w:r>
        <w:rPr>
          <w:sz w:val="22"/>
        </w:rPr>
        <w:t>Capacités techniques et professionnelles : Évaluation de l'expérience du candidat dans des prestations similaires, de ses qualifications (notamment Qualifelec IRVE), de ses moyens humains et matériels, et de sa capacité à mettre en œuvre les exigences techniques du marché.</w:t>
      </w:r>
    </w:p>
    <w:p/>
    <w:p>
      <w:r>
        <w:rPr>
          <w:sz w:val="22"/>
        </w:rPr>
        <w:t>Motifs d'élimination des candidatures :</w:t>
      </w:r>
    </w:p>
    <w:p>
      <w:r>
        <w:rPr>
          <w:sz w:val="22"/>
        </w:rPr>
        <w:t>Seront éliminés les candidats qui :</w:t>
      </w:r>
    </w:p>
    <w:p>
      <w:pPr>
        <w:pStyle w:val="ListBullet"/>
      </w:pPr>
      <w:r>
        <w:rPr>
          <w:sz w:val="22"/>
        </w:rPr>
        <w:t>Ne respectent pas les interdictions de soumissionner prévues par le Code de la commande publique.</w:t>
      </w:r>
    </w:p>
    <w:p>
      <w:pPr>
        <w:pStyle w:val="ListBullet"/>
      </w:pPr>
      <w:r>
        <w:rPr>
          <w:sz w:val="22"/>
        </w:rPr>
        <w:t>Ne produisent pas l'ensemble des documents exigés à l'article 5 du présent RC, ou dont les documents sont incomplets ou non conformes.</w:t>
      </w:r>
    </w:p>
    <w:p>
      <w:pPr>
        <w:pStyle w:val="ListBullet"/>
      </w:pPr>
      <w:r>
        <w:rPr>
          <w:sz w:val="22"/>
        </w:rPr>
        <w:t>Ne justifient pas de capacités économiques et financières suffisantes pour l'exécution du marché.</w:t>
      </w:r>
    </w:p>
    <w:p>
      <w:pPr>
        <w:pStyle w:val="ListBullet"/>
      </w:pPr>
      <w:r>
        <w:rPr>
          <w:sz w:val="22"/>
        </w:rPr>
        <w:t>Ne justifient pas de capacités techniques et professionnelles suffisantes pour l'exécution du marché, notamment en termes de qualifications et de références.</w:t>
      </w:r>
    </w:p>
    <w:p/>
    <w:p>
      <w:r>
        <w:rPr>
          <w:sz w:val="22"/>
        </w:rPr>
        <w:t>Possibilité de régularisation :</w:t>
      </w:r>
    </w:p>
    <w:p>
      <w:r>
        <w:rPr>
          <w:sz w:val="22"/>
        </w:rPr>
        <w:t>France Travail se réserve la possibilité de demander aux candidats de compléter ou de régulariser leur dossier de candidature dans un délai impart'i, si les documents produits sont incomplets ou comportent des erreurs matérielles, à l'exception des documents dont la production est exigée à peine d'irrecevabilité de la candidature.</w:t>
      </w:r>
    </w:p>
    <w:p/>
    <w:p>
      <w:pPr>
        <w:pStyle w:val="Heading2"/>
      </w:pPr>
      <w:r>
        <w:rPr>
          <w:b/>
          <w:color w:val="6B0F4C"/>
          <w:sz w:val="26"/>
        </w:rPr>
        <w:t>9. Jugement des offres</w:t>
      </w:r>
    </w:p>
    <w:p/>
    <w:p>
      <w:r>
        <w:rPr>
          <w:sz w:val="22"/>
        </w:rPr>
        <w:t>Les offres jugées recevables seront analysées et classées sur la base des critères suivants :</w:t>
      </w:r>
    </w:p>
    <w:p/>
    <w:p>
      <w:r>
        <w:rPr>
          <w:sz w:val="22"/>
        </w:rPr>
        <w:t>9.1. Critères de jugement des offres et leur pondération :</w:t>
      </w:r>
    </w:p>
    <w:p>
      <w:pPr>
        <w:pStyle w:val="ListBullet"/>
      </w:pPr>
      <w:r>
        <w:rPr>
          <w:sz w:val="22"/>
        </w:rPr>
        <w:t>Prix des prestations (BPU) : 40 %</w:t>
      </w:r>
    </w:p>
    <w:p>
      <w:pPr>
        <w:pStyle w:val="ListBullet"/>
      </w:pPr>
      <w:r>
        <w:rPr>
          <w:sz w:val="22"/>
        </w:rPr>
        <w:t>Ce critère évaluera la compétitivité des prix unitaires proposés par le candidat dans le Bordereau des Prix Unitaires (BPU).</w:t>
      </w:r>
    </w:p>
    <w:p>
      <w:pPr>
        <w:pStyle w:val="ListBullet"/>
      </w:pPr>
      <w:r>
        <w:rPr>
          <w:sz w:val="22"/>
        </w:rPr>
        <w:t>Valeur technique de l'offre (Mémoire Technique) : 50 %</w:t>
      </w:r>
    </w:p>
    <w:p>
      <w:pPr>
        <w:pStyle w:val="ListBullet"/>
      </w:pPr>
      <w:r>
        <w:rPr>
          <w:sz w:val="22"/>
        </w:rPr>
        <w:t>Ce critère évaluera la qualité et la pertinence des solutions proposées par le candidat au regard des exigences du CCTP (CCFT), notamment sur les sous-critères suivants :</w:t>
      </w:r>
    </w:p>
    <w:p>
      <w:pPr>
        <w:pStyle w:val="ListBullet"/>
      </w:pPr>
      <w:r>
        <w:rPr>
          <w:sz w:val="22"/>
        </w:rPr>
        <w:t>Qualité et performance des IRVE proposées et conformité aux spécifications techniques (matériel, garanties).</w:t>
      </w:r>
    </w:p>
    <w:p>
      <w:pPr>
        <w:pStyle w:val="ListBullet"/>
      </w:pPr>
      <w:r>
        <w:rPr>
          <w:sz w:val="22"/>
        </w:rPr>
        <w:t>Méthodologie d'installation et de mise en service (délais, gestion de projet, qualité des travaux).</w:t>
      </w:r>
    </w:p>
    <w:p>
      <w:pPr>
        <w:pStyle w:val="ListBullet"/>
      </w:pPr>
      <w:r>
        <w:rPr>
          <w:sz w:val="22"/>
        </w:rPr>
        <w:t>Organisation et moyens dédiés à la maintenance préventive et corrective (respect des délais d'intervention et de rétablissement, reporting).</w:t>
      </w:r>
    </w:p>
    <w:p>
      <w:pPr>
        <w:pStyle w:val="ListBullet"/>
      </w:pPr>
      <w:r>
        <w:rPr>
          <w:sz w:val="22"/>
        </w:rPr>
        <w:t>Qualité et fonctionnalités de la solution de supervision (compatibilité OCPP, services gestionnaire/utilisateur, gestion des communications M2M).</w:t>
      </w:r>
    </w:p>
    <w:p>
      <w:pPr>
        <w:pStyle w:val="ListBullet"/>
      </w:pPr>
      <w:r>
        <w:rPr>
          <w:sz w:val="22"/>
        </w:rPr>
        <w:t>Pertinence de la solution de monétisation et de gestion des badges RFID.</w:t>
      </w:r>
    </w:p>
    <w:p>
      <w:pPr>
        <w:pStyle w:val="ListBullet"/>
      </w:pPr>
      <w:r>
        <w:rPr>
          <w:sz w:val="22"/>
        </w:rPr>
        <w:t>Critères environnementaux et sociaux (engagements RSE) : 10 %</w:t>
      </w:r>
    </w:p>
    <w:p>
      <w:pPr>
        <w:pStyle w:val="ListBullet"/>
      </w:pPr>
      <w:r>
        <w:rPr>
          <w:sz w:val="22"/>
        </w:rPr>
        <w:t>Ce critère évaluera la qualité des engagements du candidat en matière de développement durable et d'insertion sociale, notamment sur les sous-critères suivants :</w:t>
      </w:r>
    </w:p>
    <w:p>
      <w:pPr>
        <w:pStyle w:val="ListBullet"/>
      </w:pPr>
      <w:r>
        <w:rPr>
          <w:sz w:val="22"/>
        </w:rPr>
        <w:t>Engagement sur les 3 000 heures d'insertion sociale par année d’exécution du marché et modalités de mise en œuvre.</w:t>
      </w:r>
    </w:p>
    <w:p>
      <w:pPr>
        <w:pStyle w:val="ListBullet"/>
      </w:pPr>
      <w:r>
        <w:rPr>
          <w:sz w:val="22"/>
        </w:rPr>
        <w:t>Démarche environnementale pour la gestion des déchets/gravats et l'utilisation de produits écolabellisés pour la signalétique horizontale.</w:t>
      </w:r>
    </w:p>
    <w:p/>
    <w:p>
      <w:r>
        <w:rPr>
          <w:sz w:val="22"/>
        </w:rPr>
        <w:t>9.2. Méthode de notation :</w:t>
      </w:r>
    </w:p>
    <w:p>
      <w:pPr>
        <w:pStyle w:val="ListBullet"/>
      </w:pPr>
      <w:r>
        <w:rPr>
          <w:sz w:val="22"/>
        </w:rPr>
        <w:t>Pour le critère "Prix des prestations" : L'offre la moins chère se verra attribuer la note maximale. Les autres offres seront notées proportionnellement par rapport à l'offre la moins chère selon la formule : (Prix le plus bas / Prix de l'offre considérée) * Pondération du critère.</w:t>
      </w:r>
    </w:p>
    <w:p>
      <w:pPr>
        <w:pStyle w:val="ListBullet"/>
      </w:pPr>
      <w:r>
        <w:rPr>
          <w:sz w:val="22"/>
        </w:rPr>
        <w:t>Pour le critère "Valeur technique de l'offre" : Chaque sous-critère sera évalué sur une échelle de 0 à 5 (ou 0 à 10) par un groupe d'analyse, en fonction de la qualité et de la pertinence des informations contenues dans le Mémoire Technique. La note finale du critère sera la somme pondérée des notes des sous-critères.</w:t>
      </w:r>
    </w:p>
    <w:p>
      <w:pPr>
        <w:pStyle w:val="ListBullet"/>
      </w:pPr>
      <w:r>
        <w:rPr>
          <w:sz w:val="22"/>
        </w:rPr>
        <w:t>Pour le critère "Critères environnementaux et sociaux" : Chaque sous-critère sera évalué sur une échelle de 0 à 5 (ou 0 à 10) par un groupe d'analyse, en fonction de la qualité et de la crédibilité des engagements et des démarches présentées par le candidat.</w:t>
      </w:r>
    </w:p>
    <w:p/>
    <w:p>
      <w:r>
        <w:rPr>
          <w:sz w:val="22"/>
        </w:rPr>
        <w:t>La note finale de chaque offre sera obtenue par la somme des notes pondérées de chaque critère. L'offre la mieux classée sera celle ayant obtenu la note totale la plus élevée.</w:t>
      </w:r>
    </w:p>
    <w:p/>
    <w:p>
      <w:pPr>
        <w:pStyle w:val="Heading2"/>
      </w:pPr>
      <w:r>
        <w:rPr>
          <w:b/>
          <w:color w:val="6B0F4C"/>
          <w:sz w:val="26"/>
        </w:rPr>
        <w:t>10. Suites données à la consultation</w:t>
      </w:r>
    </w:p>
    <w:p/>
    <w:p>
      <w:r>
        <w:rPr>
          <w:sz w:val="22"/>
        </w:rPr>
        <w:t>Notification :</w:t>
      </w:r>
    </w:p>
    <w:p>
      <w:r>
        <w:rPr>
          <w:sz w:val="22"/>
        </w:rPr>
        <w:t>Le marché sera notifié au candidat dont l'offre aura été classée première à l'issue de l'analyse et du jugement des offres. Une lettre de rejet sera adressée aux candidats non retenus, précisant les motifs de rejet de leur offre et, le cas échéant, le nom de l'attributaire et les caractéristiques et avantages de l'offre retenue.</w:t>
      </w:r>
    </w:p>
    <w:p/>
    <w:p>
      <w:r>
        <w:rPr>
          <w:sz w:val="22"/>
        </w:rPr>
        <w:t>Délai de complément de dossier :</w:t>
      </w:r>
    </w:p>
    <w:p>
      <w:r>
        <w:rPr>
          <w:sz w:val="22"/>
        </w:rPr>
        <w:t>Avant la notification du marché, France Travail pourra demander au candidat retenu de produire les pièces justificatives attestant des déclarations faites au titre de sa candidature (attestations fiscales et sociales, certificats de qualifications, etc.) dans un délai de 10 jours à compter de la demande.</w:t>
      </w:r>
    </w:p>
    <w:p/>
    <w:p>
      <w:r>
        <w:rPr>
          <w:sz w:val="22"/>
        </w:rPr>
        <w:t>Candidat classé 2e en cas de défaillance :</w:t>
      </w:r>
    </w:p>
    <w:p>
      <w:r>
        <w:rPr>
          <w:sz w:val="22"/>
        </w:rPr>
        <w:t>En cas de défaillance du candidat initialement retenu (refus de signer le marché, incapacité à fournir les pièces justificatives demandées, etc.), France Travail se réserve le droit d'attribuer le marché au candidat dont l'offre a été classée deuxième, sous réserve que celui-ci accepte de se conformer aux exigences du marché.</w:t>
      </w:r>
    </w:p>
    <w:p/>
    <w:p>
      <w:pPr>
        <w:pStyle w:val="Heading2"/>
      </w:pPr>
      <w:r>
        <w:rPr>
          <w:b/>
          <w:color w:val="6B0F4C"/>
          <w:sz w:val="26"/>
        </w:rPr>
        <w:t>11. Procédures et voies de recours</w:t>
      </w:r>
    </w:p>
    <w:p/>
    <w:p>
      <w:r>
        <w:rPr>
          <w:sz w:val="22"/>
        </w:rPr>
        <w:t>Les candidats peuvent exercer les recours prévus par le Code de la commande publique.</w:t>
      </w:r>
    </w:p>
    <w:p/>
    <w:p>
      <w:r>
        <w:rPr>
          <w:sz w:val="22"/>
        </w:rPr>
        <w:t>Tribunal administratif compétent :</w:t>
      </w:r>
    </w:p>
    <w:p>
      <w:r>
        <w:rPr>
          <w:sz w:val="22"/>
        </w:rPr>
        <w:t>En cas de litige relatif à la présente procédure de passation, le tribunal administratif compétent est le Tribunal Administratif de Paris.</w:t>
      </w:r>
    </w:p>
    <w:p/>
    <w:p>
      <w:r>
        <w:rPr>
          <w:sz w:val="22"/>
        </w:rPr>
        <w:t>Coordonnées du Tribunal Administratif de Paris :</w:t>
      </w:r>
    </w:p>
    <w:p>
      <w:pPr>
        <w:pStyle w:val="ListBullet"/>
      </w:pPr>
      <w:r>
        <w:rPr>
          <w:sz w:val="22"/>
        </w:rPr>
        <w:t>Adresse : 2, rue de Jouy, 75181 Paris Cedex 04</w:t>
      </w:r>
    </w:p>
    <w:p>
      <w:pPr>
        <w:pStyle w:val="ListBullet"/>
      </w:pPr>
      <w:r>
        <w:rPr>
          <w:sz w:val="22"/>
        </w:rPr>
        <w:t>Téléphone : 01 44 59 44 00</w:t>
      </w:r>
    </w:p>
    <w:p>
      <w:pPr>
        <w:pStyle w:val="ListBullet"/>
      </w:pPr>
      <w:r>
        <w:rPr>
          <w:sz w:val="22"/>
        </w:rPr>
        <w:t>Télécopie : 01 44 59 46 46</w:t>
      </w:r>
    </w:p>
    <w:p>
      <w:pPr>
        <w:pStyle w:val="ListBullet"/>
      </w:pPr>
      <w:r>
        <w:rPr>
          <w:sz w:val="22"/>
        </w:rPr>
        <w:t>Courriel : greffe.ta-paris@juradm.fr</w:t>
      </w:r>
    </w:p>
    <w:p>
      <w:pPr>
        <w:pStyle w:val="ListBullet"/>
      </w:pPr>
      <w:r>
        <w:rPr>
          <w:sz w:val="22"/>
        </w:rPr>
        <w:t>Site internet : http://paris.tribunaladministratif.fr</w:t>
      </w:r>
    </w:p>
    <w:p/>
    <w:p>
      <w:r>
        <w:rPr>
          <w:sz w:val="22"/>
        </w:rPr>
        <w:t>Types de recours :</w:t>
      </w:r>
    </w:p>
    <w:p>
      <w:pPr>
        <w:pStyle w:val="ListBullet"/>
      </w:pPr>
      <w:r>
        <w:rPr>
          <w:sz w:val="22"/>
        </w:rPr>
        <w:t>Référé précontractuel : Peut être introduit avant la signature du marché, dans les conditions prévues aux articles L. 551-1 et suivants du Code de justice administrative.</w:t>
      </w:r>
    </w:p>
    <w:p>
      <w:pPr>
        <w:pStyle w:val="ListBullet"/>
      </w:pPr>
      <w:r>
        <w:rPr>
          <w:sz w:val="22"/>
        </w:rPr>
        <w:t>Référé contractuel : Peut être introduit après la signature du marché, dans les conditions prévues aux articles L. 551-13 et suivants du Code de justice administrative.</w:t>
      </w:r>
    </w:p>
    <w:p>
      <w:pPr>
        <w:pStyle w:val="ListBullet"/>
      </w:pPr>
      <w:r>
        <w:rPr>
          <w:sz w:val="22"/>
        </w:rPr>
        <w:t>Recours en contestation de validité du contrat : Peut être introduit dans un délai de deux mois à compter de l'accomplissement des mesures de publicité appropriées, dans les conditions définies par la jurisprudence "Département de Tarn-et-Garonne".</w:t>
      </w:r>
    </w:p>
    <w:p/>
    <w:p>
      <w:r>
        <w:rPr>
          <w:sz w:val="22"/>
        </w:rPr>
        <w:t>---</w:t>
      </w:r>
    </w:p>
    <w:p>
      <w:r>
        <w:rPr>
          <w:sz w:val="22"/>
        </w:rPr>
        <w:t>Fait à [À PRÉCISER : Lieu], le [À PRÉCISER : Date de publication du RC]</w:t>
      </w:r>
    </w:p>
    <w:p/>
    <w:p>
      <w:r>
        <w:rPr>
          <w:sz w:val="22"/>
        </w:rPr>
        <w:t>Pour France Travail,</w:t>
      </w:r>
    </w:p>
    <w:p>
      <w:r>
        <w:rPr>
          <w:sz w:val="22"/>
        </w:rPr>
        <w:t>[À PRÉCISER : Nom et fonction du signataire habilité]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