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d'Analyse et Cahier des Charges - Appel d'Offres</w:t>
      </w:r>
    </w:p>
    <w:p>
      <w:r>
        <w:t>En tant qu'expert en marchés publics et privés, j'ai analysé les documents fournis (RC, CCAP, CCTP) pour établir le rapport suivant :</w:t>
      </w:r>
    </w:p>
    <w:p/>
    <w:p>
      <w:r>
        <w:t>---</w:t>
      </w:r>
    </w:p>
    <w:p/>
    <w:p>
      <w:r>
        <w:t>RAPPORT D'ANALYSE DU DOSSIER DE CONSULTATION DES ENTREPRISES (DCE)</w:t>
      </w:r>
    </w:p>
    <w:p/>
    <w:p>
      <w:r>
        <w:t>Référence du marché : 2026Appr-MoteurAgri</w:t>
      </w:r>
    </w:p>
    <w:p>
      <w:r>
        <w:t>Objet : Fourniture MATERIEL AGRICOLE</w:t>
      </w:r>
    </w:p>
    <w:p>
      <w:r>
        <w:t>Acheteur : IFPRA (Institut de la Formation Professionnelle en Région Académique)</w:t>
      </w:r>
    </w:p>
    <w:p/>
    <w:p>
      <w:r>
        <w:t>---</w:t>
      </w:r>
    </w:p>
    <w:p/>
    <w:p>
      <w:r>
        <w:t>### 1. FILTRAGE STRICT</w:t>
      </w:r>
    </w:p>
    <w:p/>
    <w:p>
      <w:pPr>
        <w:pStyle w:val="ListBullet"/>
      </w:pPr>
      <w:r>
        <w:t xml:space="preserve">  **Montant estimé dépassant 200 000 euros :*Le montant estimé du marché n'est pas spécifié dans les documents du DCE (RC, CCAP, CCTP). Il n'est donc pas possible de déterminer s'il dépasse le seuil de 200 000 euros.</w:t>
      </w:r>
    </w:p>
    <w:p>
      <w:pPr>
        <w:pStyle w:val="ListBullet"/>
      </w:pPr>
      <w:r>
        <w:t xml:space="preserve">  **Visite obligatoire :*Aucune visite obligatoire n'est mentionnée dans les documents du DCE.</w:t>
      </w:r>
    </w:p>
    <w:p/>
    <w:p>
      <w:r>
        <w:t>Conclusion du filtrage :</w:t>
      </w:r>
    </w:p>
    <w:p>
      <w:r>
        <w:t>ÉLIGIBLE.</w:t>
      </w:r>
    </w:p>
    <w:p>
      <w:r>
        <w:t>*Justification :* Le montant estimé n'étant pas précisé, la première condition ne peut être confirmée. La seconde condition (visite obligatoire) n'est pas remplie. Par conséquent, les critères de rejet basés sur ces deux points ne sont pas avérés. Le marché est une procédure adaptée (MAPA), ce qui est cohérent avec l'absence de seuil élevé ou de complexité particulière nécessitant une visite obligatoire.</w:t>
      </w:r>
    </w:p>
    <w:p/>
    <w:p>
      <w:r>
        <w:t>---</w:t>
      </w:r>
    </w:p>
    <w:p/>
    <w:p>
      <w:r>
        <w:t>### 2. ESTIMATION DES CRITÈRES DE JUGEMENT DES OFFRES</w:t>
      </w:r>
    </w:p>
    <w:p/>
    <w:p>
      <w:r>
        <w:t>Le jugement des offres sera effectué selon les critères et pondérations suivants, tels que définis dans le Règlement de Consultation (RC, page 6/7) :</w:t>
      </w:r>
    </w:p>
    <w:p/>
    <w:p>
      <w:r>
        <w:t>1.  Prix des prestations (50 points)</w:t>
      </w:r>
    </w:p>
    <w:p>
      <w:r>
        <w:t xml:space="preserve">    *   Pondération : 50%</w:t>
      </w:r>
    </w:p>
    <w:p>
      <w:r>
        <w:t xml:space="preserve">    *   Méthode de notation : La note sera calculée selon la formule suivante : (montant de l’offre la moins chère / montant de l’offre à noter) x 50. Cela signifie que l'offre la moins chère obtiendra la note maximale de 50 points, et les autres offres seront notées proportionnellement à leur prix par rapport à l'offre la moins chère.</w:t>
      </w:r>
    </w:p>
    <w:p/>
    <w:p>
      <w:r>
        <w:t>2.  Critères techniques (40 points)</w:t>
      </w:r>
    </w:p>
    <w:p>
      <w:r>
        <w:t xml:space="preserve">    *   Pondération : 40%</w:t>
      </w:r>
    </w:p>
    <w:p>
      <w:r>
        <w:t xml:space="preserve">    *   Méthode de notation : Une note sera attribuée de 0 (non renseigné ou hors CCTP) à 40 (excellent). L'évaluation se fera en fonction des critères techniques détaillés dans le CCTP et par comparaison des offres entre tous les soumissionnaires.</w:t>
      </w:r>
    </w:p>
    <w:p>
      <w:r>
        <w:t xml:space="preserve">    *   Éléments valorisés : La solidité, la durabilité, la puissance du matériel, ainsi que les modalités de formation proposées par le candidat seront spécifiquement prises en compte et valorisées dans cette note.</w:t>
      </w:r>
    </w:p>
    <w:p/>
    <w:p>
      <w:r>
        <w:t>3.  Délais de livraison (5 points)</w:t>
      </w:r>
    </w:p>
    <w:p>
      <w:r>
        <w:t xml:space="preserve">    *   Pondération : 5%</w:t>
      </w:r>
    </w:p>
    <w:p>
      <w:r>
        <w:t xml:space="preserve">    *   Méthode de notation : La note maximale de 5 points sera attribuée au soumissionnaire proposant le délai de livraison de 5 mois calendaires maximum (délai indiqué au CCAP). La note sera dégressive d’un point par mois ouvrable supplémentaire. Par exemple, un délai de 5 mois obtiendra 5 points, 6 mois 4 points, 7 mois 3 points, etc.</w:t>
      </w:r>
    </w:p>
    <w:p/>
    <w:p>
      <w:r>
        <w:t>4.  Normes environnementales - RSE (5 points)</w:t>
      </w:r>
    </w:p>
    <w:p>
      <w:r>
        <w:t xml:space="preserve">    *   Pondération : 5%</w:t>
      </w:r>
    </w:p>
    <w:p>
      <w:r>
        <w:t xml:space="preserve">    *   Méthode de notation : Une note sera attribuée en fonction des démarches et mesures RSE détaillées dans le CCAP. Les éléments évalués incluent :</w:t>
      </w:r>
    </w:p>
    <w:p>
      <w:r>
        <w:t xml:space="preserve">        *   La lutte contre les discriminations (promotion de l’égalité femmes/hommes, lutte contre les discriminations liées aux origines).</w:t>
      </w:r>
    </w:p>
    <w:p>
      <w:r>
        <w:t xml:space="preserve">        *   Les démarches en faveur des personnes éloignées de l’emploi ou pour favoriser l’apprentissage des jeunes.</w:t>
      </w:r>
    </w:p>
    <w:p>
      <w:r>
        <w:t xml:space="preserve">        *   La conformité environnementale des produits proposés (écolabel européen ou équivalent).</w:t>
      </w:r>
    </w:p>
    <w:p>
      <w:r>
        <w:t xml:space="preserve">        *   Les mesures environnementales prises en matière de conditionnement (matériaux recyclables, biodégradables) et d’optimisation des livraisons.</w:t>
      </w:r>
    </w:p>
    <w:p/>
    <w:p>
      <w:r>
        <w:t>---</w:t>
      </w:r>
    </w:p>
    <w:p/>
    <w:p>
      <w:r>
        <w:t>### 3. CAHIER DES CHARGES DÉTAILLÉ PAR ÉLÉMENT</w:t>
      </w:r>
    </w:p>
    <w:p/>
    <w:p>
      <w:r>
        <w:t>Le marché porte sur la fourniture de deux moteurs agricoles sur banc pour la filière Maintenance agricole du Lycée Risle Seine de Pont Audemer. Les équipements devront être neufs, de qualité professionnelle, et conformes aux normes françaises ou européennes en vigueur, ainsi qu'à la réglementation sur la prévention des risques professionnels.</w:t>
      </w:r>
    </w:p>
    <w:p/>
    <w:p>
      <w:r>
        <w:t>Exigences générales pour les deux bancs moteurs :</w:t>
      </w:r>
    </w:p>
    <w:p>
      <w:pPr>
        <w:pStyle w:val="ListBullet"/>
      </w:pPr>
      <w:r>
        <w:t xml:space="preserve">  **Documentation :*Fiches techniques détaillées (avec durée de garantie et modalités de prise en charge en cas de défaillance), modes d'emploi, et tous les documents rédigés en français.</w:t>
      </w:r>
    </w:p>
    <w:p>
      <w:pPr>
        <w:pStyle w:val="ListBullet"/>
      </w:pPr>
      <w:r>
        <w:t xml:space="preserve">  **Délai de livraison :*À préciser dans le dossier technique, ne pouvant être supérieur à 5 mois calendaires maximum à compter de l'envoi du bon de commande. Le fournisseur devra s'assurer de l'ouverture de l'établissement en période de vacances scolaires.</w:t>
      </w:r>
    </w:p>
    <w:p>
      <w:pPr>
        <w:pStyle w:val="ListBullet"/>
      </w:pPr>
      <w:r>
        <w:t xml:space="preserve">  **Offre financière :*Un devis correspondant au BPU sera joint à l'offre, détaillant les caractéristiques des équipements et les accessoires. Les frais de livraison, d'installation et de mise en service sont inclus dans le prix de l'équipement.</w:t>
      </w:r>
    </w:p>
    <w:p>
      <w:pPr>
        <w:pStyle w:val="ListBullet"/>
      </w:pPr>
      <w:r>
        <w:t xml:space="preserve">  **Formation :*Une formation des enseignants au matériel devra être proposée, détaillée et chiffrée dans l'offre.</w:t>
      </w:r>
    </w:p>
    <w:p>
      <w:pPr>
        <w:pStyle w:val="ListBullet"/>
      </w:pPr>
      <w:r>
        <w:t xml:space="preserve">  **Garantie :*3 ans minimum pièces et main d’œuvre. Si la durée est inférieure, une extension de garantie chiffrée devra être proposée dans le BPU.</w:t>
      </w:r>
    </w:p>
    <w:p>
      <w:pPr>
        <w:pStyle w:val="ListBullet"/>
      </w:pPr>
      <w:r>
        <w:t xml:space="preserve">  **SAV et Prêt :*Le titulaire doit pouvoir intervenir rapidement. En cas de délai de réparation supérieur à 10 jours ouvrés pendant la garantie, une solution de prêt de matériel adapté doit être proposée sous 3 jours ouvrés, aux frais du titulaire.</w:t>
      </w:r>
    </w:p>
    <w:p/>
    <w:p>
      <w:r>
        <w:t>---</w:t>
      </w:r>
    </w:p>
    <w:p/>
    <w:p>
      <w:r>
        <w:t>#### 3.1. Banc moteur B6.7 ou équivalent (Quantité : 1)</w:t>
      </w:r>
    </w:p>
    <w:p/>
    <w:p>
      <w:pPr>
        <w:pStyle w:val="ListBullet"/>
      </w:pPr>
      <w:r>
        <w:t xml:space="preserve">  **Lieu de livraison :*UFA Risle Seine PONT AUDEMER</w:t>
      </w:r>
    </w:p>
    <w:p>
      <w:pPr>
        <w:pStyle w:val="ListBullet"/>
      </w:pPr>
      <w:r>
        <w:t xml:space="preserve">  **Prestations incluses :*Installation et formation des professeurs (à détailler dans l'offre technique et à chiffrer dans le BPU).</w:t>
      </w:r>
    </w:p>
    <w:p/>
    <w:p>
      <w:r>
        <w:t>Contraintes fonctionnelles :</w:t>
      </w:r>
    </w:p>
    <w:p>
      <w:pPr>
        <w:pStyle w:val="ListBullet"/>
      </w:pPr>
      <w:r>
        <w:t xml:space="preserve">  Le banc moteur doit être équipé d’un moteur neuf associé au système de post-traitement des gaz d’échappement (DOC, DPF, SCR).</w:t>
      </w:r>
    </w:p>
    <w:p>
      <w:pPr>
        <w:pStyle w:val="ListBullet"/>
      </w:pPr>
      <w:r>
        <w:t xml:space="preserve">  Il sera associé à une boîte à pannes permettant de réaliser des Circuits Ouverts, des Courts-Circuits et des ajouts de résistances sur les lignes.</w:t>
      </w:r>
    </w:p>
    <w:p>
      <w:pPr>
        <w:pStyle w:val="ListBullet"/>
      </w:pPr>
      <w:r>
        <w:t xml:space="preserve">  Un panneau de mesures sera exigé pour réaliser des relevés de grandeurs physiques (résistances, tensions d’alimentations, tensions de commandes et signaux des capteurs...).</w:t>
      </w:r>
    </w:p>
    <w:p/>
    <w:p>
      <w:r>
        <w:t>Contraintes technologiques :</w:t>
      </w:r>
    </w:p>
    <w:p>
      <w:pPr>
        <w:pStyle w:val="ListBullet"/>
      </w:pPr>
      <w:r>
        <w:t xml:space="preserve">  **Moteur :*Diesel de type Cummins B6.7 ou équivalent, présentant des performances et caractéristiques techniques équivalentes en termes de puissance, cylindrée et couple.</w:t>
      </w:r>
    </w:p>
    <w:p>
      <w:pPr>
        <w:pStyle w:val="ListBullet"/>
      </w:pPr>
      <w:r>
        <w:t xml:space="preserve">  **Norme :*Conforme à la réglementation européenne Stage V.</w:t>
      </w:r>
    </w:p>
    <w:p>
      <w:pPr>
        <w:pStyle w:val="ListBullet"/>
      </w:pPr>
      <w:r>
        <w:t xml:space="preserve">  **Injection :*Diesel à injection électronique, de type Common Rail ou équivalent, permettant une gestion électronique des injections.</w:t>
      </w:r>
    </w:p>
    <w:p>
      <w:pPr>
        <w:pStyle w:val="ListBullet"/>
      </w:pPr>
      <w:r>
        <w:t xml:space="preserve">  **Suralimentation :*Par turbocompresseur à géométrie variable ou équivalent.</w:t>
      </w:r>
    </w:p>
    <w:p>
      <w:pPr>
        <w:pStyle w:val="ListBullet"/>
      </w:pPr>
      <w:r>
        <w:t xml:space="preserve">  **Démarrage à froid :*Système d’aide au démarrage à froid intégré (type réchauffage air ou équivalent).</w:t>
      </w:r>
    </w:p>
    <w:p>
      <w:pPr>
        <w:pStyle w:val="ListBullet"/>
      </w:pPr>
      <w:r>
        <w:t xml:space="preserve">  **Post-traitement :*Système de post-traitement des gaz d’échappement conforme Stage V (DOC + DPF + SCR ou équivalent).</w:t>
      </w:r>
    </w:p>
    <w:p>
      <w:pPr>
        <w:pStyle w:val="ListBullet"/>
      </w:pPr>
      <w:r>
        <w:t xml:space="preserve">  **Réservoirs :*Réservoir d’AdBlue et réservoir de carburant.</w:t>
      </w:r>
    </w:p>
    <w:p>
      <w:pPr>
        <w:pStyle w:val="ListBullet"/>
      </w:pPr>
      <w:r>
        <w:t xml:space="preserve">  **Pupitre de commande (à minima) :**</w:t>
      </w:r>
    </w:p>
    <w:p>
      <w:r>
        <w:t xml:space="preserve">    *   Système de démarrage et d’arrêt du moteur par commande sécurisée (clé ou équivalent).</w:t>
      </w:r>
    </w:p>
    <w:p>
      <w:r>
        <w:t xml:space="preserve">    *   Dispositif d’arrêt d’urgence.</w:t>
      </w:r>
    </w:p>
    <w:p>
      <w:r>
        <w:t xml:space="preserve">    *   Prise de diagnostic moteur standard avec accès aux données et défauts (CAN / J1939 ou équivalent).</w:t>
      </w:r>
    </w:p>
    <w:p>
      <w:r>
        <w:t xml:space="preserve">    *   Commande d’accélération au pied (variation du régime moteur).</w:t>
      </w:r>
    </w:p>
    <w:p>
      <w:r>
        <w:t xml:space="preserve">    *   Commande d’accélération à la main (maintien de régimes stabilisés).</w:t>
      </w:r>
    </w:p>
    <w:p>
      <w:r>
        <w:t xml:space="preserve">    *   Dispositif de protection électrique (fusibles et relais accessibles).</w:t>
      </w:r>
    </w:p>
    <w:p>
      <w:r>
        <w:t xml:space="preserve">    *   Interface d’affichage permettant le suivi des principaux paramètres moteur et la lecture des codes défaut.</w:t>
      </w:r>
    </w:p>
    <w:p>
      <w:r>
        <w:t xml:space="preserve">    *   Gestion des fonctions de post-traitement des gaz d’échappement, incluant les régénérations de filtre à particules selon les stratégies constructeur.</w:t>
      </w:r>
    </w:p>
    <w:p>
      <w:pPr>
        <w:pStyle w:val="ListBullet"/>
      </w:pPr>
      <w:r>
        <w:t xml:space="preserve">  **Sécurité et ergonomie :**</w:t>
      </w:r>
    </w:p>
    <w:p>
      <w:r>
        <w:t xml:space="preserve">    *   Bac de rétention adapté aux fluides du moteur.</w:t>
      </w:r>
    </w:p>
    <w:p>
      <w:r>
        <w:t xml:space="preserve">    *   Protections des éléments en mouvement conformément à la directive Machines 2006/42/CE.</w:t>
      </w:r>
    </w:p>
    <w:p>
      <w:r>
        <w:t xml:space="preserve">    *   Isolation thermique des parties chaudes accessibles afin de prévenir les risques de brûlures des utilisateurs.</w:t>
      </w:r>
    </w:p>
    <w:p>
      <w:r>
        <w:t xml:space="preserve">    *   Conçu pour permettre une visibilité et une accessibilité pédagogique optimales des éléments techniques.</w:t>
      </w:r>
    </w:p>
    <w:p/>
    <w:p>
      <w:r>
        <w:t>Documentation Pédagogique des systèmes didactisés :</w:t>
      </w:r>
    </w:p>
    <w:p>
      <w:pPr>
        <w:pStyle w:val="ListBullet"/>
      </w:pPr>
      <w:r>
        <w:t xml:space="preserve">  Dossier pédagogique comprenant des travaux pratiques, en version élève et en version enseignant.</w:t>
      </w:r>
    </w:p>
    <w:p>
      <w:pPr>
        <w:pStyle w:val="ListBullet"/>
      </w:pPr>
      <w:r>
        <w:t xml:space="preserve">  Le coût de cette documentation est réputé inclus dans le prix des systèmes, options et accessoires proposés.</w:t>
      </w:r>
    </w:p>
    <w:p/>
    <w:p>
      <w:r>
        <w:t>Documentation technique :</w:t>
      </w:r>
    </w:p>
    <w:p>
      <w:pPr>
        <w:pStyle w:val="ListBullet"/>
      </w:pPr>
      <w:r>
        <w:t xml:space="preserve">  En français, sur support numérique (clé USB ou équivalent).</w:t>
      </w:r>
    </w:p>
    <w:p>
      <w:pPr>
        <w:pStyle w:val="ListBullet"/>
      </w:pPr>
      <w:r>
        <w:t xml:space="preserve">  Accès aux informations techniques nécessaires à la maintenance (catalogue pièces, manuels, schémas électriques, etc.).</w:t>
      </w:r>
    </w:p>
    <w:p/>
    <w:p>
      <w:r>
        <w:t>Accessoires :</w:t>
      </w:r>
    </w:p>
    <w:p>
      <w:pPr>
        <w:pStyle w:val="ListBullet"/>
      </w:pPr>
      <w:r>
        <w:t xml:space="preserve">  **1 Oscilloscope 4 voies dédié maintenance des véhicules :**</w:t>
      </w:r>
    </w:p>
    <w:p>
      <w:r>
        <w:t xml:space="preserve">    *   Type : Numérique, avec interface logicielle sur ordinateur fonctionnant sous système d’exploitation Windows 11 ou équivalent.</w:t>
      </w:r>
    </w:p>
    <w:p>
      <w:r>
        <w:t xml:space="preserve">    *   Boîtier d'acquisition : Au moins 4 voies de mesure protégées.</w:t>
      </w:r>
    </w:p>
    <w:p>
      <w:r>
        <w:t xml:space="preserve">    *   Accessoires minimaux :</w:t>
      </w:r>
    </w:p>
    <w:p>
      <w:r>
        <w:t xml:space="preserve">        *   Cordons de mesure sécurisés avec connectique type fiche banane Ø 4 mm ou équivalent.</w:t>
      </w:r>
    </w:p>
    <w:p>
      <w:r>
        <w:t xml:space="preserve">        *   Pinces ampèremétriques pour mesures de courant fort et faible.</w:t>
      </w:r>
    </w:p>
    <w:p>
      <w:r>
        <w:t xml:space="preserve">        *   Interface de connexion USB ou équivalent pour liaison avec PC (longueur minimale 1,5 m).</w:t>
      </w:r>
    </w:p>
    <w:p>
      <w:r>
        <w:t xml:space="preserve">        *   Capteurs adaptés à l’analyse des systèmes d’allumage.</w:t>
      </w:r>
    </w:p>
    <w:p>
      <w:r>
        <w:t xml:space="preserve">        *   Dispositif de mesure de commande de bobines d’allumage par induction ou équivalent.</w:t>
      </w:r>
    </w:p>
    <w:p>
      <w:r>
        <w:t xml:space="preserve">        *   Kit de pointes de test et pinces crocodiles.</w:t>
      </w:r>
    </w:p>
    <w:p>
      <w:r>
        <w:t xml:space="preserve">        *   Sondes de mesure de tension avec facteur d’atténuation x10 ou équivalent.</w:t>
      </w:r>
    </w:p>
    <w:p>
      <w:r>
        <w:t xml:space="preserve">        *   Cordons de test adaptés à la mesure de fusibles (minimum 2).</w:t>
      </w:r>
    </w:p>
    <w:p>
      <w:r>
        <w:t xml:space="preserve">    *   Logiciel : Permettra l’acquisition, l’affichage et l’analyse des signaux de mesure sur PC. Inclura des fonctionnalités pédagogiques telles que des procédures de tests guidés et une base de données technique dédiée au diagnostic automobile ou équivalent.</w:t>
      </w:r>
    </w:p>
    <w:p/>
    <w:p>
      <w:r>
        <w:t>---</w:t>
      </w:r>
    </w:p>
    <w:p/>
    <w:p>
      <w:r>
        <w:t>#### 3.2. Banc Moteur F3.8 ou équivalent (Quantité : 1)</w:t>
      </w:r>
    </w:p>
    <w:p/>
    <w:p>
      <w:pPr>
        <w:pStyle w:val="ListBullet"/>
      </w:pPr>
      <w:r>
        <w:t xml:space="preserve">  **Lieu de livraison :*UFA Risle Seine PONT AUDEMER</w:t>
      </w:r>
    </w:p>
    <w:p>
      <w:pPr>
        <w:pStyle w:val="ListBullet"/>
      </w:pPr>
      <w:r>
        <w:t xml:space="preserve">  **Prestations incluses :*Installation et formation des professeurs (à détailler dans l'offre technique et à chiffrer dans le BPU).</w:t>
      </w:r>
    </w:p>
    <w:p/>
    <w:p>
      <w:r>
        <w:t>Contraintes fonctionnelles :</w:t>
      </w:r>
    </w:p>
    <w:p>
      <w:pPr>
        <w:pStyle w:val="ListBullet"/>
      </w:pPr>
      <w:r>
        <w:t xml:space="preserve">  Le banc moteur doit être équipé d’un moteur neuf associé au système de post-traitement des gaz d’échappement (DOC, DPF, SCR).</w:t>
      </w:r>
    </w:p>
    <w:p>
      <w:pPr>
        <w:pStyle w:val="ListBullet"/>
      </w:pPr>
      <w:r>
        <w:t xml:space="preserve">  Il sera associé à une boîte à pannes permettant de réaliser des Circuits Ouverts, des Courts-Circuits et des ajouts de résistances sur les lignes.</w:t>
      </w:r>
    </w:p>
    <w:p>
      <w:pPr>
        <w:pStyle w:val="ListBullet"/>
      </w:pPr>
      <w:r>
        <w:t xml:space="preserve">  Un panneau de mesures sera exigé pour réaliser des relevés de grandeurs physiques (résistances, tensions d’alimentations, tensions de commandes et signaux des capteurs...).</w:t>
      </w:r>
    </w:p>
    <w:p/>
    <w:p>
      <w:r>
        <w:t>Contraintes technologiques :</w:t>
      </w:r>
    </w:p>
    <w:p>
      <w:pPr>
        <w:pStyle w:val="ListBullet"/>
      </w:pPr>
      <w:r>
        <w:t xml:space="preserve">  **Moteur :*Diesel de type Cummins B 3.8 ou équivalent, présentant des performances et caractéristiques techniques équivalentes en termes de puissance, cylindrée et couple.</w:t>
      </w:r>
    </w:p>
    <w:p>
      <w:pPr>
        <w:pStyle w:val="ListBullet"/>
      </w:pPr>
      <w:r>
        <w:t xml:space="preserve">  **Norme :*Conforme à la réglementation européenne Stage V.</w:t>
      </w:r>
    </w:p>
    <w:p>
      <w:pPr>
        <w:pStyle w:val="ListBullet"/>
      </w:pPr>
      <w:r>
        <w:t xml:space="preserve">  **Injection :*Diesel à injection électronique, de type Common Rail ou équivalent, permettant une gestion électronique des injections.</w:t>
      </w:r>
    </w:p>
    <w:p>
      <w:pPr>
        <w:pStyle w:val="ListBullet"/>
      </w:pPr>
      <w:r>
        <w:t xml:space="preserve">  **Suralimentation :*Par turbocompresseur à géométrie fixe ou équivalent.</w:t>
      </w:r>
    </w:p>
    <w:p>
      <w:pPr>
        <w:pStyle w:val="ListBullet"/>
      </w:pPr>
      <w:r>
        <w:t xml:space="preserve">  **Démarrage à froid :*Système d’aide au démarrage à froid intégré (type réchauffage air ou équivalent).</w:t>
      </w:r>
    </w:p>
    <w:p>
      <w:pPr>
        <w:pStyle w:val="ListBullet"/>
      </w:pPr>
      <w:r>
        <w:t xml:space="preserve">  **Post-traitement :*Système de post-traitement des gaz d’échappement conforme Stage V (DOC + DPF + SCR ou équivalent).</w:t>
      </w:r>
    </w:p>
    <w:p>
      <w:pPr>
        <w:pStyle w:val="ListBullet"/>
      </w:pPr>
      <w:r>
        <w:t xml:space="preserve">  **Réservoirs :*Réservoir d’AdBlue et réservoir de carburant.</w:t>
      </w:r>
    </w:p>
    <w:p>
      <w:pPr>
        <w:pStyle w:val="ListBullet"/>
      </w:pPr>
      <w:r>
        <w:t xml:space="preserve">  **Pupitre de commande (à minima) :**</w:t>
      </w:r>
    </w:p>
    <w:p>
      <w:r>
        <w:t xml:space="preserve">    *   Système de démarrage et d’arrêt du moteur par commande sécurisée (clé ou équivalent).</w:t>
      </w:r>
    </w:p>
    <w:p>
      <w:r>
        <w:t xml:space="preserve">    *   Dispositif d’arrêt d’urgence.</w:t>
      </w:r>
    </w:p>
    <w:p>
      <w:r>
        <w:t xml:space="preserve">    *   Prise de diagnostic moteur standard avec accès aux données et défauts (CAN / J1939 ou équivalent).</w:t>
      </w:r>
    </w:p>
    <w:p>
      <w:r>
        <w:t xml:space="preserve">    *   Commande d’accélération au pied (variation du régime moteur).</w:t>
      </w:r>
    </w:p>
    <w:p>
      <w:r>
        <w:t xml:space="preserve">    *   Commande d’accélération à la main (maintien de régimes stabilisés).</w:t>
      </w:r>
    </w:p>
    <w:p>
      <w:r>
        <w:t xml:space="preserve">    *   Dispositif de protection électrique (fusibles et relais accessibles).</w:t>
      </w:r>
    </w:p>
    <w:p>
      <w:r>
        <w:t xml:space="preserve">    *   Interface d’affichage permettant le suivi des principaux paramètres moteur et la lecture des codes défaut.</w:t>
      </w:r>
    </w:p>
    <w:p>
      <w:r>
        <w:t xml:space="preserve">    *   Gestion des fonctions de post-traitement des gaz d’échappement, incluant les régénérations de filtre à particules selon les stratégies constructeur.</w:t>
      </w:r>
    </w:p>
    <w:p>
      <w:pPr>
        <w:pStyle w:val="ListBullet"/>
      </w:pPr>
      <w:r>
        <w:t xml:space="preserve">  **Sécurité et ergonomie :**</w:t>
      </w:r>
    </w:p>
    <w:p>
      <w:r>
        <w:t xml:space="preserve">    *   Bac de rétention adapté aux fluides du moteur.</w:t>
      </w:r>
    </w:p>
    <w:p>
      <w:r>
        <w:t xml:space="preserve">    *   Protections des éléments en mouvement conformément à la directive Machines 2006/42/CE.</w:t>
      </w:r>
    </w:p>
    <w:p>
      <w:r>
        <w:t xml:space="preserve">    *   Isolation thermique des parties chaudes accessibles afin de prévenir les risques de brûlures des utilisateurs.</w:t>
      </w:r>
    </w:p>
    <w:p>
      <w:r>
        <w:t xml:space="preserve">    *   Conçu pour permettre une visibilité et une accessibilité pédagogique optimales des éléments techniques.</w:t>
      </w:r>
    </w:p>
    <w:p/>
    <w:p>
      <w:r>
        <w:t>Documentation Pédagogique des systèmes didactisés :</w:t>
      </w:r>
    </w:p>
    <w:p>
      <w:pPr>
        <w:pStyle w:val="ListBullet"/>
      </w:pPr>
      <w:r>
        <w:t xml:space="preserve">  Dossier pédagogique comprenant des travaux pratiques, en version élève et en version enseignant.</w:t>
      </w:r>
    </w:p>
    <w:p>
      <w:pPr>
        <w:pStyle w:val="ListBullet"/>
      </w:pPr>
      <w:r>
        <w:t xml:space="preserve">  Le coût de cette documentation est réputé inclus dans le prix des systèmes, options et accessoires proposés.</w:t>
      </w:r>
    </w:p>
    <w:p/>
    <w:p>
      <w:r>
        <w:t>Documentation technique :</w:t>
      </w:r>
    </w:p>
    <w:p>
      <w:pPr>
        <w:pStyle w:val="ListBullet"/>
      </w:pPr>
      <w:r>
        <w:t xml:space="preserve">  En français, sur support numérique (clé USB ou équivalent).</w:t>
      </w:r>
    </w:p>
    <w:p>
      <w:pPr>
        <w:pStyle w:val="ListBullet"/>
      </w:pPr>
      <w:r>
        <w:t xml:space="preserve">  Accès aux informations techniques nécessaires à la maintenance (catalogue pièces, manuels, schémas électriques, etc.).</w:t>
      </w:r>
    </w:p>
    <w:p/>
    <w:p>
      <w:r>
        <w:t>Accessoires :</w:t>
      </w:r>
    </w:p>
    <w:p>
      <w:pPr>
        <w:pStyle w:val="ListBullet"/>
      </w:pPr>
      <w:r>
        <w:t xml:space="preserve">  **1 Système d’acquisition de données et exploitation :**</w:t>
      </w:r>
    </w:p>
    <w:p>
      <w:r>
        <w:t xml:space="preserve">    *   Acquisition : Permettra l'acquisition simultanée d'au moins 16 signaux analogiques. Disposera de 8 voies configurables pour l'acquisition de signaux logiques ou de signaux différentiels.</w:t>
      </w:r>
    </w:p>
    <w:p>
      <w:r>
        <w:t xml:space="preserve">    *   Protection : Intégrera des protections contre les erreurs de manipulation (courts-circuits, surcharges de tension, inversions de branchement) sans dégradation du matériel.</w:t>
      </w:r>
    </w:p>
    <w:p>
      <w:r>
        <w:t xml:space="preserve">    *   Connectivité : Liaison avec un ordinateur via une interface standard de type USB ou équivalent.</w:t>
      </w:r>
    </w:p>
    <w:p>
      <w:r>
        <w:t xml:space="preserve">    *   Alimentation : Sans recours à une alimentation secteur 230 V dédiée (notamment via interface USB ou tout autre mode d’alimentation intégré au système).</w:t>
      </w:r>
    </w:p>
    <w:p>
      <w:r>
        <w:t xml:space="preserve">    *   Fonctionnalités : Intégrera une fonction oscilloscope multivoies permettant l’affichage simultané d’au moins 16 voies avec visualisation des grandeurs mesurées.</w:t>
      </w:r>
    </w:p>
    <w:p>
      <w:r>
        <w:t xml:space="preserve">    *   Connexions : De mesure sécurisées et adaptées à un usage pédagogique, de type fiches bananes Ø 4 mm ou équivalent.</w:t>
      </w:r>
    </w:p>
    <w:p>
      <w:r>
        <w:t xml:space="preserve">    *   Fréquence d'acquisition : Adaptée à l’analyse des signaux électriques et électroniques des systèmes moteurs, avec un minimum de 100 kHz.</w:t>
      </w:r>
    </w:p>
    <w:p>
      <w:r>
        <w:t xml:space="preserve">    *   Utilisation intuitive (à minima) :</w:t>
      </w:r>
    </w:p>
    <w:p>
      <w:r>
        <w:t xml:space="preserve">        *   Aide au câblage (identification des voies, plages de mesure, libellés).</w:t>
      </w:r>
    </w:p>
    <w:p>
      <w:r>
        <w:t xml:space="preserve">        *   Acquisition des données avec réglage des conditions de déclenchement (seuils, fronts, etc.).</w:t>
      </w:r>
    </w:p>
    <w:p>
      <w:r>
        <w:t xml:space="preserve">        *   Exploitation des données sous forme de représentations graphiques adaptées.</w:t>
      </w:r>
    </w:p>
    <w:p>
      <w:r>
        <w:t xml:space="preserve">    *   Traitement des données : Permettra des traitements et calculs sur les données acquises via un outil logiciel intégré ou équivalent.</w:t>
      </w:r>
    </w:p>
    <w:p>
      <w:r>
        <w:t xml:space="preserve">    *   Robustesse : Conçu pour un usage intensif en environnement pédagogique et garantir une robustesse adaptée.</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