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864"/>
          <w:sz w:val="36"/>
          <w:szCs w:val="36"/>
        </w:rPr>
        <w:t xml:space="preserve">Product Requirements Document</w:t>
      </w:r>
    </w:p>
    <w:p>
      <w:pPr>
        <w:spacing w:after="240" w:before="0"/>
      </w:pPr>
      <w:r>
        <w:rPr>
          <w:i/>
          <w:iCs/>
          <w:color w:val="555555"/>
          <w:sz w:val="22"/>
          <w:szCs w:val="22"/>
        </w:rPr>
        <w:t xml:space="preserve">Multimodal Financial Voice Agent  ·  Version 1.4</w:t>
      </w:r>
    </w:p>
    <w:p>
      <w:pPr>
        <w:pBdr>
          <w:bottom w:val="single" w:color="CCCCCC" w:sz="6" w:space="4"/>
        </w:pBdr>
        <w:spacing w:after="200" w:before="200"/>
      </w:pPr>
    </w:p>
    <w:p>
      <w:pPr>
        <w:pStyle w:val="Heading1"/>
        <w:spacing w:after="120" w:before="400"/>
      </w:pPr>
      <w:r>
        <w:t xml:space="preserve">1. Product Overview</w:t>
      </w:r>
    </w:p>
    <w:p>
      <w:pPr>
        <w:spacing w:after="80" w:before="80"/>
      </w:pPr>
      <w:r>
        <w:rPr>
          <w:sz w:val="22"/>
          <w:szCs w:val="22"/>
        </w:rPr>
        <w:t xml:space="preserve">The objective is to build an AI agent that can actively see trading charts, listen to your voice, and execute real-world data pulls. The agent will act as a real-time desktop trading assistant, capable of understanding context from an active financial application (Zerodha Kite) and conversing with the user with ultra-low latency.</w:t>
      </w:r>
    </w:p>
    <w:p>
      <w:pPr>
        <w:spacing w:after="80" w:before="80"/>
      </w:pPr>
      <w:r>
        <w:rPr>
          <w:b/>
          <w:bCs/>
          <w:sz w:val="22"/>
          <w:szCs w:val="22"/>
        </w:rPr>
        <w:t xml:space="preserve">Scope clarification: </w:t>
      </w:r>
      <w:r>
        <w:rPr>
          <w:sz w:val="22"/>
          <w:szCs w:val="22"/>
        </w:rPr>
        <w:t xml:space="preserve">This is a </w:t>
      </w:r>
      <w:r>
        <w:rPr>
          <w:b/>
          <w:bCs/>
          <w:sz w:val="22"/>
          <w:szCs w:val="22"/>
        </w:rPr>
        <w:t xml:space="preserve">read-only</w:t>
      </w:r>
      <w:r>
        <w:rPr>
          <w:sz w:val="22"/>
          <w:szCs w:val="22"/>
        </w:rPr>
        <w:t xml:space="preserve"> assistant. It observes and reports on account data, market data, and news — it does not place, modify, or cancel any orders. Any future "write" capability (placing trades) is explicitly out of scope for this version and would require a separate risk review before being considered.</w:t>
      </w:r>
    </w:p>
    <w:p>
      <w:pPr>
        <w:pStyle w:val="Heading1"/>
        <w:spacing w:after="120" w:before="400"/>
      </w:pPr>
      <w:r>
        <w:t xml:space="preserve">2. Core Capabilities</w:t>
      </w:r>
    </w:p>
    <w:p>
      <w:pPr>
        <w:pStyle w:val="ListParagraph"/>
        <w:numPr>
          <w:ilvl w:val="0"/>
          <w:numId w:val="1"/>
        </w:numPr>
        <w:spacing w:after="60" w:before="60"/>
      </w:pPr>
      <w:r>
        <w:rPr>
          <w:b/>
          <w:bCs/>
          <w:sz w:val="22"/>
          <w:szCs w:val="22"/>
        </w:rPr>
        <w:t xml:space="preserve">Real-Time Voice Interface: </w:t>
      </w:r>
      <w:r>
        <w:rPr>
          <w:sz w:val="22"/>
          <w:szCs w:val="22"/>
        </w:rPr>
        <w:t xml:space="preserve">Utilizing the Gemini Multimodal Live API to eliminate awkward pauses and stream raw audio natively in real time.</w:t>
      </w:r>
    </w:p>
    <w:p>
      <w:pPr>
        <w:pStyle w:val="ListParagraph"/>
        <w:numPr>
          <w:ilvl w:val="0"/>
          <w:numId w:val="1"/>
        </w:numPr>
        <w:spacing w:after="60" w:before="60"/>
      </w:pPr>
      <w:r>
        <w:rPr>
          <w:b/>
          <w:bCs/>
          <w:sz w:val="22"/>
          <w:szCs w:val="22"/>
        </w:rPr>
        <w:t xml:space="preserve">Targeted Screen Vision: </w:t>
      </w:r>
      <w:r>
        <w:rPr>
          <w:sz w:val="22"/>
          <w:szCs w:val="22"/>
        </w:rPr>
        <w:t xml:space="preserve">Restricting the "eyes" of the agent to just the active web browser window where Kite is running to reduce image payload size, lower latency, and keep the AI hyper-focused on financial data.</w:t>
      </w:r>
    </w:p>
    <w:p>
      <w:pPr>
        <w:pStyle w:val="ListParagraph"/>
        <w:numPr>
          <w:ilvl w:val="0"/>
          <w:numId w:val="1"/>
        </w:numPr>
        <w:spacing w:after="60" w:before="60"/>
      </w:pPr>
      <w:r>
        <w:rPr>
          <w:b/>
          <w:bCs/>
          <w:sz w:val="22"/>
          <w:szCs w:val="22"/>
        </w:rPr>
        <w:t xml:space="preserve">Tool Execution (The "Hands"): </w:t>
      </w:r>
      <w:r>
        <w:rPr>
          <w:sz w:val="22"/>
          <w:szCs w:val="22"/>
        </w:rPr>
        <w:t xml:space="preserve">Using the Model Context Protocol (MCP) to give the agent safe, structured, </w:t>
      </w:r>
      <w:r>
        <w:rPr>
          <w:b/>
          <w:bCs/>
          <w:sz w:val="22"/>
          <w:szCs w:val="22"/>
        </w:rPr>
        <w:t xml:space="preserve">read-only</w:t>
      </w:r>
      <w:r>
        <w:rPr>
          <w:sz w:val="22"/>
          <w:szCs w:val="22"/>
        </w:rPr>
        <w:t xml:space="preserve"> access to pull live market data and perform targeted web searches. No tool in this system is permitted to submit, modify, or cancel an order — this is enforced at the tool-definition level, not just by prompting the model to behave.</w:t>
      </w:r>
    </w:p>
    <w:p>
      <w:pPr>
        <w:pStyle w:val="ListParagraph"/>
        <w:numPr>
          <w:ilvl w:val="0"/>
          <w:numId w:val="1"/>
        </w:numPr>
        <w:spacing w:after="60" w:before="60"/>
      </w:pPr>
      <w:r>
        <w:rPr>
          <w:b/>
          <w:bCs/>
          <w:sz w:val="22"/>
          <w:szCs w:val="22"/>
        </w:rPr>
        <w:t xml:space="preserve">Noise Cancellation: </w:t>
      </w:r>
      <w:r>
        <w:rPr>
          <w:sz w:val="22"/>
          <w:szCs w:val="22"/>
        </w:rPr>
        <w:t xml:space="preserve">A voice-activity-detection (VAD) and noise-suppression pass runs on the raw microphone stream before it reaches the Live API, so background noise does not get treated as a command or degrade transcription quality.</w:t>
      </w:r>
    </w:p>
    <w:p>
      <w:pPr>
        <w:pStyle w:val="ListParagraph"/>
        <w:numPr>
          <w:ilvl w:val="0"/>
          <w:numId w:val="1"/>
        </w:numPr>
        <w:spacing w:after="60" w:before="60"/>
      </w:pPr>
      <w:r>
        <w:rPr>
          <w:b/>
          <w:bCs/>
          <w:sz w:val="22"/>
          <w:szCs w:val="22"/>
        </w:rPr>
        <w:t xml:space="preserve">Computed Technical Indicators: </w:t>
      </w:r>
      <w:r>
        <w:rPr>
          <w:sz w:val="22"/>
          <w:szCs w:val="22"/>
        </w:rPr>
        <w:t xml:space="preserve">The agent can add analysis like Bollinger Bands or Fibonacci retracement levels on request, computed locally from historical price data.</w:t>
      </w:r>
    </w:p>
    <w:p>
      <w:pPr>
        <w:spacing w:after="80" w:before="80"/>
      </w:pPr>
      <w:r>
        <w:rPr>
          <w:sz w:val="22"/>
          <w:szCs w:val="22"/>
        </w:rPr>
        <w:t xml:space="preserve"/>
      </w:r>
    </w:p>
    <w:p>
      <w:pPr>
        <w:pBdr>
          <w:left w:val="single" w:color="AAAAAA" w:sz="6" w:space="8"/>
        </w:pBdr>
        <w:spacing w:after="80" w:before="80"/>
        <w:ind w:left="360"/>
      </w:pPr>
      <w:r>
        <w:rPr>
          <w:i/>
          <w:iCs/>
          <w:color w:val="555555"/>
          <w:sz w:val="22"/>
          <w:szCs w:val="22"/>
        </w:rPr>
        <w:t xml:space="preserve">Access control note: This system does not independently verify who is speaking. It relies on the existing access boundary of the machine itself (unlocked device) and an active Kite login. Acceptable for a personal, read-only tool — revisit if this ever moves beyond single-user personal use.</w:t>
      </w:r>
    </w:p>
    <w:p>
      <w:pPr>
        <w:pStyle w:val="Heading1"/>
        <w:spacing w:after="120" w:before="400"/>
      </w:pPr>
      <w:r>
        <w:t xml:space="preserve">3. Technical Indicator Analysis (Read-Only)</w:t>
      </w:r>
    </w:p>
    <w:p>
      <w:pPr>
        <w:spacing w:after="80" w:before="80"/>
      </w:pPr>
      <w:r>
        <w:rPr>
          <w:sz w:val="22"/>
          <w:szCs w:val="22"/>
        </w:rPr>
        <w:t xml:space="preserve">When the user asks for Bollinger Bands or Fibonacci retracement, the agent does not interact with Kite's charting UI. Instead:</w:t>
      </w:r>
    </w:p>
    <w:p>
      <w:pPr>
        <w:pStyle w:val="ListParagraph"/>
        <w:numPr>
          <w:ilvl w:val="0"/>
          <w:numId w:val="2"/>
        </w:numPr>
        <w:spacing w:after="60" w:before="60"/>
      </w:pPr>
      <w:r>
        <w:rPr>
          <w:sz w:val="22"/>
          <w:szCs w:val="22"/>
        </w:rPr>
        <w:t xml:space="preserve">The agent recognises the request as an analysis request, not a screen action.</w:t>
      </w:r>
    </w:p>
    <w:p>
      <w:pPr>
        <w:pStyle w:val="ListParagraph"/>
        <w:numPr>
          <w:ilvl w:val="0"/>
          <w:numId w:val="2"/>
        </w:numPr>
        <w:spacing w:after="60" w:before="60"/>
      </w:pPr>
      <w:r>
        <w:rPr>
          <w:sz w:val="22"/>
          <w:szCs w:val="22"/>
        </w:rPr>
        <w:t xml:space="preserve">It pulls the relevant historical OHLC candle data via the Kite Connect </w:t>
      </w:r>
      <w:r>
        <w:rPr>
          <w:b/>
          <w:bCs/>
          <w:sz w:val="22"/>
          <w:szCs w:val="22"/>
        </w:rPr>
        <w:t xml:space="preserve">historical data API</w:t>
      </w:r>
      <w:r>
        <w:rPr>
          <w:sz w:val="22"/>
          <w:szCs w:val="22"/>
        </w:rPr>
        <w:t xml:space="preserve"> — a read-only GET endpoint included with the base Kite Connect subscription.</w:t>
      </w:r>
    </w:p>
    <w:p>
      <w:pPr>
        <w:pStyle w:val="ListParagraph"/>
        <w:numPr>
          <w:ilvl w:val="0"/>
          <w:numId w:val="2"/>
        </w:numPr>
        <w:spacing w:after="60" w:before="60"/>
      </w:pPr>
      <w:r>
        <w:rPr>
          <w:sz w:val="22"/>
          <w:szCs w:val="22"/>
        </w:rPr>
        <w:t xml:space="preserve">It computes the indicator locally (Bollinger Bands, Fibonacci, moving averages, RSI, etc.) using </w:t>
      </w:r>
      <w:r>
        <w:rPr>
          <w:rFonts w:ascii="Courier New" w:cs="Courier New" w:eastAsia="Courier New" w:hAnsi="Courier New"/>
          <w:color w:val="444444"/>
          <w:sz w:val="20"/>
          <w:szCs w:val="20"/>
        </w:rPr>
        <w:t xml:space="preserve">pandas</w:t>
      </w:r>
      <w:r>
        <w:rPr>
          <w:sz w:val="22"/>
          <w:szCs w:val="22"/>
        </w:rPr>
        <w:t xml:space="preserve">, </w:t>
      </w:r>
      <w:r>
        <w:rPr>
          <w:rFonts w:ascii="Courier New" w:cs="Courier New" w:eastAsia="Courier New" w:hAnsi="Courier New"/>
          <w:color w:val="444444"/>
          <w:sz w:val="20"/>
          <w:szCs w:val="20"/>
        </w:rPr>
        <w:t xml:space="preserve">numpy</w:t>
      </w:r>
      <w:r>
        <w:rPr>
          <w:sz w:val="22"/>
          <w:szCs w:val="22"/>
        </w:rPr>
        <w:t xml:space="preserve">, or the </w:t>
      </w:r>
      <w:r>
        <w:rPr>
          <w:rFonts w:ascii="Courier New" w:cs="Courier New" w:eastAsia="Courier New" w:hAnsi="Courier New"/>
          <w:color w:val="444444"/>
          <w:sz w:val="20"/>
          <w:szCs w:val="20"/>
        </w:rPr>
        <w:t xml:space="preserve">ta</w:t>
      </w:r>
      <w:r>
        <w:rPr>
          <w:sz w:val="22"/>
          <w:szCs w:val="22"/>
        </w:rPr>
        <w:t xml:space="preserve"> library.</w:t>
      </w:r>
    </w:p>
    <w:p>
      <w:pPr>
        <w:pStyle w:val="ListParagraph"/>
        <w:numPr>
          <w:ilvl w:val="0"/>
          <w:numId w:val="2"/>
        </w:numPr>
        <w:spacing w:after="60" w:before="60"/>
      </w:pPr>
      <w:r>
        <w:rPr>
          <w:sz w:val="22"/>
          <w:szCs w:val="22"/>
        </w:rPr>
        <w:t xml:space="preserve">It reports the result verbally or as a separate chart displayed alongside — not inside — the Kite window.</w:t>
      </w:r>
    </w:p>
    <w:p>
      <w:pPr>
        <w:spacing w:after="80" w:before="80"/>
      </w:pPr>
      <w:r>
        <w:rPr>
          <w:sz w:val="22"/>
          <w:szCs w:val="22"/>
        </w:rPr>
        <w:t xml:space="preserve"/>
      </w:r>
    </w:p>
    <w:p>
      <w:pPr>
        <w:pBdr>
          <w:left w:val="single" w:color="AAAAAA" w:sz="6" w:space="8"/>
        </w:pBdr>
        <w:spacing w:after="80" w:before="80"/>
        <w:ind w:left="360"/>
      </w:pPr>
      <w:r>
        <w:rPr>
          <w:i/>
          <w:iCs/>
          <w:color w:val="555555"/>
          <w:sz w:val="22"/>
          <w:szCs w:val="22"/>
        </w:rPr>
        <w:t xml:space="preserve">Known limitation: Kite Connect historical data is unavailable for expired options contracts. Confirm coverage for your most-used instruments and timeframes before relying on this for options analysis.</w:t>
      </w:r>
    </w:p>
    <w:p>
      <w:pPr>
        <w:pStyle w:val="Heading1"/>
        <w:spacing w:after="120" w:before="400"/>
      </w:pPr>
      <w:r>
        <w:t xml:space="preserve">4. User Flow &amp; Experience</w:t>
      </w:r>
    </w:p>
    <w:p>
      <w:pPr>
        <w:pStyle w:val="ListParagraph"/>
        <w:numPr>
          <w:ilvl w:val="0"/>
          <w:numId w:val="2"/>
        </w:numPr>
        <w:spacing w:after="60" w:before="60"/>
      </w:pPr>
      <w:r>
        <w:rPr>
          <w:sz w:val="22"/>
          <w:szCs w:val="22"/>
        </w:rPr>
        <w:t xml:space="preserve">User opens the web browser to the Zerodha Kite application.</w:t>
      </w:r>
    </w:p>
    <w:p>
      <w:pPr>
        <w:pStyle w:val="ListParagraph"/>
        <w:numPr>
          <w:ilvl w:val="0"/>
          <w:numId w:val="2"/>
        </w:numPr>
        <w:spacing w:after="60" w:before="60"/>
      </w:pPr>
      <w:r>
        <w:rPr>
          <w:sz w:val="22"/>
          <w:szCs w:val="22"/>
        </w:rPr>
        <w:t xml:space="preserve">User triggers the Python script and speaks a command via microphone (e.g. "What is the Nifty level and fetch me the latest news on it?").</w:t>
      </w:r>
    </w:p>
    <w:p>
      <w:pPr>
        <w:pStyle w:val="ListParagraph"/>
        <w:numPr>
          <w:ilvl w:val="0"/>
          <w:numId w:val="2"/>
        </w:numPr>
        <w:spacing w:after="60" w:before="60"/>
      </w:pPr>
      <w:r>
        <w:rPr>
          <w:sz w:val="22"/>
          <w:szCs w:val="22"/>
        </w:rPr>
        <w:t xml:space="preserve">The agent sees the Kite UI via localised screen capture and understands the audio command.</w:t>
      </w:r>
    </w:p>
    <w:p>
      <w:pPr>
        <w:pStyle w:val="ListParagraph"/>
        <w:numPr>
          <w:ilvl w:val="0"/>
          <w:numId w:val="2"/>
        </w:numPr>
        <w:spacing w:after="60" w:before="60"/>
      </w:pPr>
      <w:r>
        <w:rPr>
          <w:sz w:val="22"/>
          <w:szCs w:val="22"/>
        </w:rPr>
        <w:t xml:space="preserve">The agent triggers MCP tools in the background to fetch live indices and scrape web headlines.</w:t>
      </w:r>
    </w:p>
    <w:p>
      <w:pPr>
        <w:pStyle w:val="ListParagraph"/>
        <w:numPr>
          <w:ilvl w:val="0"/>
          <w:numId w:val="2"/>
        </w:numPr>
        <w:spacing w:after="60" w:before="60"/>
      </w:pPr>
      <w:r>
        <w:rPr>
          <w:sz w:val="22"/>
          <w:szCs w:val="22"/>
        </w:rPr>
        <w:t xml:space="preserve">The agent streams back a natural, spoken response summarising the data immediately.</w:t>
      </w:r>
    </w:p>
    <w:p>
      <w:pPr>
        <w:pStyle w:val="Heading1"/>
        <w:spacing w:after="120" w:before="400"/>
      </w:pPr>
      <w:r>
        <w:t xml:space="preserve">5. Technical Stack Requirements</w:t>
      </w:r>
    </w:p>
    <w:p>
      <w:pPr>
        <w:pStyle w:val="ListParagraph"/>
        <w:numPr>
          <w:ilvl w:val="0"/>
          <w:numId w:val="1"/>
        </w:numPr>
        <w:spacing w:after="60" w:before="60"/>
      </w:pPr>
      <w:r>
        <w:rPr>
          <w:b/>
          <w:bCs/>
          <w:sz w:val="22"/>
          <w:szCs w:val="22"/>
        </w:rPr>
        <w:t xml:space="preserve">Runtime Environment: </w:t>
      </w:r>
      <w:r>
        <w:rPr>
          <w:sz w:val="22"/>
          <w:szCs w:val="22"/>
        </w:rPr>
        <w:t xml:space="preserve">Python 3.9 or higher.</w:t>
      </w:r>
    </w:p>
    <w:p>
      <w:pPr>
        <w:pStyle w:val="ListParagraph"/>
        <w:numPr>
          <w:ilvl w:val="0"/>
          <w:numId w:val="1"/>
        </w:numPr>
        <w:spacing w:after="60" w:before="60"/>
      </w:pPr>
      <w:r>
        <w:rPr>
          <w:b/>
          <w:bCs/>
          <w:sz w:val="22"/>
          <w:szCs w:val="22"/>
        </w:rPr>
        <w:t xml:space="preserve">LLM &amp; API Connection: </w:t>
      </w:r>
      <w:r>
        <w:rPr>
          <w:rFonts w:ascii="Courier New" w:cs="Courier New" w:eastAsia="Courier New" w:hAnsi="Courier New"/>
          <w:color w:val="444444"/>
          <w:sz w:val="20"/>
          <w:szCs w:val="20"/>
        </w:rPr>
        <w:t xml:space="preserve">google-genai</w:t>
      </w:r>
      <w:r>
        <w:rPr>
          <w:sz w:val="22"/>
          <w:szCs w:val="22"/>
        </w:rPr>
        <w:t xml:space="preserve"> SDK to connect to the Gemini Multimodal Live API.</w:t>
      </w:r>
    </w:p>
    <w:p>
      <w:pPr>
        <w:pStyle w:val="ListParagraph"/>
        <w:numPr>
          <w:ilvl w:val="0"/>
          <w:numId w:val="1"/>
        </w:numPr>
        <w:spacing w:after="60" w:before="60"/>
      </w:pPr>
      <w:r>
        <w:rPr>
          <w:b/>
          <w:bCs/>
          <w:sz w:val="22"/>
          <w:szCs w:val="22"/>
        </w:rPr>
        <w:t xml:space="preserve">Audio I/O &amp; Streaming: </w:t>
      </w:r>
      <w:r>
        <w:rPr>
          <w:rFonts w:ascii="Courier New" w:cs="Courier New" w:eastAsia="Courier New" w:hAnsi="Courier New"/>
          <w:color w:val="444444"/>
          <w:sz w:val="20"/>
          <w:szCs w:val="20"/>
        </w:rPr>
        <w:t xml:space="preserve">PyAudio</w:t>
      </w:r>
      <w:r>
        <w:rPr>
          <w:sz w:val="22"/>
          <w:szCs w:val="22"/>
        </w:rPr>
        <w:t xml:space="preserve"> for microphone capture/speaker playback, combined with </w:t>
      </w:r>
      <w:r>
        <w:rPr>
          <w:rFonts w:ascii="Courier New" w:cs="Courier New" w:eastAsia="Courier New" w:hAnsi="Courier New"/>
          <w:color w:val="444444"/>
          <w:sz w:val="20"/>
          <w:szCs w:val="20"/>
        </w:rPr>
        <w:t xml:space="preserve">asyncio</w:t>
      </w:r>
      <w:r>
        <w:rPr>
          <w:sz w:val="22"/>
          <w:szCs w:val="22"/>
        </w:rPr>
        <w:t xml:space="preserve"> and </w:t>
      </w:r>
      <w:r>
        <w:rPr>
          <w:rFonts w:ascii="Courier New" w:cs="Courier New" w:eastAsia="Courier New" w:hAnsi="Courier New"/>
          <w:color w:val="444444"/>
          <w:sz w:val="20"/>
          <w:szCs w:val="20"/>
        </w:rPr>
        <w:t xml:space="preserve">websockets</w:t>
      </w:r>
      <w:r>
        <w:rPr>
          <w:sz w:val="22"/>
          <w:szCs w:val="22"/>
        </w:rPr>
        <w:t xml:space="preserve"> to handle the continuous two-way data stream without blocking the main thread.</w:t>
      </w:r>
    </w:p>
    <w:p>
      <w:pPr>
        <w:pStyle w:val="ListParagraph"/>
        <w:numPr>
          <w:ilvl w:val="0"/>
          <w:numId w:val="1"/>
        </w:numPr>
        <w:spacing w:after="60" w:before="60"/>
      </w:pPr>
      <w:r>
        <w:rPr>
          <w:b/>
          <w:bCs/>
          <w:sz w:val="22"/>
          <w:szCs w:val="22"/>
        </w:rPr>
        <w:t xml:space="preserve">Vision / Screen Capture: </w:t>
      </w:r>
      <w:r>
        <w:rPr>
          <w:rFonts w:ascii="Courier New" w:cs="Courier New" w:eastAsia="Courier New" w:hAnsi="Courier New"/>
          <w:color w:val="444444"/>
          <w:sz w:val="20"/>
          <w:szCs w:val="20"/>
        </w:rPr>
        <w:t xml:space="preserve">mss</w:t>
      </w:r>
      <w:r>
        <w:rPr>
          <w:sz w:val="22"/>
          <w:szCs w:val="22"/>
        </w:rPr>
        <w:t xml:space="preserve"> for capturing cropped frames, and </w:t>
      </w:r>
      <w:r>
        <w:rPr>
          <w:rFonts w:ascii="Courier New" w:cs="Courier New" w:eastAsia="Courier New" w:hAnsi="Courier New"/>
          <w:color w:val="444444"/>
          <w:sz w:val="20"/>
          <w:szCs w:val="20"/>
        </w:rPr>
        <w:t xml:space="preserve">pygetwindow</w:t>
      </w:r>
      <w:r>
        <w:rPr>
          <w:sz w:val="22"/>
          <w:szCs w:val="22"/>
        </w:rPr>
        <w:t xml:space="preserve"> (Windows) or </w:t>
      </w:r>
      <w:r>
        <w:rPr>
          <w:rFonts w:ascii="Courier New" w:cs="Courier New" w:eastAsia="Courier New" w:hAnsi="Courier New"/>
          <w:color w:val="444444"/>
          <w:sz w:val="20"/>
          <w:szCs w:val="20"/>
        </w:rPr>
        <w:t xml:space="preserve">AppKit</w:t>
      </w:r>
      <w:r>
        <w:rPr>
          <w:sz w:val="22"/>
          <w:szCs w:val="22"/>
        </w:rPr>
        <w:t xml:space="preserve"> (macOS) to programmatically locate the browser window.</w:t>
      </w:r>
    </w:p>
    <w:p>
      <w:pPr>
        <w:pStyle w:val="ListParagraph"/>
        <w:numPr>
          <w:ilvl w:val="0"/>
          <w:numId w:val="1"/>
        </w:numPr>
        <w:spacing w:after="60" w:before="60"/>
      </w:pPr>
      <w:r>
        <w:rPr>
          <w:b/>
          <w:bCs/>
          <w:sz w:val="22"/>
          <w:szCs w:val="22"/>
        </w:rPr>
        <w:t xml:space="preserve">Tool Architecture: </w:t>
      </w:r>
      <w:r>
        <w:rPr>
          <w:sz w:val="22"/>
          <w:szCs w:val="22"/>
        </w:rPr>
        <w:t xml:space="preserve">MCP SDK. All tool definitions are read-only GET-style operations: fetching quotes, holdings/positions for display, and news. No tool wraps an order-placement, order-modification, or fund-transfer endpoint.</w:t>
      </w:r>
    </w:p>
    <w:p>
      <w:pPr>
        <w:pStyle w:val="ListParagraph"/>
        <w:numPr>
          <w:ilvl w:val="0"/>
          <w:numId w:val="1"/>
        </w:numPr>
        <w:spacing w:after="60" w:before="60"/>
      </w:pPr>
      <w:r>
        <w:rPr>
          <w:b/>
          <w:bCs/>
          <w:sz w:val="22"/>
          <w:szCs w:val="22"/>
        </w:rPr>
        <w:t xml:space="preserve">Voice Activity Detection &amp; Noise Suppression: </w:t>
      </w:r>
      <w:r>
        <w:rPr>
          <w:rFonts w:ascii="Courier New" w:cs="Courier New" w:eastAsia="Courier New" w:hAnsi="Courier New"/>
          <w:color w:val="444444"/>
          <w:sz w:val="20"/>
          <w:szCs w:val="20"/>
        </w:rPr>
        <w:t xml:space="preserve">silero-vad</w:t>
      </w:r>
      <w:r>
        <w:rPr>
          <w:sz w:val="22"/>
          <w:szCs w:val="22"/>
        </w:rPr>
        <w:t xml:space="preserve"> combined with </w:t>
      </w:r>
      <w:r>
        <w:rPr>
          <w:rFonts w:ascii="Courier New" w:cs="Courier New" w:eastAsia="Courier New" w:hAnsi="Courier New"/>
          <w:color w:val="444444"/>
          <w:sz w:val="20"/>
          <w:szCs w:val="20"/>
        </w:rPr>
        <w:t xml:space="preserve">noisereduce</w:t>
      </w:r>
      <w:r>
        <w:rPr>
          <w:sz w:val="22"/>
          <w:szCs w:val="22"/>
        </w:rPr>
        <w:t xml:space="preserve"> or WebRTC noise suppression, applied to the raw mic stream before anything else touches it.</w:t>
      </w:r>
    </w:p>
    <w:p>
      <w:pPr>
        <w:pStyle w:val="ListParagraph"/>
        <w:numPr>
          <w:ilvl w:val="0"/>
          <w:numId w:val="1"/>
        </w:numPr>
        <w:spacing w:after="60" w:before="60"/>
      </w:pPr>
      <w:r>
        <w:rPr>
          <w:b/>
          <w:bCs/>
          <w:sz w:val="22"/>
          <w:szCs w:val="22"/>
        </w:rPr>
        <w:t xml:space="preserve">Technical Indicator Computation: </w:t>
      </w:r>
      <w:r>
        <w:rPr>
          <w:rFonts w:ascii="Courier New" w:cs="Courier New" w:eastAsia="Courier New" w:hAnsi="Courier New"/>
          <w:color w:val="444444"/>
          <w:sz w:val="20"/>
          <w:szCs w:val="20"/>
        </w:rPr>
        <w:t xml:space="preserve">pandas</w:t>
      </w:r>
      <w:r>
        <w:rPr>
          <w:sz w:val="22"/>
          <w:szCs w:val="22"/>
        </w:rPr>
        <w:t xml:space="preserve"> and </w:t>
      </w:r>
      <w:r>
        <w:rPr>
          <w:rFonts w:ascii="Courier New" w:cs="Courier New" w:eastAsia="Courier New" w:hAnsi="Courier New"/>
          <w:color w:val="444444"/>
          <w:sz w:val="20"/>
          <w:szCs w:val="20"/>
        </w:rPr>
        <w:t xml:space="preserve">numpy</w:t>
      </w:r>
      <w:r>
        <w:rPr>
          <w:sz w:val="22"/>
          <w:szCs w:val="22"/>
        </w:rPr>
        <w:t xml:space="preserve"> (or the </w:t>
      </w:r>
      <w:r>
        <w:rPr>
          <w:rFonts w:ascii="Courier New" w:cs="Courier New" w:eastAsia="Courier New" w:hAnsi="Courier New"/>
          <w:color w:val="444444"/>
          <w:sz w:val="20"/>
          <w:szCs w:val="20"/>
        </w:rPr>
        <w:t xml:space="preserve">ta</w:t>
      </w:r>
      <w:r>
        <w:rPr>
          <w:sz w:val="22"/>
          <w:szCs w:val="22"/>
        </w:rPr>
        <w:t xml:space="preserve"> library) for local indicator computation from historical candle data.</w:t>
      </w:r>
    </w:p>
    <w:p>
      <w:pPr>
        <w:pStyle w:val="Heading1"/>
        <w:spacing w:after="120" w:before="400"/>
      </w:pPr>
      <w:r>
        <w:t xml:space="preserve">6. Performance Targets</w:t>
      </w:r>
    </w:p>
    <w:p>
      <w:pPr>
        <w:spacing w:after="80" w:before="80"/>
      </w:pPr>
      <w:r>
        <w:rPr>
          <w:sz w:val="22"/>
          <w:szCs w:val="22"/>
        </w:rPr>
        <w:t xml:space="preserve">Response latency is split into two measurements, because a single "under 500 ms" number is not meaningful once a tool call is involved.</w:t>
      </w:r>
    </w:p>
    <w:p>
      <w:pPr>
        <w:pStyle w:val="ListParagraph"/>
        <w:numPr>
          <w:ilvl w:val="0"/>
          <w:numId w:val="1"/>
        </w:numPr>
        <w:spacing w:after="60" w:before="60"/>
      </w:pPr>
      <w:r>
        <w:rPr>
          <w:b/>
          <w:bCs/>
          <w:sz w:val="22"/>
          <w:szCs w:val="22"/>
        </w:rPr>
        <w:t xml:space="preserve">Acknowledgment latency (target: &lt;500 ms): </w:t>
      </w:r>
      <w:r>
        <w:rPr>
          <w:sz w:val="22"/>
          <w:szCs w:val="22"/>
        </w:rPr>
        <w:t xml:space="preserve">Time from end of user speech to the agent's first spoken words. Achievable because it does not wait on any tool call.</w:t>
      </w:r>
    </w:p>
    <w:p>
      <w:pPr>
        <w:pStyle w:val="ListParagraph"/>
        <w:numPr>
          <w:ilvl w:val="0"/>
          <w:numId w:val="1"/>
        </w:numPr>
        <w:spacing w:after="60" w:before="60"/>
      </w:pPr>
      <w:r>
        <w:rPr>
          <w:b/>
          <w:bCs/>
          <w:sz w:val="22"/>
          <w:szCs w:val="22"/>
        </w:rPr>
        <w:t xml:space="preserve">Full-answer latency:</w:t>
      </w:r>
    </w:p>
    <w:p>
      <w:pPr>
        <w:pStyle w:val="ListParagraph"/>
        <w:numPr>
          <w:ilvl w:val="1"/>
          <w:numId w:val="1"/>
        </w:numPr>
        <w:spacing w:after="60" w:before="60"/>
      </w:pPr>
      <w:r>
        <w:rPr>
          <w:sz w:val="22"/>
          <w:szCs w:val="22"/>
        </w:rPr>
        <w:t xml:space="preserve">No tool call needed (data visible on screen): &lt;1 s</w:t>
      </w:r>
    </w:p>
    <w:p>
      <w:pPr>
        <w:pStyle w:val="ListParagraph"/>
        <w:numPr>
          <w:ilvl w:val="1"/>
          <w:numId w:val="1"/>
        </w:numPr>
        <w:spacing w:after="60" w:before="60"/>
      </w:pPr>
      <w:r>
        <w:rPr>
          <w:sz w:val="22"/>
          <w:szCs w:val="22"/>
        </w:rPr>
        <w:t xml:space="preserve">Live market data only: &lt;2 s</w:t>
      </w:r>
    </w:p>
    <w:p>
      <w:pPr>
        <w:pStyle w:val="ListParagraph"/>
        <w:numPr>
          <w:ilvl w:val="1"/>
          <w:numId w:val="1"/>
        </w:numPr>
        <w:spacing w:after="60" w:before="60"/>
      </w:pPr>
      <w:r>
        <w:rPr>
          <w:sz w:val="22"/>
          <w:szCs w:val="22"/>
        </w:rPr>
        <w:t xml:space="preserve">Includes Tavily web search: &lt;4 s</w:t>
      </w:r>
    </w:p>
    <w:p>
      <w:pPr>
        <w:pStyle w:val="ListParagraph"/>
        <w:numPr>
          <w:ilvl w:val="0"/>
          <w:numId w:val="1"/>
        </w:numPr>
        <w:spacing w:after="60" w:before="60"/>
      </w:pPr>
      <w:r>
        <w:rPr>
          <w:b/>
          <w:bCs/>
          <w:sz w:val="22"/>
          <w:szCs w:val="22"/>
        </w:rPr>
        <w:t xml:space="preserve">"Thinking out loud" pattern: </w:t>
      </w:r>
      <w:r>
        <w:rPr>
          <w:sz w:val="22"/>
          <w:szCs w:val="22"/>
        </w:rPr>
        <w:t xml:space="preserve">The agent must emit a short acknowledgment phrase before any tool result returns, then continue once data arrives. This must be specified in the system prompt — Gemini will not do it automatically.</w:t>
      </w:r>
    </w:p>
    <w:p>
      <w:pPr>
        <w:pStyle w:val="ListParagraph"/>
        <w:numPr>
          <w:ilvl w:val="0"/>
          <w:numId w:val="1"/>
        </w:numPr>
        <w:spacing w:after="60" w:before="60"/>
      </w:pPr>
      <w:r>
        <w:rPr>
          <w:b/>
          <w:bCs/>
          <w:sz w:val="22"/>
          <w:szCs w:val="22"/>
        </w:rPr>
        <w:t xml:space="preserve">Noise suppression overhead: </w:t>
      </w:r>
      <w:r>
        <w:rPr>
          <w:sz w:val="22"/>
          <w:szCs w:val="22"/>
        </w:rPr>
        <w:t xml:space="preserve">&lt;100 ms (runs before audio reaches the Live API, directly in the acknowledgment latency budget).</w:t>
      </w:r>
    </w:p>
    <w:p>
      <w:pPr>
        <w:pStyle w:val="ListParagraph"/>
        <w:numPr>
          <w:ilvl w:val="0"/>
          <w:numId w:val="1"/>
        </w:numPr>
        <w:spacing w:after="60" w:before="60"/>
      </w:pPr>
      <w:r>
        <w:rPr>
          <w:b/>
          <w:bCs/>
          <w:sz w:val="22"/>
          <w:szCs w:val="22"/>
        </w:rPr>
        <w:t xml:space="preserve">Screen capture overhead: </w:t>
      </w:r>
      <w:r>
        <w:rPr>
          <w:sz w:val="22"/>
          <w:szCs w:val="22"/>
        </w:rPr>
        <w:t xml:space="preserve">&lt;150 ms per frame capture + encode.</w:t>
      </w:r>
    </w:p>
    <w:p>
      <w:pPr>
        <w:pStyle w:val="ListParagraph"/>
        <w:numPr>
          <w:ilvl w:val="0"/>
          <w:numId w:val="1"/>
        </w:numPr>
        <w:spacing w:after="60" w:before="60"/>
      </w:pPr>
      <w:r>
        <w:rPr>
          <w:b/>
          <w:bCs/>
          <w:sz w:val="22"/>
          <w:szCs w:val="22"/>
        </w:rPr>
        <w:t xml:space="preserve">Indicator computation: </w:t>
      </w:r>
      <w:r>
        <w:rPr>
          <w:sz w:val="22"/>
          <w:szCs w:val="22"/>
        </w:rPr>
        <w:t xml:space="preserve">&lt;1 s to fetch historical candles and compute. Follows the same acknowledge-first, deliver-after pattern.</w:t>
      </w:r>
    </w:p>
    <w:p>
      <w:pPr>
        <w:spacing w:after="80" w:before="80"/>
      </w:pPr>
      <w:r>
        <w:rPr>
          <w:sz w:val="22"/>
          <w:szCs w:val="22"/>
        </w:rPr>
        <w:t xml:space="preserve"/>
      </w:r>
    </w:p>
    <w:p>
      <w:pPr>
        <w:pBdr>
          <w:left w:val="single" w:color="AAAAAA" w:sz="6" w:space="8"/>
        </w:pBdr>
        <w:spacing w:after="80" w:before="80"/>
        <w:ind w:left="360"/>
      </w:pPr>
      <w:r>
        <w:rPr>
          <w:i/>
          <w:iCs/>
          <w:color w:val="555555"/>
          <w:sz w:val="22"/>
          <w:szCs w:val="22"/>
        </w:rPr>
        <w:t xml:space="preserve">These are prototype-stage targets, not SLAs — revisit once real usage data exists.</w:t>
      </w:r>
    </w:p>
    <w:p>
      <w:pPr>
        <w:pStyle w:val="Heading1"/>
        <w:spacing w:after="120" w:before="400"/>
      </w:pPr>
      <w:r>
        <w:t xml:space="preserve">7. Session Management &amp; Error Handling  ✦ NEW</w:t>
      </w:r>
    </w:p>
    <w:p>
      <w:pPr>
        <w:pStyle w:val="Heading2"/>
        <w:spacing w:after="100" w:before="300"/>
      </w:pPr>
      <w:r>
        <w:t xml:space="preserve">7.1  Gemini Live API Session Lifecycle</w:t>
      </w:r>
    </w:p>
    <w:p>
      <w:pPr>
        <w:spacing w:after="80" w:before="80"/>
      </w:pPr>
      <w:r>
        <w:rPr>
          <w:sz w:val="22"/>
          <w:szCs w:val="22"/>
        </w:rPr>
        <w:t xml:space="preserve">The Gemini Multimodal Live API maintains a persistent WebSocket connection. The following states and transitions must be explicitly handled in code:</w:t>
      </w:r>
    </w:p>
    <w:p>
      <w:pPr>
        <w:spacing w:after="80" w:before="80"/>
      </w:pPr>
      <w:r>
        <w:rPr>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shd w:fill="1F3864" w:val="clear"/>
          </w:tcPr>
          <w:p>
            <w:r>
              <w:rPr>
                <w:b/>
                <w:bCs/>
                <w:color w:val="FFFFFF"/>
                <w:sz w:val="20"/>
                <w:szCs w:val="20"/>
              </w:rPr>
              <w:t xml:space="preserve">State / Event</w:t>
            </w:r>
          </w:p>
        </w:tc>
        <w:tc>
          <w:tcPr>
            <w:tcW w:type="dxa" w:w="2880"/>
            <w:shd w:fill="1F3864" w:val="clear"/>
          </w:tcPr>
          <w:p>
            <w:r>
              <w:rPr>
                <w:b/>
                <w:bCs/>
                <w:color w:val="FFFFFF"/>
                <w:sz w:val="20"/>
                <w:szCs w:val="20"/>
              </w:rPr>
              <w:t xml:space="preserve">Expected Behaviour</w:t>
            </w:r>
          </w:p>
        </w:tc>
        <w:tc>
          <w:tcPr>
            <w:tcW w:type="dxa" w:w="2880"/>
            <w:shd w:fill="1F3864" w:val="clear"/>
          </w:tcPr>
          <w:p>
            <w:r>
              <w:rPr>
                <w:b/>
                <w:bCs/>
                <w:color w:val="FFFFFF"/>
                <w:sz w:val="20"/>
                <w:szCs w:val="20"/>
              </w:rPr>
              <w:t xml:space="preserve">Implementation Notes</w:t>
            </w:r>
          </w:p>
        </w:tc>
      </w:tr>
      <w:tr>
        <w:tc>
          <w:tcPr>
            <w:tcW w:type="dxa" w:w="2880"/>
            <w:shd w:fill="F5F8FF" w:val="clear"/>
          </w:tcPr>
          <w:p>
            <w:r>
              <w:rPr>
                <w:sz w:val="20"/>
                <w:szCs w:val="20"/>
              </w:rPr>
              <w:t xml:space="preserve">Startup</w:t>
            </w:r>
          </w:p>
        </w:tc>
        <w:tc>
          <w:tcPr>
            <w:tcW w:type="dxa" w:w="2880"/>
            <w:shd w:fill="F5F8FF" w:val="clear"/>
          </w:tcPr>
          <w:p>
            <w:r>
              <w:rPr>
                <w:sz w:val="20"/>
                <w:szCs w:val="20"/>
              </w:rPr>
              <w:t xml:space="preserve">Establish WebSocket, send initial system prompt, start audio/capture loops</w:t>
            </w:r>
          </w:p>
        </w:tc>
        <w:tc>
          <w:tcPr>
            <w:tcW w:type="dxa" w:w="2880"/>
            <w:shd w:fill="F5F8FF" w:val="clear"/>
          </w:tcPr>
          <w:p>
            <w:r>
              <w:rPr>
                <w:sz w:val="20"/>
                <w:szCs w:val="20"/>
              </w:rPr>
              <w:t xml:space="preserve">Wrap in retry logic (3 attempts, 2 s back-off) before surfacing a startup-failure error to the user</w:t>
            </w:r>
          </w:p>
        </w:tc>
      </w:tr>
      <w:tr>
        <w:tc>
          <w:tcPr>
            <w:tcW w:type="dxa" w:w="2880"/>
            <w:shd w:fill="FFFFFF" w:val="clear"/>
          </w:tcPr>
          <w:p>
            <w:r>
              <w:rPr>
                <w:sz w:val="20"/>
                <w:szCs w:val="20"/>
              </w:rPr>
              <w:t xml:space="preserve">Normal operation</w:t>
            </w:r>
          </w:p>
        </w:tc>
        <w:tc>
          <w:tcPr>
            <w:tcW w:type="dxa" w:w="2880"/>
            <w:shd w:fill="FFFFFF" w:val="clear"/>
          </w:tcPr>
          <w:p>
            <w:r>
              <w:rPr>
                <w:sz w:val="20"/>
                <w:szCs w:val="20"/>
              </w:rPr>
              <w:t xml:space="preserve">Audio and screen frames streamed continuously; agent responds as queries arrive</w:t>
            </w:r>
          </w:p>
        </w:tc>
        <w:tc>
          <w:tcPr>
            <w:tcW w:type="dxa" w:w="2880"/>
            <w:shd w:fill="FFFFFF" w:val="clear"/>
          </w:tcPr>
          <w:p>
            <w:r>
              <w:rPr>
                <w:sz w:val="20"/>
                <w:szCs w:val="20"/>
              </w:rPr>
              <w:t xml:space="preserve">Run capture loop and audio I/O in separate asyncio tasks so neither blocks the other</w:t>
            </w:r>
          </w:p>
        </w:tc>
      </w:tr>
      <w:tr>
        <w:tc>
          <w:tcPr>
            <w:tcW w:type="dxa" w:w="2880"/>
            <w:shd w:fill="F5F8FF" w:val="clear"/>
          </w:tcPr>
          <w:p>
            <w:r>
              <w:rPr>
                <w:sz w:val="20"/>
                <w:szCs w:val="20"/>
              </w:rPr>
              <w:t xml:space="preserve">Idle / silence</w:t>
            </w:r>
          </w:p>
        </w:tc>
        <w:tc>
          <w:tcPr>
            <w:tcW w:type="dxa" w:w="2880"/>
            <w:shd w:fill="F5F8FF" w:val="clear"/>
          </w:tcPr>
          <w:p>
            <w:r>
              <w:rPr>
                <w:sz w:val="20"/>
                <w:szCs w:val="20"/>
              </w:rPr>
              <w:t xml:space="preserve">Connection stays open; VAD suppresses sending empty audio frames</w:t>
            </w:r>
          </w:p>
        </w:tc>
        <w:tc>
          <w:tcPr>
            <w:tcW w:type="dxa" w:w="2880"/>
            <w:shd w:fill="F5F8FF" w:val="clear"/>
          </w:tcPr>
          <w:p>
            <w:r>
              <w:rPr>
                <w:sz w:val="20"/>
                <w:szCs w:val="20"/>
              </w:rPr>
              <w:t xml:space="preserve">Send a keepalive ping every 30 s if the Gemini SDK does not do this automatically — check SDK docs</w:t>
            </w:r>
          </w:p>
        </w:tc>
      </w:tr>
      <w:tr>
        <w:tc>
          <w:tcPr>
            <w:tcW w:type="dxa" w:w="2880"/>
            <w:shd w:fill="FFFFFF" w:val="clear"/>
          </w:tcPr>
          <w:p>
            <w:r>
              <w:rPr>
                <w:sz w:val="20"/>
                <w:szCs w:val="20"/>
              </w:rPr>
              <w:t xml:space="preserve">Rate-limit hit (429)</w:t>
            </w:r>
          </w:p>
        </w:tc>
        <w:tc>
          <w:tcPr>
            <w:tcW w:type="dxa" w:w="2880"/>
            <w:shd w:fill="FFFFFF" w:val="clear"/>
          </w:tcPr>
          <w:p>
            <w:r>
              <w:rPr>
                <w:sz w:val="20"/>
                <w:szCs w:val="20"/>
              </w:rPr>
              <w:t xml:space="preserve">Agent speaks "I've hit a usage limit — please try again in a moment" and pauses for the retry-after period</w:t>
            </w:r>
          </w:p>
        </w:tc>
        <w:tc>
          <w:tcPr>
            <w:tcW w:type="dxa" w:w="2880"/>
            <w:shd w:fill="FFFFFF" w:val="clear"/>
          </w:tcPr>
          <w:p>
            <w:r>
              <w:rPr>
                <w:sz w:val="20"/>
                <w:szCs w:val="20"/>
              </w:rPr>
              <w:t xml:space="preserve">Exponential back-off; surface to user verbally, not as a crash</w:t>
            </w:r>
          </w:p>
        </w:tc>
      </w:tr>
      <w:tr>
        <w:tc>
          <w:tcPr>
            <w:tcW w:type="dxa" w:w="2880"/>
            <w:shd w:fill="F5F8FF" w:val="clear"/>
          </w:tcPr>
          <w:p>
            <w:r>
              <w:rPr>
                <w:sz w:val="20"/>
                <w:szCs w:val="20"/>
              </w:rPr>
              <w:t xml:space="preserve">Session timeout (Gemini-side)</w:t>
            </w:r>
          </w:p>
        </w:tc>
        <w:tc>
          <w:tcPr>
            <w:tcW w:type="dxa" w:w="2880"/>
            <w:shd w:fill="F5F8FF" w:val="clear"/>
          </w:tcPr>
          <w:p>
            <w:r>
              <w:rPr>
                <w:sz w:val="20"/>
                <w:szCs w:val="20"/>
              </w:rPr>
              <w:t xml:space="preserve">Gemini may impose a maximum session duration (confirm current limit in SDK/API docs)</w:t>
            </w:r>
          </w:p>
        </w:tc>
        <w:tc>
          <w:tcPr>
            <w:tcW w:type="dxa" w:w="2880"/>
            <w:shd w:fill="F5F8FF" w:val="clear"/>
          </w:tcPr>
          <w:p>
            <w:r>
              <w:rPr>
                <w:sz w:val="20"/>
                <w:szCs w:val="20"/>
              </w:rPr>
              <w:t xml:space="preserve">Detect the close event, re-establish the WebSocket transparently, re-send the system prompt, resume — the user should not need to restart the script</w:t>
            </w:r>
          </w:p>
        </w:tc>
      </w:tr>
      <w:tr>
        <w:tc>
          <w:tcPr>
            <w:tcW w:type="dxa" w:w="2880"/>
            <w:shd w:fill="FFFFFF" w:val="clear"/>
          </w:tcPr>
          <w:p>
            <w:r>
              <w:rPr>
                <w:sz w:val="20"/>
                <w:szCs w:val="20"/>
              </w:rPr>
              <w:t xml:space="preserve">Unrecoverable connection drop</w:t>
            </w:r>
          </w:p>
        </w:tc>
        <w:tc>
          <w:tcPr>
            <w:tcW w:type="dxa" w:w="2880"/>
            <w:shd w:fill="FFFFFF" w:val="clear"/>
          </w:tcPr>
          <w:p>
            <w:r>
              <w:rPr>
                <w:sz w:val="20"/>
                <w:szCs w:val="20"/>
              </w:rPr>
              <w:t xml:space="preserve">Three failed reconnection attempts → agent speaks an error and exits cleanly</w:t>
            </w:r>
          </w:p>
        </w:tc>
        <w:tc>
          <w:tcPr>
            <w:tcW w:type="dxa" w:w="2880"/>
            <w:shd w:fill="FFFFFF" w:val="clear"/>
          </w:tcPr>
          <w:p>
            <w:r>
              <w:rPr>
                <w:sz w:val="20"/>
                <w:szCs w:val="20"/>
              </w:rPr>
              <w:t xml:space="preserve">Log the error and timestamp locally for debugging; avoid silent hangs</w:t>
            </w:r>
          </w:p>
        </w:tc>
      </w:tr>
    </w:tbl>
    <w:p>
      <w:pPr>
        <w:spacing w:after="80" w:before="80"/>
      </w:pPr>
      <w:r>
        <w:rPr>
          <w:sz w:val="22"/>
          <w:szCs w:val="22"/>
        </w:rPr>
        <w:t xml:space="preserve"/>
      </w:r>
    </w:p>
    <w:p>
      <w:pPr>
        <w:pStyle w:val="Heading2"/>
        <w:spacing w:after="100" w:before="300"/>
      </w:pPr>
      <w:r>
        <w:t xml:space="preserve">7.2  Screen Capture Trigger Strategy</w:t>
      </w:r>
    </w:p>
    <w:p>
      <w:pPr>
        <w:spacing w:after="80" w:before="80"/>
      </w:pPr>
      <w:r>
        <w:rPr>
          <w:sz w:val="22"/>
          <w:szCs w:val="22"/>
        </w:rPr>
        <w:t xml:space="preserve">The PRD does not yet specify when frames are captured. Two strategies are viable; choose one before implementation:</w:t>
      </w:r>
    </w:p>
    <w:p>
      <w:pPr>
        <w:spacing w:after="80" w:before="80"/>
      </w:pPr>
      <w:r>
        <w:rPr>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shd w:fill="1F3864" w:val="clear"/>
          </w:tcPr>
          <w:p>
            <w:r>
              <w:rPr>
                <w:b/>
                <w:bCs/>
                <w:color w:val="FFFFFF"/>
                <w:sz w:val="20"/>
                <w:szCs w:val="20"/>
              </w:rPr>
              <w:t xml:space="preserve">Strategy</w:t>
            </w:r>
          </w:p>
        </w:tc>
        <w:tc>
          <w:tcPr>
            <w:tcW w:type="dxa" w:w="2880"/>
            <w:shd w:fill="1F3864" w:val="clear"/>
          </w:tcPr>
          <w:p>
            <w:r>
              <w:rPr>
                <w:b/>
                <w:bCs/>
                <w:color w:val="FFFFFF"/>
                <w:sz w:val="20"/>
                <w:szCs w:val="20"/>
              </w:rPr>
              <w:t xml:space="preserve">How it works</w:t>
            </w:r>
          </w:p>
        </w:tc>
        <w:tc>
          <w:tcPr>
            <w:tcW w:type="dxa" w:w="2880"/>
            <w:shd w:fill="1F3864" w:val="clear"/>
          </w:tcPr>
          <w:p>
            <w:r>
              <w:rPr>
                <w:b/>
                <w:bCs/>
                <w:color w:val="FFFFFF"/>
                <w:sz w:val="20"/>
                <w:szCs w:val="20"/>
              </w:rPr>
              <w:t xml:space="preserve">Trade-offs</w:t>
            </w:r>
          </w:p>
        </w:tc>
      </w:tr>
      <w:tr>
        <w:tc>
          <w:tcPr>
            <w:tcW w:type="dxa" w:w="2880"/>
            <w:shd w:fill="F5F8FF" w:val="clear"/>
          </w:tcPr>
          <w:p>
            <w:r>
              <w:rPr>
                <w:sz w:val="20"/>
                <w:szCs w:val="20"/>
              </w:rPr>
              <w:t xml:space="preserve">On-demand (recommended for v1)</w:t>
            </w:r>
          </w:p>
        </w:tc>
        <w:tc>
          <w:tcPr>
            <w:tcW w:type="dxa" w:w="2880"/>
            <w:shd w:fill="F5F8FF" w:val="clear"/>
          </w:tcPr>
          <w:p>
            <w:r>
              <w:rPr>
                <w:sz w:val="20"/>
                <w:szCs w:val="20"/>
              </w:rPr>
              <w:t xml:space="preserve">A frame is captured only when the model signals it needs visual context (e.g. "what instrument is on screen?"), triggered by a tool call or a model-emitted flag</w:t>
            </w:r>
          </w:p>
        </w:tc>
        <w:tc>
          <w:tcPr>
            <w:tcW w:type="dxa" w:w="2880"/>
            <w:shd w:fill="F5F8FF" w:val="clear"/>
          </w:tcPr>
          <w:p>
            <w:r>
              <w:rPr>
                <w:sz w:val="20"/>
                <w:szCs w:val="20"/>
              </w:rPr>
              <w:t xml:space="preserve">Lower CPU and bandwidth; slightly higher latency on the first screen-dependent query of a session</w:t>
            </w:r>
          </w:p>
        </w:tc>
      </w:tr>
      <w:tr>
        <w:tc>
          <w:tcPr>
            <w:tcW w:type="dxa" w:w="2880"/>
            <w:shd w:fill="FFFFFF" w:val="clear"/>
          </w:tcPr>
          <w:p>
            <w:r>
              <w:rPr>
                <w:sz w:val="20"/>
                <w:szCs w:val="20"/>
              </w:rPr>
              <w:t xml:space="preserve">Periodic polling</w:t>
            </w:r>
          </w:p>
        </w:tc>
        <w:tc>
          <w:tcPr>
            <w:tcW w:type="dxa" w:w="2880"/>
            <w:shd w:fill="FFFFFF" w:val="clear"/>
          </w:tcPr>
          <w:p>
            <w:r>
              <w:rPr>
                <w:sz w:val="20"/>
                <w:szCs w:val="20"/>
              </w:rPr>
              <w:t xml:space="preserve">Capture a frame every N seconds (e.g. every 3–5 s) and attach the latest frame to each model turn</w:t>
            </w:r>
          </w:p>
        </w:tc>
        <w:tc>
          <w:tcPr>
            <w:tcW w:type="dxa" w:w="2880"/>
            <w:shd w:fill="FFFFFF" w:val="clear"/>
          </w:tcPr>
          <w:p>
            <w:r>
              <w:rPr>
                <w:sz w:val="20"/>
                <w:szCs w:val="20"/>
              </w:rPr>
              <w:t xml:space="preserve">Simpler to implement; wastes bandwidth when the Kite window is static; N needs tuning</w:t>
            </w:r>
          </w:p>
        </w:tc>
      </w:tr>
    </w:tbl>
    <w:p>
      <w:pPr>
        <w:spacing w:after="80" w:before="80"/>
      </w:pPr>
      <w:r>
        <w:rPr>
          <w:b/>
          <w:bCs/>
          <w:sz w:val="22"/>
          <w:szCs w:val="22"/>
        </w:rPr>
        <w:t xml:space="preserve">Recommended default: </w:t>
      </w:r>
      <w:r>
        <w:rPr>
          <w:sz w:val="22"/>
          <w:szCs w:val="22"/>
        </w:rPr>
        <w:t xml:space="preserve">on-demand capture, with a 5-second maximum staleness cap — if more than 5 seconds have elapsed since the last capture when the model needs visual context, capture a fresh frame regardless.</w:t>
      </w:r>
    </w:p>
    <w:p>
      <w:pPr>
        <w:spacing w:after="80" w:before="80"/>
      </w:pPr>
      <w:r>
        <w:rPr>
          <w:sz w:val="22"/>
          <w:szCs w:val="22"/>
        </w:rPr>
        <w:t xml:space="preserve"/>
      </w:r>
    </w:p>
    <w:p>
      <w:pPr>
        <w:pStyle w:val="Heading2"/>
        <w:spacing w:after="100" w:before="300"/>
      </w:pPr>
      <w:r>
        <w:t xml:space="preserve">7.3  MCP Tool Inventory</w:t>
      </w:r>
    </w:p>
    <w:p>
      <w:pPr>
        <w:spacing w:after="80" w:before="80"/>
      </w:pPr>
      <w:r>
        <w:rPr>
          <w:sz w:val="22"/>
          <w:szCs w:val="22"/>
        </w:rPr>
        <w:t xml:space="preserve">The following tools constitute the complete read-only MCP server. No other tools should be added without a deliberate review to confirm they remain read-only.</w:t>
      </w:r>
    </w:p>
    <w:p>
      <w:pPr>
        <w:spacing w:after="80" w:before="80"/>
      </w:pPr>
      <w:r>
        <w:rPr>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tblHeader/>
        </w:trPr>
        <w:tc>
          <w:tcPr>
            <w:tcW w:type="dxa" w:w="2160"/>
            <w:shd w:fill="1F3864" w:val="clear"/>
          </w:tcPr>
          <w:p>
            <w:r>
              <w:rPr>
                <w:b/>
                <w:bCs/>
                <w:color w:val="FFFFFF"/>
                <w:sz w:val="20"/>
                <w:szCs w:val="20"/>
              </w:rPr>
              <w:t xml:space="preserve">Tool Name</w:t>
            </w:r>
          </w:p>
        </w:tc>
        <w:tc>
          <w:tcPr>
            <w:tcW w:type="dxa" w:w="2160"/>
            <w:shd w:fill="1F3864" w:val="clear"/>
          </w:tcPr>
          <w:p>
            <w:r>
              <w:rPr>
                <w:b/>
                <w:bCs/>
                <w:color w:val="FFFFFF"/>
                <w:sz w:val="20"/>
                <w:szCs w:val="20"/>
              </w:rPr>
              <w:t xml:space="preserve">Endpoint / Source</w:t>
            </w:r>
          </w:p>
        </w:tc>
        <w:tc>
          <w:tcPr>
            <w:tcW w:type="dxa" w:w="2160"/>
            <w:shd w:fill="1F3864" w:val="clear"/>
          </w:tcPr>
          <w:p>
            <w:r>
              <w:rPr>
                <w:b/>
                <w:bCs/>
                <w:color w:val="FFFFFF"/>
                <w:sz w:val="20"/>
                <w:szCs w:val="20"/>
              </w:rPr>
              <w:t xml:space="preserve">Returns</w:t>
            </w:r>
          </w:p>
        </w:tc>
        <w:tc>
          <w:tcPr>
            <w:tcW w:type="dxa" w:w="2160"/>
            <w:shd w:fill="1F3864" w:val="clear"/>
          </w:tcPr>
          <w:p>
            <w:r>
              <w:rPr>
                <w:b/>
                <w:bCs/>
                <w:color w:val="FFFFFF"/>
                <w:sz w:val="20"/>
                <w:szCs w:val="20"/>
              </w:rPr>
              <w:t xml:space="preserve">Error behaviour</w:t>
            </w:r>
          </w:p>
        </w:tc>
      </w:tr>
      <w:tr>
        <w:tc>
          <w:tcPr>
            <w:tcW w:type="dxa" w:w="2160"/>
            <w:shd w:fill="F5F8FF" w:val="clear"/>
          </w:tcPr>
          <w:p>
            <w:r>
              <w:rPr>
                <w:sz w:val="20"/>
                <w:szCs w:val="20"/>
              </w:rPr>
              <w:t xml:space="default"/>
            </w:r>
          </w:p>
        </w:tc>
        <w:tc>
          <w:tcPr>
            <w:tcW w:type="dxa" w:w="2160"/>
            <w:shd w:fill="F5F8FF" w:val="clear"/>
          </w:tcPr>
          <w:p>
            <w:r>
              <w:rPr>
                <w:sz w:val="20"/>
                <w:szCs w:val="20"/>
              </w:rPr>
              <w:t xml:space="default"/>
            </w:r>
          </w:p>
        </w:tc>
        <w:tc>
          <w:tcPr>
            <w:tcW w:type="dxa" w:w="2160"/>
            <w:shd w:fill="F5F8FF" w:val="clear"/>
          </w:tcPr>
          <w:p>
            <w:r>
              <w:rPr>
                <w:sz w:val="20"/>
                <w:szCs w:val="20"/>
              </w:rPr>
              <w:t xml:space="default"/>
            </w:r>
          </w:p>
        </w:tc>
        <w:tc>
          <w:tcPr>
            <w:tcW w:type="dxa" w:w="2160"/>
            <w:shd w:fill="F5F8FF" w:val="clear"/>
          </w:tcPr>
          <w:p>
            <w:r>
              <w:rPr>
                <w:sz w:val="20"/>
                <w:szCs w:val="20"/>
              </w:rPr>
              <w:t xml:space="default"/>
            </w:r>
          </w:p>
        </w:tc>
      </w:tr>
      <w:tr>
        <w:tc>
          <w:tcPr>
            <w:tcW w:type="dxa" w:w="2160"/>
            <w:shd w:fill="FFFFFF" w:val="clear"/>
          </w:tcPr>
          <w:p>
            <w:r>
              <w:rPr>
                <w:sz w:val="20"/>
                <w:szCs w:val="20"/>
              </w:rPr>
              <w:t xml:space="default"/>
            </w:r>
          </w:p>
        </w:tc>
        <w:tc>
          <w:tcPr>
            <w:tcW w:type="dxa" w:w="2160"/>
            <w:shd w:fill="FFFFFF" w:val="clear"/>
          </w:tcPr>
          <w:p>
            <w:r>
              <w:rPr>
                <w:sz w:val="20"/>
                <w:szCs w:val="20"/>
              </w:rPr>
              <w:t xml:space="default"/>
            </w:r>
          </w:p>
        </w:tc>
        <w:tc>
          <w:tcPr>
            <w:tcW w:type="dxa" w:w="2160"/>
            <w:shd w:fill="FFFFFF" w:val="clear"/>
          </w:tcPr>
          <w:p>
            <w:r>
              <w:rPr>
                <w:sz w:val="20"/>
                <w:szCs w:val="20"/>
              </w:rPr>
              <w:t xml:space="default"/>
            </w:r>
          </w:p>
        </w:tc>
        <w:tc>
          <w:tcPr>
            <w:tcW w:type="dxa" w:w="2160"/>
            <w:shd w:fill="FFFFFF" w:val="clear"/>
          </w:tcPr>
          <w:p>
            <w:r>
              <w:rPr>
                <w:sz w:val="20"/>
                <w:szCs w:val="20"/>
              </w:rPr>
              <w:t xml:space="default"/>
            </w:r>
          </w:p>
        </w:tc>
      </w:tr>
      <w:tr>
        <w:tc>
          <w:tcPr>
            <w:tcW w:type="dxa" w:w="2160"/>
            <w:shd w:fill="F5F8FF" w:val="clear"/>
          </w:tcPr>
          <w:p>
            <w:r>
              <w:rPr>
                <w:sz w:val="20"/>
                <w:szCs w:val="20"/>
              </w:rPr>
              <w:t xml:space="default"/>
            </w:r>
          </w:p>
        </w:tc>
        <w:tc>
          <w:tcPr>
            <w:tcW w:type="dxa" w:w="2160"/>
            <w:shd w:fill="F5F8FF" w:val="clear"/>
          </w:tcPr>
          <w:p>
            <w:r>
              <w:rPr>
                <w:sz w:val="20"/>
                <w:szCs w:val="20"/>
              </w:rPr>
              <w:t xml:space="default"/>
            </w:r>
          </w:p>
        </w:tc>
        <w:tc>
          <w:tcPr>
            <w:tcW w:type="dxa" w:w="2160"/>
            <w:shd w:fill="F5F8FF" w:val="clear"/>
          </w:tcPr>
          <w:p>
            <w:r>
              <w:rPr>
                <w:sz w:val="20"/>
                <w:szCs w:val="20"/>
              </w:rPr>
              <w:t xml:space="default"/>
            </w:r>
          </w:p>
        </w:tc>
        <w:tc>
          <w:tcPr>
            <w:tcW w:type="dxa" w:w="2160"/>
            <w:shd w:fill="F5F8FF" w:val="clear"/>
          </w:tcPr>
          <w:p>
            <w:r>
              <w:rPr>
                <w:sz w:val="20"/>
                <w:szCs w:val="20"/>
              </w:rPr>
              <w:t xml:space="default"/>
            </w:r>
          </w:p>
        </w:tc>
      </w:tr>
      <w:tr>
        <w:tc>
          <w:tcPr>
            <w:tcW w:type="dxa" w:w="2160"/>
            <w:shd w:fill="FFFFFF" w:val="clear"/>
          </w:tcPr>
          <w:p>
            <w:r>
              <w:rPr>
                <w:sz w:val="20"/>
                <w:szCs w:val="20"/>
              </w:rPr>
              <w:t xml:space="default"/>
            </w:r>
          </w:p>
        </w:tc>
        <w:tc>
          <w:tcPr>
            <w:tcW w:type="dxa" w:w="2160"/>
            <w:shd w:fill="FFFFFF" w:val="clear"/>
          </w:tcPr>
          <w:p>
            <w:r>
              <w:rPr>
                <w:sz w:val="20"/>
                <w:szCs w:val="20"/>
              </w:rPr>
              <w:t xml:space="default"/>
            </w:r>
          </w:p>
        </w:tc>
        <w:tc>
          <w:tcPr>
            <w:tcW w:type="dxa" w:w="2160"/>
            <w:shd w:fill="FFFFFF" w:val="clear"/>
          </w:tcPr>
          <w:p>
            <w:r>
              <w:rPr>
                <w:sz w:val="20"/>
                <w:szCs w:val="20"/>
              </w:rPr>
              <w:t xml:space="default"/>
            </w:r>
          </w:p>
        </w:tc>
        <w:tc>
          <w:tcPr>
            <w:tcW w:type="dxa" w:w="2160"/>
            <w:shd w:fill="FFFFFF" w:val="clear"/>
          </w:tcPr>
          <w:p>
            <w:r>
              <w:rPr>
                <w:sz w:val="20"/>
                <w:szCs w:val="20"/>
              </w:rPr>
              <w:t xml:space="default"/>
            </w:r>
          </w:p>
        </w:tc>
      </w:tr>
      <w:tr>
        <w:tc>
          <w:tcPr>
            <w:tcW w:type="dxa" w:w="2160"/>
            <w:shd w:fill="F5F8FF" w:val="clear"/>
          </w:tcPr>
          <w:p>
            <w:r>
              <w:rPr>
                <w:sz w:val="20"/>
                <w:szCs w:val="20"/>
              </w:rPr>
              <w:t xml:space="default"/>
            </w:r>
          </w:p>
        </w:tc>
        <w:tc>
          <w:tcPr>
            <w:tcW w:type="dxa" w:w="2160"/>
            <w:shd w:fill="F5F8FF" w:val="clear"/>
          </w:tcPr>
          <w:p>
            <w:r>
              <w:rPr>
                <w:sz w:val="20"/>
                <w:szCs w:val="20"/>
              </w:rPr>
              <w:t xml:space="default"/>
            </w:r>
          </w:p>
        </w:tc>
        <w:tc>
          <w:tcPr>
            <w:tcW w:type="dxa" w:w="2160"/>
            <w:shd w:fill="F5F8FF" w:val="clear"/>
          </w:tcPr>
          <w:p>
            <w:r>
              <w:rPr>
                <w:sz w:val="20"/>
                <w:szCs w:val="20"/>
              </w:rPr>
              <w:t xml:space="default"/>
            </w:r>
          </w:p>
        </w:tc>
        <w:tc>
          <w:tcPr>
            <w:tcW w:type="dxa" w:w="2160"/>
            <w:shd w:fill="F5F8FF" w:val="clear"/>
          </w:tcPr>
          <w:p>
            <w:r>
              <w:rPr>
                <w:sz w:val="20"/>
                <w:szCs w:val="20"/>
              </w:rPr>
              <w:t xml:space="default"/>
            </w:r>
          </w:p>
        </w:tc>
      </w:tr>
    </w:tbl>
    <w:p>
      <w:pPr>
        <w:spacing w:after="80" w:before="80"/>
      </w:pPr>
      <w:r>
        <w:rPr>
          <w:sz w:val="22"/>
          <w:szCs w:val="22"/>
        </w:rPr>
        <w:t xml:space="preserve"/>
      </w:r>
    </w:p>
    <w:p>
      <w:pPr>
        <w:pBdr>
          <w:left w:val="single" w:color="AAAAAA" w:sz="6" w:space="8"/>
        </w:pBdr>
        <w:spacing w:after="80" w:before="80"/>
        <w:ind w:left="360"/>
      </w:pPr>
      <w:r>
        <w:rPr>
          <w:i/>
          <w:iCs/>
          <w:color w:val="555555"/>
          <w:sz w:val="22"/>
          <w:szCs w:val="22"/>
        </w:rPr>
        <w:t xml:space="preserve">Enforcement: at code-review time, confirm each tool's implementation calls only the listed endpoint and uses only GET/read methods. No tool should accept a parameter that could be used to construct a write-style request.</w:t>
      </w:r>
    </w:p>
    <w:p>
      <w:pPr>
        <w:spacing w:after="80" w:before="80"/>
      </w:pPr>
      <w:r>
        <w:rPr>
          <w:sz w:val="22"/>
          <w:szCs w:val="22"/>
        </w:rPr>
        <w:t xml:space="preserve"/>
      </w:r>
    </w:p>
    <w:p>
      <w:pPr>
        <w:pStyle w:val="Heading2"/>
        <w:spacing w:after="100" w:before="300"/>
      </w:pPr>
      <w:r>
        <w:t xml:space="preserve">7.4  Kite Connect Failure Modes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shd w:fill="1F3864" w:val="clear"/>
          </w:tcPr>
          <w:p>
            <w:r>
              <w:rPr>
                <w:b/>
                <w:bCs/>
                <w:color w:val="FFFFFF"/>
                <w:sz w:val="20"/>
                <w:szCs w:val="20"/>
              </w:rPr>
              <w:t xml:space="preserve">Failure</w:t>
            </w:r>
          </w:p>
        </w:tc>
        <w:tc>
          <w:tcPr>
            <w:tcW w:type="dxa" w:w="2880"/>
            <w:shd w:fill="1F3864" w:val="clear"/>
          </w:tcPr>
          <w:p>
            <w:r>
              <w:rPr>
                <w:b/>
                <w:bCs/>
                <w:color w:val="FFFFFF"/>
                <w:sz w:val="20"/>
                <w:szCs w:val="20"/>
              </w:rPr>
              <w:t xml:space="preserve">Likely cause</w:t>
            </w:r>
          </w:p>
        </w:tc>
        <w:tc>
          <w:tcPr>
            <w:tcW w:type="dxa" w:w="2880"/>
            <w:shd w:fill="1F3864" w:val="clear"/>
          </w:tcPr>
          <w:p>
            <w:r>
              <w:rPr>
                <w:b/>
                <w:bCs/>
                <w:color w:val="FFFFFF"/>
                <w:sz w:val="20"/>
                <w:szCs w:val="20"/>
              </w:rPr>
              <w:t xml:space="preserve">Agent behaviour</w:t>
            </w:r>
          </w:p>
        </w:tc>
      </w:tr>
      <w:tr>
        <w:tc>
          <w:tcPr>
            <w:tcW w:type="dxa" w:w="2880"/>
            <w:shd w:fill="F5F8FF" w:val="clear"/>
          </w:tcPr>
          <w:p>
            <w:r>
              <w:rPr>
                <w:sz w:val="20"/>
                <w:szCs w:val="20"/>
              </w:rPr>
              <w:t xml:space="preserve">401 Unauthorized</w:t>
            </w:r>
          </w:p>
        </w:tc>
        <w:tc>
          <w:tcPr>
            <w:tcW w:type="dxa" w:w="2880"/>
            <w:shd w:fill="F5F8FF" w:val="clear"/>
          </w:tcPr>
          <w:p>
            <w:r>
              <w:rPr>
                <w:sz w:val="20"/>
                <w:szCs w:val="20"/>
              </w:rPr>
              <w:t xml:space="preserve">Session token expired (Kite tokens expire daily at 6:00 AM IST)</w:t>
            </w:r>
          </w:p>
        </w:tc>
        <w:tc>
          <w:tcPr>
            <w:tcW w:type="dxa" w:w="2880"/>
            <w:shd w:fill="F5F8FF" w:val="clear"/>
          </w:tcPr>
          <w:p>
            <w:r>
              <w:rPr>
                <w:sz w:val="20"/>
                <w:szCs w:val="20"/>
              </w:rPr>
              <w:t xml:space="preserve">Speak "Your Kite session has expired — please log in again and restart the script." Exit cleanly.</w:t>
            </w:r>
          </w:p>
        </w:tc>
      </w:tr>
      <w:tr>
        <w:tc>
          <w:tcPr>
            <w:tcW w:type="dxa" w:w="2880"/>
            <w:shd w:fill="FFFFFF" w:val="clear"/>
          </w:tcPr>
          <w:p>
            <w:r>
              <w:rPr>
                <w:sz w:val="20"/>
                <w:szCs w:val="20"/>
              </w:rPr>
              <w:t xml:space="preserve">429 / quota exceeded</w:t>
            </w:r>
          </w:p>
        </w:tc>
        <w:tc>
          <w:tcPr>
            <w:tcW w:type="dxa" w:w="2880"/>
            <w:shd w:fill="FFFFFF" w:val="clear"/>
          </w:tcPr>
          <w:p>
            <w:r>
              <w:rPr>
                <w:sz w:val="20"/>
                <w:szCs w:val="20"/>
              </w:rPr>
              <w:t xml:space="preserve">Too many API calls in a short period</w:t>
            </w:r>
          </w:p>
        </w:tc>
        <w:tc>
          <w:tcPr>
            <w:tcW w:type="dxa" w:w="2880"/>
            <w:shd w:fill="FFFFFF" w:val="clear"/>
          </w:tcPr>
          <w:p>
            <w:r>
              <w:rPr>
                <w:sz w:val="20"/>
                <w:szCs w:val="20"/>
              </w:rPr>
              <w:t xml:space="preserve">Back off for the retry-after duration; inform the user verbally.</w:t>
            </w:r>
          </w:p>
        </w:tc>
      </w:tr>
      <w:tr>
        <w:tc>
          <w:tcPr>
            <w:tcW w:type="dxa" w:w="2880"/>
            <w:shd w:fill="F5F8FF" w:val="clear"/>
          </w:tcPr>
          <w:p>
            <w:r>
              <w:rPr>
                <w:sz w:val="20"/>
                <w:szCs w:val="20"/>
              </w:rPr>
              <w:t xml:space="preserve">503 / network timeout</w:t>
            </w:r>
          </w:p>
        </w:tc>
        <w:tc>
          <w:tcPr>
            <w:tcW w:type="dxa" w:w="2880"/>
            <w:shd w:fill="F5F8FF" w:val="clear"/>
          </w:tcPr>
          <w:p>
            <w:r>
              <w:rPr>
                <w:sz w:val="20"/>
                <w:szCs w:val="20"/>
              </w:rPr>
              <w:t xml:space="preserve">Zerodha infrastructure issue or local internet drop</w:t>
            </w:r>
          </w:p>
        </w:tc>
        <w:tc>
          <w:tcPr>
            <w:tcW w:type="dxa" w:w="2880"/>
            <w:shd w:fill="F5F8FF" w:val="clear"/>
          </w:tcPr>
          <w:p>
            <w:r>
              <w:rPr>
                <w:sz w:val="20"/>
                <w:szCs w:val="20"/>
              </w:rPr>
              <w:t xml:space="preserve">Retry up to 3 times with 2 s back-off; report failure verbally if all retries fail.</w:t>
            </w:r>
          </w:p>
        </w:tc>
      </w:tr>
      <w:tr>
        <w:tc>
          <w:tcPr>
            <w:tcW w:type="dxa" w:w="2880"/>
            <w:shd w:fill="FFFFFF" w:val="clear"/>
          </w:tcPr>
          <w:p>
            <w:r>
              <w:rPr>
                <w:sz w:val="20"/>
                <w:szCs w:val="20"/>
              </w:rPr>
              <w:t xml:space="preserve">Empty response / stale data</w:t>
            </w:r>
          </w:p>
        </w:tc>
        <w:tc>
          <w:tcPr>
            <w:tcW w:type="dxa" w:w="2880"/>
            <w:shd w:fill="FFFFFF" w:val="clear"/>
          </w:tcPr>
          <w:p>
            <w:r>
              <w:rPr>
                <w:sz w:val="20"/>
                <w:szCs w:val="20"/>
              </w:rPr>
              <w:t xml:space="preserve">Market closed, instrument suspended, or holiday</w:t>
            </w:r>
          </w:p>
        </w:tc>
        <w:tc>
          <w:tcPr>
            <w:tcW w:type="dxa" w:w="2880"/>
            <w:shd w:fill="FFFFFF" w:val="clear"/>
          </w:tcPr>
          <w:p>
            <w:r>
              <w:rPr>
                <w:sz w:val="20"/>
                <w:szCs w:val="20"/>
              </w:rPr>
              <w:t xml:space="preserve">Agent should state the data is unavailable and, if market hours are relevant, mention that markets may be closed.</w:t>
            </w:r>
          </w:p>
        </w:tc>
      </w:tr>
    </w:tbl>
    <w:p>
      <w:pPr>
        <w:pStyle w:val="Heading1"/>
        <w:spacing w:after="120" w:before="400"/>
      </w:pPr>
      <w:r>
        <w:t xml:space="preserve">8. Voice &amp; Audio Design  ✦ NEW</w:t>
      </w:r>
    </w:p>
    <w:p>
      <w:pPr>
        <w:pStyle w:val="Heading2"/>
        <w:spacing w:after="100" w:before="300"/>
      </w:pPr>
      <w:r>
        <w:t xml:space="preserve">8.1  Input Trigger Model (Push-to-Talk vs. Always-On)</w:t>
      </w:r>
    </w:p>
    <w:p>
      <w:pPr>
        <w:spacing w:after="80" w:before="80"/>
      </w:pPr>
      <w:r>
        <w:rPr>
          <w:sz w:val="22"/>
          <w:szCs w:val="22"/>
        </w:rPr>
        <w:t xml:space="preserve">The PRD previously left the input trigger undefined. Two approaches are viable:</w:t>
      </w:r>
    </w:p>
    <w:p>
      <w:pPr>
        <w:spacing w:after="80" w:before="80"/>
      </w:pPr>
      <w:r>
        <w:rPr>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tblHeader/>
        </w:trPr>
        <w:tc>
          <w:tcPr>
            <w:tcW w:type="dxa" w:w="2160"/>
            <w:shd w:fill="1F3864" w:val="clear"/>
          </w:tcPr>
          <w:p>
            <w:r>
              <w:rPr>
                <w:b/>
                <w:bCs/>
                <w:color w:val="FFFFFF"/>
                <w:sz w:val="20"/>
                <w:szCs w:val="20"/>
              </w:rPr>
              <w:t xml:space="preserve">Model</w:t>
            </w:r>
          </w:p>
        </w:tc>
        <w:tc>
          <w:tcPr>
            <w:tcW w:type="dxa" w:w="2160"/>
            <w:shd w:fill="1F3864" w:val="clear"/>
          </w:tcPr>
          <w:p>
            <w:r>
              <w:rPr>
                <w:b/>
                <w:bCs/>
                <w:color w:val="FFFFFF"/>
                <w:sz w:val="20"/>
                <w:szCs w:val="20"/>
              </w:rPr>
              <w:t xml:space="preserve">How it works</w:t>
            </w:r>
          </w:p>
        </w:tc>
        <w:tc>
          <w:tcPr>
            <w:tcW w:type="dxa" w:w="2160"/>
            <w:shd w:fill="1F3864" w:val="clear"/>
          </w:tcPr>
          <w:p>
            <w:r>
              <w:rPr>
                <w:b/>
                <w:bCs/>
                <w:color w:val="FFFFFF"/>
                <w:sz w:val="20"/>
                <w:szCs w:val="20"/>
              </w:rPr>
              <w:t xml:space="preserve">Pros</w:t>
            </w:r>
          </w:p>
        </w:tc>
        <w:tc>
          <w:tcPr>
            <w:tcW w:type="dxa" w:w="2160"/>
            <w:shd w:fill="1F3864" w:val="clear"/>
          </w:tcPr>
          <w:p>
            <w:r>
              <w:rPr>
                <w:b/>
                <w:bCs/>
                <w:color w:val="FFFFFF"/>
                <w:sz w:val="20"/>
                <w:szCs w:val="20"/>
              </w:rPr>
              <w:t xml:space="preserve">Cons</w:t>
            </w:r>
          </w:p>
        </w:tc>
      </w:tr>
      <w:tr>
        <w:tc>
          <w:tcPr>
            <w:tcW w:type="dxa" w:w="2160"/>
            <w:shd w:fill="F5F8FF" w:val="clear"/>
          </w:tcPr>
          <w:p>
            <w:r>
              <w:rPr>
                <w:sz w:val="20"/>
                <w:szCs w:val="20"/>
              </w:rPr>
              <w:t xml:space="preserve">Always-on + VAD (recommended)</w:t>
            </w:r>
          </w:p>
        </w:tc>
        <w:tc>
          <w:tcPr>
            <w:tcW w:type="dxa" w:w="2160"/>
            <w:shd w:fill="F5F8FF" w:val="clear"/>
          </w:tcPr>
          <w:p>
            <w:r>
              <w:rPr>
                <w:sz w:val="20"/>
                <w:szCs w:val="20"/>
              </w:rPr>
              <w:t xml:space="preserve">Microphone streams continuously; silero-vad gates what gets forwarded to the Live API</w:t>
            </w:r>
          </w:p>
        </w:tc>
        <w:tc>
          <w:tcPr>
            <w:tcW w:type="dxa" w:w="2160"/>
            <w:shd w:fill="F5F8FF" w:val="clear"/>
          </w:tcPr>
          <w:p>
            <w:r>
              <w:rPr>
                <w:sz w:val="20"/>
                <w:szCs w:val="20"/>
              </w:rPr>
              <w:t xml:space="preserve">Hands-free; most natural for a trading desk where hands are on keyboard/mouse</w:t>
            </w:r>
          </w:p>
        </w:tc>
        <w:tc>
          <w:tcPr>
            <w:tcW w:type="dxa" w:w="2160"/>
            <w:shd w:fill="F5F8FF" w:val="clear"/>
          </w:tcPr>
          <w:p>
            <w:r>
              <w:rPr>
                <w:sz w:val="20"/>
                <w:szCs w:val="20"/>
              </w:rPr>
              <w:t xml:space="preserve">Requires well-tuned VAD thresholds; any loud background speech can trigger a query</w:t>
            </w:r>
          </w:p>
        </w:tc>
      </w:tr>
      <w:tr>
        <w:tc>
          <w:tcPr>
            <w:tcW w:type="dxa" w:w="2160"/>
            <w:shd w:fill="FFFFFF" w:val="clear"/>
          </w:tcPr>
          <w:p>
            <w:r>
              <w:rPr>
                <w:sz w:val="20"/>
                <w:szCs w:val="20"/>
              </w:rPr>
              <w:t xml:space="preserve">Push-to-talk (fallback)</w:t>
            </w:r>
          </w:p>
        </w:tc>
        <w:tc>
          <w:tcPr>
            <w:tcW w:type="dxa" w:w="2160"/>
            <w:shd w:fill="FFFFFF" w:val="clear"/>
          </w:tcPr>
          <w:p>
            <w:r>
              <w:rPr>
                <w:sz w:val="20"/>
                <w:szCs w:val="20"/>
              </w:rPr>
              <w:t xml:space="preserve">User holds a hotkey (e.g. Ctrl+Space) to activate the mic; VAD still used to detect end-of-speech within the PTT window</w:t>
            </w:r>
          </w:p>
        </w:tc>
        <w:tc>
          <w:tcPr>
            <w:tcW w:type="dxa" w:w="2160"/>
            <w:shd w:fill="FFFFFF" w:val="clear"/>
          </w:tcPr>
          <w:p>
            <w:r>
              <w:rPr>
                <w:sz w:val="20"/>
                <w:szCs w:val="20"/>
              </w:rPr>
              <w:t xml:space="preserve">Eliminates false triggers entirely; simpler to reason about</w:t>
            </w:r>
          </w:p>
        </w:tc>
        <w:tc>
          <w:tcPr>
            <w:tcW w:type="dxa" w:w="2160"/>
            <w:shd w:fill="FFFFFF" w:val="clear"/>
          </w:tcPr>
          <w:p>
            <w:r>
              <w:rPr>
                <w:sz w:val="20"/>
                <w:szCs w:val="20"/>
              </w:rPr>
              <w:t xml:space="preserve">Requires a free hand; awkward if the user is typing simultaneously</w:t>
            </w:r>
          </w:p>
        </w:tc>
      </w:tr>
    </w:tbl>
    <w:p>
      <w:pPr>
        <w:spacing w:after="80" w:before="80"/>
      </w:pPr>
      <w:r>
        <w:rPr>
          <w:b/>
          <w:bCs/>
          <w:sz w:val="22"/>
          <w:szCs w:val="22"/>
        </w:rPr>
        <w:t xml:space="preserve">Recommended default: </w:t>
      </w:r>
      <w:r>
        <w:rPr>
          <w:sz w:val="22"/>
          <w:szCs w:val="22"/>
        </w:rPr>
        <w:t xml:space="preserve">always-on VAD. Expose a PTT mode as a startup flag (</w:t>
      </w:r>
      <w:r>
        <w:rPr>
          <w:rFonts w:ascii="Courier New" w:cs="Courier New" w:eastAsia="Courier New" w:hAnsi="Courier New"/>
          <w:color w:val="444444"/>
          <w:sz w:val="20"/>
          <w:szCs w:val="20"/>
        </w:rPr>
        <w:t xml:space="preserve">--ptt</w:t>
      </w:r>
      <w:r>
        <w:rPr>
          <w:sz w:val="22"/>
          <w:szCs w:val="22"/>
        </w:rPr>
        <w:t xml:space="preserve">) for environments with unmanageable background noise.</w:t>
      </w:r>
    </w:p>
    <w:p>
      <w:pPr>
        <w:spacing w:after="80" w:before="80"/>
      </w:pPr>
      <w:r>
        <w:rPr>
          <w:sz w:val="22"/>
          <w:szCs w:val="22"/>
        </w:rPr>
        <w:t xml:space="preserve"/>
      </w:r>
    </w:p>
    <w:p>
      <w:pPr>
        <w:pStyle w:val="Heading2"/>
        <w:spacing w:after="100" w:before="300"/>
      </w:pPr>
      <w:r>
        <w:t xml:space="preserve">8.2  VAD Tuning Parameters</w:t>
      </w:r>
    </w:p>
    <w:p>
      <w:pPr>
        <w:spacing w:after="80" w:before="80"/>
      </w:pPr>
      <w:r>
        <w:rPr>
          <w:sz w:val="22"/>
          <w:szCs w:val="22"/>
        </w:rPr>
        <w:t xml:space="preserve">silero-vad requires explicit configuration. The following parameters must be set and documented in the config file — do not leave them at library defaults without testing:</w:t>
      </w:r>
    </w:p>
    <w:p>
      <w:pPr>
        <w:spacing w:after="80" w:before="80"/>
      </w:pPr>
      <w:r>
        <w:rPr>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tblHeader/>
        </w:trPr>
        <w:tc>
          <w:tcPr>
            <w:tcW w:type="dxa" w:w="2160"/>
            <w:shd w:fill="1F3864" w:val="clear"/>
          </w:tcPr>
          <w:p>
            <w:r>
              <w:rPr>
                <w:b/>
                <w:bCs/>
                <w:color w:val="FFFFFF"/>
                <w:sz w:val="20"/>
                <w:szCs w:val="20"/>
              </w:rPr>
              <w:t xml:space="preserve">Parameter</w:t>
            </w:r>
          </w:p>
        </w:tc>
        <w:tc>
          <w:tcPr>
            <w:tcW w:type="dxa" w:w="2160"/>
            <w:shd w:fill="1F3864" w:val="clear"/>
          </w:tcPr>
          <w:p>
            <w:r>
              <w:rPr>
                <w:b/>
                <w:bCs/>
                <w:color w:val="FFFFFF"/>
                <w:sz w:val="20"/>
                <w:szCs w:val="20"/>
              </w:rPr>
              <w:t xml:space="preserve">Recommended starting value</w:t>
            </w:r>
          </w:p>
        </w:tc>
        <w:tc>
          <w:tcPr>
            <w:tcW w:type="dxa" w:w="2160"/>
            <w:shd w:fill="1F3864" w:val="clear"/>
          </w:tcPr>
          <w:p>
            <w:r>
              <w:rPr>
                <w:b/>
                <w:bCs/>
                <w:color w:val="FFFFFF"/>
                <w:sz w:val="20"/>
                <w:szCs w:val="20"/>
              </w:rPr>
              <w:t xml:space="preserve">What it controls</w:t>
            </w:r>
          </w:p>
        </w:tc>
        <w:tc>
          <w:tcPr>
            <w:tcW w:type="dxa" w:w="2160"/>
            <w:shd w:fill="1F3864" w:val="clear"/>
          </w:tcPr>
          <w:p>
            <w:r>
              <w:rPr>
                <w:b/>
                <w:bCs/>
                <w:color w:val="FFFFFF"/>
                <w:sz w:val="20"/>
                <w:szCs w:val="20"/>
              </w:rPr>
              <w:t xml:space="preserve">Tuning guidance</w:t>
            </w:r>
          </w:p>
        </w:tc>
      </w:tr>
      <w:tr>
        <w:tc>
          <w:tcPr>
            <w:tcW w:type="dxa" w:w="2160"/>
            <w:shd w:fill="F5F8FF" w:val="clear"/>
          </w:tcPr>
          <w:p>
            <w:r>
              <w:rPr>
                <w:sz w:val="20"/>
                <w:szCs w:val="20"/>
              </w:rPr>
              <w:t xml:space="preserve">Speech threshold</w:t>
            </w:r>
          </w:p>
        </w:tc>
        <w:tc>
          <w:tcPr>
            <w:tcW w:type="dxa" w:w="2160"/>
            <w:shd w:fill="F5F8FF" w:val="clear"/>
          </w:tcPr>
          <w:p>
            <w:r>
              <w:rPr>
                <w:sz w:val="20"/>
                <w:szCs w:val="20"/>
              </w:rPr>
              <w:t xml:space="preserve">0.5</w:t>
            </w:r>
          </w:p>
        </w:tc>
        <w:tc>
          <w:tcPr>
            <w:tcW w:type="dxa" w:w="2160"/>
            <w:shd w:fill="F5F8FF" w:val="clear"/>
          </w:tcPr>
          <w:p>
            <w:r>
              <w:rPr>
                <w:sz w:val="20"/>
                <w:szCs w:val="20"/>
              </w:rPr>
              <w:t xml:space="preserve">Probability above which a frame is considered speech</w:t>
            </w:r>
          </w:p>
        </w:tc>
        <w:tc>
          <w:tcPr>
            <w:tcW w:type="dxa" w:w="2160"/>
            <w:shd w:fill="F5F8FF" w:val="clear"/>
          </w:tcPr>
          <w:p>
            <w:r>
              <w:rPr>
                <w:sz w:val="20"/>
                <w:szCs w:val="20"/>
              </w:rPr>
              <w:t xml:space="preserve">Lower (e.g. 0.35) if the agent misses soft speech; raise (e.g. 0.65) if background noise triggers false queries</w:t>
            </w:r>
          </w:p>
        </w:tc>
      </w:tr>
      <w:tr>
        <w:tc>
          <w:tcPr>
            <w:tcW w:type="dxa" w:w="2160"/>
            <w:shd w:fill="FFFFFF" w:val="clear"/>
          </w:tcPr>
          <w:p>
            <w:r>
              <w:rPr>
                <w:sz w:val="20"/>
                <w:szCs w:val="20"/>
              </w:rPr>
              <w:t xml:space="preserve">Silence duration before end-of-speech</w:t>
            </w:r>
          </w:p>
        </w:tc>
        <w:tc>
          <w:tcPr>
            <w:tcW w:type="dxa" w:w="2160"/>
            <w:shd w:fill="FFFFFF" w:val="clear"/>
          </w:tcPr>
          <w:p>
            <w:r>
              <w:rPr>
                <w:sz w:val="20"/>
                <w:szCs w:val="20"/>
              </w:rPr>
              <w:t xml:space="preserve">600 ms</w:t>
            </w:r>
          </w:p>
        </w:tc>
        <w:tc>
          <w:tcPr>
            <w:tcW w:type="dxa" w:w="2160"/>
            <w:shd w:fill="FFFFFF" w:val="clear"/>
          </w:tcPr>
          <w:p>
            <w:r>
              <w:rPr>
                <w:sz w:val="20"/>
                <w:szCs w:val="20"/>
              </w:rPr>
              <w:t xml:space="preserve">How long silence must persist before the agent treats a turn as complete</w:t>
            </w:r>
          </w:p>
        </w:tc>
        <w:tc>
          <w:tcPr>
            <w:tcW w:type="dxa" w:w="2160"/>
            <w:shd w:fill="FFFFFF" w:val="clear"/>
          </w:tcPr>
          <w:p>
            <w:r>
              <w:rPr>
                <w:sz w:val="20"/>
                <w:szCs w:val="20"/>
              </w:rPr>
              <w:t xml:space="preserve">Increase to 800–1000 ms if the agent cuts off mid-sentence; decrease to 400 ms if response feels sluggish after natural pauses</w:t>
            </w:r>
          </w:p>
        </w:tc>
      </w:tr>
      <w:tr>
        <w:tc>
          <w:tcPr>
            <w:tcW w:type="dxa" w:w="2160"/>
            <w:shd w:fill="F5F8FF" w:val="clear"/>
          </w:tcPr>
          <w:p>
            <w:r>
              <w:rPr>
                <w:sz w:val="20"/>
                <w:szCs w:val="20"/>
              </w:rPr>
              <w:t xml:space="preserve">Minimum speech duration</w:t>
            </w:r>
          </w:p>
        </w:tc>
        <w:tc>
          <w:tcPr>
            <w:tcW w:type="dxa" w:w="2160"/>
            <w:shd w:fill="F5F8FF" w:val="clear"/>
          </w:tcPr>
          <w:p>
            <w:r>
              <w:rPr>
                <w:sz w:val="20"/>
                <w:szCs w:val="20"/>
              </w:rPr>
              <w:t xml:space="preserve">200 ms</w:t>
            </w:r>
          </w:p>
        </w:tc>
        <w:tc>
          <w:tcPr>
            <w:tcW w:type="dxa" w:w="2160"/>
            <w:shd w:fill="F5F8FF" w:val="clear"/>
          </w:tcPr>
          <w:p>
            <w:r>
              <w:rPr>
                <w:sz w:val="20"/>
                <w:szCs w:val="20"/>
              </w:rPr>
              <w:t xml:space="preserve">Frames shorter than this are discarded as noise bursts</w:t>
            </w:r>
          </w:p>
        </w:tc>
        <w:tc>
          <w:tcPr>
            <w:tcW w:type="dxa" w:w="2160"/>
            <w:shd w:fill="F5F8FF" w:val="clear"/>
          </w:tcPr>
          <w:p>
            <w:r>
              <w:rPr>
                <w:sz w:val="20"/>
                <w:szCs w:val="20"/>
              </w:rPr>
              <w:t xml:space="preserve">Raise to 300 ms in very noisy environments to reduce spurious triggers</w:t>
            </w:r>
          </w:p>
        </w:tc>
      </w:tr>
      <w:tr>
        <w:tc>
          <w:tcPr>
            <w:tcW w:type="dxa" w:w="2160"/>
            <w:shd w:fill="FFFFFF" w:val="clear"/>
          </w:tcPr>
          <w:p>
            <w:r>
              <w:rPr>
                <w:sz w:val="20"/>
                <w:szCs w:val="20"/>
              </w:rPr>
              <w:t xml:space="preserve">Sample rate</w:t>
            </w:r>
          </w:p>
        </w:tc>
        <w:tc>
          <w:tcPr>
            <w:tcW w:type="dxa" w:w="2160"/>
            <w:shd w:fill="FFFFFF" w:val="clear"/>
          </w:tcPr>
          <w:p>
            <w:r>
              <w:rPr>
                <w:sz w:val="20"/>
                <w:szCs w:val="20"/>
              </w:rPr>
              <w:t xml:space="preserve">16000 Hz</w:t>
            </w:r>
          </w:p>
        </w:tc>
        <w:tc>
          <w:tcPr>
            <w:tcW w:type="dxa" w:w="2160"/>
            <w:shd w:fill="FFFFFF" w:val="clear"/>
          </w:tcPr>
          <w:p>
            <w:r>
              <w:rPr>
                <w:sz w:val="20"/>
                <w:szCs w:val="20"/>
              </w:rPr>
              <w:t xml:space="preserve">Must match PyAudio capture rate</w:t>
            </w:r>
          </w:p>
        </w:tc>
        <w:tc>
          <w:tcPr>
            <w:tcW w:type="dxa" w:w="2160"/>
            <w:shd w:fill="FFFFFF" w:val="clear"/>
          </w:tcPr>
          <w:p>
            <w:r>
              <w:rPr>
                <w:sz w:val="20"/>
                <w:szCs w:val="20"/>
              </w:rPr>
              <w:t xml:space="preserve">silero-vad is trained at 16 kHz; do not use 44.1 kHz without resampling</w:t>
            </w:r>
          </w:p>
        </w:tc>
      </w:tr>
    </w:tbl>
    <w:p>
      <w:pPr>
        <w:spacing w:after="80" w:before="80"/>
      </w:pPr>
      <w:r>
        <w:rPr>
          <w:sz w:val="22"/>
          <w:szCs w:val="22"/>
        </w:rPr>
        <w:t xml:space="preserve"/>
      </w:r>
    </w:p>
    <w:p>
      <w:pPr>
        <w:pBdr>
          <w:left w:val="single" w:color="AAAAAA" w:sz="6" w:space="8"/>
        </w:pBdr>
        <w:spacing w:after="80" w:before="80"/>
        <w:ind w:left="360"/>
      </w:pPr>
      <w:r>
        <w:rPr>
          <w:i/>
          <w:iCs/>
          <w:color w:val="555555"/>
          <w:sz w:val="22"/>
          <w:szCs w:val="22"/>
        </w:rPr>
        <w:t xml:space="preserve">Document the chosen values in a config.yaml or .env file so they can be changed without editing source code. Include a brief comment explaining what each parameter does.</w:t>
      </w:r>
    </w:p>
    <w:p>
      <w:pPr>
        <w:spacing w:after="80" w:before="80"/>
      </w:pPr>
      <w:r>
        <w:rPr>
          <w:sz w:val="22"/>
          <w:szCs w:val="22"/>
        </w:rPr>
        <w:t xml:space="preserve"/>
      </w:r>
    </w:p>
    <w:p>
      <w:pPr>
        <w:pStyle w:val="Heading2"/>
        <w:spacing w:after="100" w:before="300"/>
      </w:pPr>
      <w:r>
        <w:t xml:space="preserve">8.3  Noise Suppression Pipeline</w:t>
      </w:r>
    </w:p>
    <w:p>
      <w:pPr>
        <w:spacing w:after="80" w:before="80"/>
      </w:pPr>
      <w:r>
        <w:rPr>
          <w:sz w:val="22"/>
          <w:szCs w:val="22"/>
        </w:rPr>
        <w:t xml:space="preserve">Noise suppression runs on each audio chunk before VAD and before forwarding to the Live API. The processing order is:</w:t>
      </w:r>
    </w:p>
    <w:p>
      <w:pPr>
        <w:spacing w:after="80" w:before="80"/>
      </w:pPr>
      <w:r>
        <w:rPr>
          <w:sz w:val="22"/>
          <w:szCs w:val="22"/>
        </w:rPr>
        <w:t xml:space="preserve"/>
      </w:r>
    </w:p>
    <w:p>
      <w:pPr>
        <w:pStyle w:val="ListParagraph"/>
        <w:numPr>
          <w:ilvl w:val="0"/>
          <w:numId w:val="2"/>
        </w:numPr>
        <w:spacing w:after="60" w:before="60"/>
      </w:pPr>
      <w:r>
        <w:rPr>
          <w:b/>
          <w:bCs/>
          <w:sz w:val="22"/>
          <w:szCs w:val="22"/>
        </w:rPr>
        <w:t xml:space="preserve">Raw capture: </w:t>
      </w:r>
      <w:r>
        <w:rPr>
          <w:sz w:val="22"/>
          <w:szCs w:val="22"/>
        </w:rPr>
        <w:t xml:space="preserve">PyAudio reads a chunk (recommend 512 or 1024 samples at 16 kHz).</w:t>
      </w:r>
    </w:p>
    <w:p>
      <w:pPr>
        <w:pStyle w:val="ListParagraph"/>
        <w:numPr>
          <w:ilvl w:val="0"/>
          <w:numId w:val="2"/>
        </w:numPr>
        <w:spacing w:after="60" w:before="60"/>
      </w:pPr>
      <w:r>
        <w:rPr>
          <w:b/>
          <w:bCs/>
          <w:sz w:val="22"/>
          <w:szCs w:val="22"/>
        </w:rPr>
        <w:t xml:space="preserve">Noise suppression: </w:t>
      </w:r>
      <w:r>
        <w:rPr>
          <w:rFonts w:ascii="Courier New" w:cs="Courier New" w:eastAsia="Courier New" w:hAnsi="Courier New"/>
          <w:color w:val="444444"/>
          <w:sz w:val="20"/>
          <w:szCs w:val="20"/>
        </w:rPr>
        <w:t xml:space="preserve">noisereduce</w:t>
      </w:r>
      <w:r>
        <w:rPr>
          <w:sz w:val="22"/>
          <w:szCs w:val="22"/>
        </w:rPr>
        <w:t xml:space="preserve"> (stationary mode) or WebRTC NS applied to the chunk. Target overhead: &lt;30 ms per chunk.</w:t>
      </w:r>
    </w:p>
    <w:p>
      <w:pPr>
        <w:pStyle w:val="ListParagraph"/>
        <w:numPr>
          <w:ilvl w:val="0"/>
          <w:numId w:val="2"/>
        </w:numPr>
        <w:spacing w:after="60" w:before="60"/>
      </w:pPr>
      <w:r>
        <w:rPr>
          <w:b/>
          <w:bCs/>
          <w:sz w:val="22"/>
          <w:szCs w:val="22"/>
        </w:rPr>
        <w:t xml:space="preserve">VAD gate: </w:t>
      </w:r>
      <w:r>
        <w:rPr>
          <w:sz w:val="22"/>
          <w:szCs w:val="22"/>
        </w:rPr>
        <w:t xml:space="preserve">silero-vad scores the denoised chunk. If speech probability &lt; threshold, the chunk is dropped; otherwise it is queued for the Live API.</w:t>
      </w:r>
    </w:p>
    <w:p>
      <w:pPr>
        <w:pStyle w:val="ListParagraph"/>
        <w:numPr>
          <w:ilvl w:val="0"/>
          <w:numId w:val="2"/>
        </w:numPr>
        <w:spacing w:after="60" w:before="60"/>
      </w:pPr>
      <w:r>
        <w:rPr>
          <w:b/>
          <w:bCs/>
          <w:sz w:val="22"/>
          <w:szCs w:val="22"/>
        </w:rPr>
        <w:t xml:space="preserve">Live API forwarding: </w:t>
      </w:r>
      <w:r>
        <w:rPr>
          <w:sz w:val="22"/>
          <w:szCs w:val="22"/>
        </w:rPr>
        <w:t xml:space="preserve">Queued speech chunks are sent over the WebSocket as raw PCM (16-bit, 16 kHz, mono), as required by the Live API audio format.</w:t>
      </w:r>
    </w:p>
    <w:p>
      <w:pPr>
        <w:spacing w:after="80" w:before="80"/>
      </w:pPr>
      <w:r>
        <w:rPr>
          <w:sz w:val="22"/>
          <w:szCs w:val="22"/>
        </w:rPr>
        <w:t xml:space="preserve"/>
      </w:r>
    </w:p>
    <w:p>
      <w:pPr>
        <w:pBdr>
          <w:left w:val="single" w:color="AAAAAA" w:sz="6" w:space="8"/>
        </w:pBdr>
        <w:spacing w:after="80" w:before="80"/>
        <w:ind w:left="360"/>
      </w:pPr>
      <w:r>
        <w:rPr>
          <w:i/>
          <w:iCs/>
          <w:color w:val="555555"/>
          <w:sz w:val="22"/>
          <w:szCs w:val="22"/>
        </w:rPr>
        <w:t xml:space="preserve">noisereduce in stationary mode assumes background noise is roughly constant (e.g. HVAC, street hum). For intermittent noise sources (TV, conversations), the non-stationary mode gives better results at higher CPU cost (~2–3× more). Benchmark both on your hardware before choosing.</w:t>
      </w:r>
    </w:p>
    <w:p>
      <w:pPr>
        <w:spacing w:after="80" w:before="80"/>
      </w:pPr>
      <w:r>
        <w:rPr>
          <w:sz w:val="22"/>
          <w:szCs w:val="22"/>
        </w:rPr>
        <w:t xml:space="preserve"/>
      </w:r>
    </w:p>
    <w:p>
      <w:pPr>
        <w:pStyle w:val="Heading2"/>
        <w:spacing w:after="100" w:before="300"/>
      </w:pPr>
      <w:r>
        <w:t xml:space="preserve">8.4  Audio Output Device Selection</w:t>
      </w:r>
    </w:p>
    <w:p>
      <w:pPr>
        <w:spacing w:after="80" w:before="80"/>
      </w:pPr>
      <w:r>
        <w:rPr>
          <w:sz w:val="22"/>
          <w:szCs w:val="22"/>
        </w:rPr>
        <w:t xml:space="preserve">PyAudio may detect multiple output devices (speakers, headphones, virtual cables). Leaving device selection implicit means audio goes to the OS default, which may not be the right device on a multi-monitor trading setup. The startup routine should:</w:t>
      </w:r>
    </w:p>
    <w:p>
      <w:pPr>
        <w:pStyle w:val="ListParagraph"/>
        <w:numPr>
          <w:ilvl w:val="0"/>
          <w:numId w:val="2"/>
        </w:numPr>
        <w:spacing w:after="60" w:before="60"/>
      </w:pPr>
      <w:r>
        <w:rPr>
          <w:sz w:val="22"/>
          <w:szCs w:val="22"/>
        </w:rPr>
        <w:t xml:space="preserve">Enumerate available output devices with </w:t>
      </w:r>
      <w:r>
        <w:rPr>
          <w:rFonts w:ascii="Courier New" w:cs="Courier New" w:eastAsia="Courier New" w:hAnsi="Courier New"/>
          <w:color w:val="444444"/>
          <w:sz w:val="20"/>
          <w:szCs w:val="20"/>
        </w:rPr>
        <w:t xml:space="preserve">pyaudio.get_device_info_by_index()</w:t>
      </w:r>
      <w:r>
        <w:rPr>
          <w:sz w:val="22"/>
          <w:szCs w:val="22"/>
        </w:rPr>
        <w:t xml:space="preserve"> and print them to the console.</w:t>
      </w:r>
    </w:p>
    <w:p>
      <w:pPr>
        <w:pStyle w:val="ListParagraph"/>
        <w:numPr>
          <w:ilvl w:val="0"/>
          <w:numId w:val="2"/>
        </w:numPr>
        <w:spacing w:after="60" w:before="60"/>
      </w:pPr>
      <w:r>
        <w:rPr>
          <w:sz w:val="22"/>
          <w:szCs w:val="22"/>
        </w:rPr>
        <w:t xml:space="preserve">Accept a config-file key (</w:t>
      </w:r>
      <w:r>
        <w:rPr>
          <w:rFonts w:ascii="Courier New" w:cs="Courier New" w:eastAsia="Courier New" w:hAnsi="Courier New"/>
          <w:color w:val="444444"/>
          <w:sz w:val="20"/>
          <w:szCs w:val="20"/>
        </w:rPr>
        <w:t xml:space="preserve">audio.output_device_index</w:t>
      </w:r>
      <w:r>
        <w:rPr>
          <w:sz w:val="22"/>
          <w:szCs w:val="22"/>
        </w:rPr>
        <w:t xml:space="preserve">) to specify the device explicitly.</w:t>
      </w:r>
    </w:p>
    <w:p>
      <w:pPr>
        <w:pStyle w:val="ListParagraph"/>
        <w:numPr>
          <w:ilvl w:val="0"/>
          <w:numId w:val="2"/>
        </w:numPr>
        <w:spacing w:after="60" w:before="60"/>
      </w:pPr>
      <w:r>
        <w:rPr>
          <w:sz w:val="22"/>
          <w:szCs w:val="22"/>
        </w:rPr>
        <w:t xml:space="preserve">Fall back to the OS default if no explicit device is configured, but log a warning so the user knows which device is being used.</w:t>
      </w:r>
    </w:p>
    <w:p>
      <w:pPr>
        <w:spacing w:after="80" w:before="80"/>
      </w:pPr>
      <w:r>
        <w:rPr>
          <w:sz w:val="22"/>
          <w:szCs w:val="22"/>
        </w:rPr>
        <w:t xml:space="preserve"/>
      </w:r>
    </w:p>
    <w:p>
      <w:pPr>
        <w:pBdr>
          <w:left w:val="single" w:color="AAAAAA" w:sz="6" w:space="8"/>
        </w:pBdr>
        <w:spacing w:after="80" w:before="80"/>
        <w:ind w:left="360"/>
      </w:pPr>
      <w:r>
        <w:rPr>
          <w:i/>
          <w:iCs/>
          <w:color w:val="555555"/>
          <w:sz w:val="22"/>
          <w:szCs w:val="22"/>
        </w:rPr>
        <w:t xml:space="preserve">On macOS with multiple audio outputs (e.g. built-in speakers + a USB audio interface for a headset), the OS default can switch unexpectedly when devices are connected/disconnected. Explicit device selection avoids this.</w:t>
      </w:r>
    </w:p>
    <w:p>
      <w:pPr>
        <w:spacing w:after="80" w:before="80"/>
      </w:pPr>
      <w:r>
        <w:rPr>
          <w:sz w:val="22"/>
          <w:szCs w:val="22"/>
        </w:rPr>
        <w:t xml:space="preserve"/>
      </w:r>
    </w:p>
    <w:p>
      <w:pPr>
        <w:pStyle w:val="Heading2"/>
        <w:spacing w:after="100" w:before="300"/>
      </w:pPr>
      <w:r>
        <w:t xml:space="preserve">8.5  End-of-Speech Detection &amp; Barge-In</w:t>
      </w:r>
    </w:p>
    <w:p>
      <w:pPr>
        <w:spacing w:after="80" w:before="80"/>
      </w:pPr>
      <w:r>
        <w:rPr>
          <w:sz w:val="22"/>
          <w:szCs w:val="22"/>
        </w:rPr>
        <w:t xml:space="preserve">Two edge cases must be handled explicitly:</w:t>
      </w:r>
    </w:p>
    <w:p>
      <w:pPr>
        <w:spacing w:after="80" w:before="80"/>
      </w:pPr>
      <w:r>
        <w:rPr>
          <w:sz w:val="22"/>
          <w:szCs w:val="22"/>
        </w:rPr>
        <w:t xml:space="preserve"/>
      </w:r>
    </w:p>
    <w:p>
      <w:pPr>
        <w:pStyle w:val="ListParagraph"/>
        <w:numPr>
          <w:ilvl w:val="0"/>
          <w:numId w:val="1"/>
        </w:numPr>
        <w:spacing w:after="60" w:before="60"/>
      </w:pPr>
      <w:r>
        <w:rPr>
          <w:b/>
          <w:bCs/>
          <w:sz w:val="22"/>
          <w:szCs w:val="22"/>
        </w:rPr>
        <w:t xml:space="preserve">Agent speaking when user starts talking (barge-in): </w:t>
      </w:r>
      <w:r>
        <w:rPr>
          <w:sz w:val="22"/>
          <w:szCs w:val="22"/>
        </w:rPr>
        <w:t xml:space="preserve">If VAD detects speech while the agent is playing audio, the playback stream should be interrupted immediately and the new input queued. Implementing this requires running the VAD listener concurrently with audio playback — confirm the </w:t>
      </w:r>
      <w:r>
        <w:rPr>
          <w:rFonts w:ascii="Courier New" w:cs="Courier New" w:eastAsia="Courier New" w:hAnsi="Courier New"/>
          <w:color w:val="444444"/>
          <w:sz w:val="20"/>
          <w:szCs w:val="20"/>
        </w:rPr>
        <w:t xml:space="preserve">asyncio</w:t>
      </w:r>
      <w:r>
        <w:rPr>
          <w:sz w:val="22"/>
          <w:szCs w:val="22"/>
        </w:rPr>
        <w:t xml:space="preserve"> task structure supports this without deadlocking the playback buffer.</w:t>
      </w:r>
    </w:p>
    <w:p>
      <w:pPr>
        <w:pStyle w:val="ListParagraph"/>
        <w:numPr>
          <w:ilvl w:val="0"/>
          <w:numId w:val="1"/>
        </w:numPr>
        <w:spacing w:after="60" w:before="60"/>
      </w:pPr>
      <w:r>
        <w:rPr>
          <w:b/>
          <w:bCs/>
          <w:sz w:val="22"/>
          <w:szCs w:val="22"/>
        </w:rPr>
        <w:t xml:space="preserve">Short filler sounds ("um", "uh", throat clear): </w:t>
      </w:r>
      <w:r>
        <w:rPr>
          <w:sz w:val="22"/>
          <w:szCs w:val="22"/>
        </w:rPr>
        <w:t xml:space="preserve">These will pass VAD if long enough. The minimum-speech-duration threshold (Section 8.2) is the primary mitigation. Optionally, the system prompt can instruct the model to ignore single-word or very short inputs that carry no query intent, rather than attempting to answer them.</w:t>
      </w:r>
    </w:p>
    <w:p>
      <w:pPr>
        <w:pStyle w:val="Heading1"/>
        <w:spacing w:after="120" w:before="400"/>
      </w:pPr>
      <w:r>
        <w:t xml:space="preserve">9. Data Privacy &amp; Compliance</w:t>
      </w:r>
    </w:p>
    <w:p>
      <w:pPr>
        <w:spacing w:after="80" w:before="80"/>
      </w:pPr>
      <w:r>
        <w:rPr>
          <w:sz w:val="22"/>
          <w:szCs w:val="22"/>
        </w:rPr>
        <w:t xml:space="preserve">Because this agent captures screenshots of a live personal trading dashboard and processes spoken commands, treat this as handling sensitive personal financial data, even though it is a single-user personal tool.</w:t>
      </w:r>
    </w:p>
    <w:p>
      <w:pPr>
        <w:pStyle w:val="ListParagraph"/>
        <w:numPr>
          <w:ilvl w:val="0"/>
          <w:numId w:val="1"/>
        </w:numPr>
        <w:spacing w:after="60" w:before="60"/>
      </w:pPr>
      <w:r>
        <w:rPr>
          <w:b/>
          <w:bCs/>
          <w:sz w:val="22"/>
          <w:szCs w:val="22"/>
        </w:rPr>
        <w:t xml:space="preserve">What leaves the device: </w:t>
      </w:r>
      <w:r>
        <w:rPr>
          <w:sz w:val="22"/>
          <w:szCs w:val="22"/>
        </w:rPr>
        <w:t xml:space="preserve">Cropped screen frames (Kite window only) and voice audio are streamed to Google's Gemini Multimodal Live API. Confirm Google's data-retention policy for Live API inputs before use beyond personal prototyping — retention and training-use policies can differ from the consumer product.</w:t>
      </w:r>
    </w:p>
    <w:p>
      <w:pPr>
        <w:pStyle w:val="ListParagraph"/>
        <w:numPr>
          <w:ilvl w:val="0"/>
          <w:numId w:val="1"/>
        </w:numPr>
        <w:spacing w:after="60" w:before="60"/>
      </w:pPr>
      <w:r>
        <w:rPr>
          <w:b/>
          <w:bCs/>
          <w:sz w:val="22"/>
          <w:szCs w:val="22"/>
        </w:rPr>
        <w:t xml:space="preserve">No third-party sharing beyond named vendors: </w:t>
      </w:r>
      <w:r>
        <w:rPr>
          <w:sz w:val="22"/>
          <w:szCs w:val="22"/>
        </w:rPr>
        <w:t xml:space="preserve">Data flows only to Google (Gemini), Zerodha (Kite Connect, read scope), and Tavily (search queries). Account-specific data must never be included in the text sent to Tavily.</w:t>
      </w:r>
    </w:p>
    <w:p>
      <w:pPr>
        <w:pStyle w:val="ListParagraph"/>
        <w:numPr>
          <w:ilvl w:val="0"/>
          <w:numId w:val="1"/>
        </w:numPr>
        <w:spacing w:after="60" w:before="60"/>
      </w:pPr>
      <w:r>
        <w:rPr>
          <w:b/>
          <w:bCs/>
          <w:sz w:val="22"/>
          <w:szCs w:val="22"/>
        </w:rPr>
        <w:t xml:space="preserve">Local logging: </w:t>
      </w:r>
      <w:r>
        <w:rPr>
          <w:sz w:val="22"/>
          <w:szCs w:val="22"/>
        </w:rPr>
        <w:t xml:space="preserve">Decide before first run whether screenshots or transcripts are saved to disk. If saved, store encrypted or delete after each session — screenshots will contain balances and holdings.</w:t>
      </w:r>
    </w:p>
    <w:p>
      <w:pPr>
        <w:pStyle w:val="ListParagraph"/>
        <w:numPr>
          <w:ilvl w:val="0"/>
          <w:numId w:val="1"/>
        </w:numPr>
        <w:spacing w:after="60" w:before="60"/>
      </w:pPr>
      <w:r>
        <w:rPr>
          <w:b/>
          <w:bCs/>
          <w:sz w:val="22"/>
          <w:szCs w:val="22"/>
        </w:rPr>
        <w:t xml:space="preserve">Single-user assumption: </w:t>
      </w:r>
      <w:r>
        <w:rPr>
          <w:sz w:val="22"/>
          <w:szCs w:val="22"/>
        </w:rPr>
        <w:t xml:space="preserve">One user, one machine, no multi-user auth. Revisit explicitly if this is ever shared with anyone else.</w:t>
      </w:r>
    </w:p>
    <w:p>
      <w:pPr>
        <w:pStyle w:val="Heading1"/>
        <w:spacing w:after="120" w:before="400"/>
      </w:pPr>
      <w:r>
        <w:t xml:space="preserve">10. Vendor Risk</w:t>
      </w:r>
    </w:p>
    <w:p>
      <w:pPr>
        <w:spacing w:after="80" w:before="80"/>
      </w:pPr>
      <w:r>
        <w:rPr>
          <w:b/>
          <w:bCs/>
          <w:sz w:val="22"/>
          <w:szCs w:val="22"/>
        </w:rPr>
        <w:t xml:space="preserve">UI automation — explicitly out of scope: </w:t>
      </w:r>
      <w:r>
        <w:rPr>
          <w:sz w:val="22"/>
          <w:szCs w:val="22"/>
        </w:rPr>
        <w:t xml:space="preserve">Giving the agent mouse/keyboard control to click Kite's own UI introduces a new risk category: a misclick near an order button becomes a real financial risk. Any future change in this direction requires its own dedicated risk review.</w:t>
      </w:r>
    </w:p>
    <w:p>
      <w:pPr>
        <w:spacing w:after="80" w:before="80"/>
      </w:pPr>
      <w:r>
        <w:rPr>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shd w:fill="1F3864" w:val="clear"/>
          </w:tcPr>
          <w:p>
            <w:r>
              <w:rPr>
                <w:b/>
                <w:bCs/>
                <w:color w:val="FFFFFF"/>
                <w:sz w:val="20"/>
                <w:szCs w:val="20"/>
              </w:rPr>
              <w:t xml:space="preserve">Vendor</w:t>
            </w:r>
          </w:p>
        </w:tc>
        <w:tc>
          <w:tcPr>
            <w:tcW w:type="dxa" w:w="2880"/>
            <w:shd w:fill="1F3864" w:val="clear"/>
          </w:tcPr>
          <w:p>
            <w:r>
              <w:rPr>
                <w:b/>
                <w:bCs/>
                <w:color w:val="FFFFFF"/>
                <w:sz w:val="20"/>
                <w:szCs w:val="20"/>
              </w:rPr>
              <w:t xml:space="preserve">Risk</w:t>
            </w:r>
          </w:p>
        </w:tc>
        <w:tc>
          <w:tcPr>
            <w:tcW w:type="dxa" w:w="2880"/>
            <w:shd w:fill="1F3864" w:val="clear"/>
          </w:tcPr>
          <w:p>
            <w:r>
              <w:rPr>
                <w:b/>
                <w:bCs/>
                <w:color w:val="FFFFFF"/>
                <w:sz w:val="20"/>
                <w:szCs w:val="20"/>
              </w:rPr>
              <w:t xml:space="preserve">Mitigation / Notes</w:t>
            </w:r>
          </w:p>
        </w:tc>
      </w:tr>
      <w:tr>
        <w:tc>
          <w:tcPr>
            <w:tcW w:type="dxa" w:w="2880"/>
            <w:shd w:fill="F5F8FF" w:val="clear"/>
          </w:tcPr>
          <w:p>
            <w:r>
              <w:rPr>
                <w:sz w:val="20"/>
                <w:szCs w:val="20"/>
              </w:rPr>
              <w:t xml:space="preserve">Gemini Multimodal Live API</w:t>
            </w:r>
          </w:p>
        </w:tc>
        <w:tc>
          <w:tcPr>
            <w:tcW w:type="dxa" w:w="2880"/>
            <w:shd w:fill="F5F8FF" w:val="clear"/>
          </w:tcPr>
          <w:p>
            <w:r>
              <w:rPr>
                <w:sz w:val="20"/>
                <w:szCs w:val="20"/>
              </w:rPr>
              <w:t xml:space="preserve">Free/prototyping tier with stricter rate limits; production pricing not yet confirmed</w:t>
            </w:r>
          </w:p>
        </w:tc>
        <w:tc>
          <w:tcPr>
            <w:tcW w:type="dxa" w:w="2880"/>
            <w:shd w:fill="F5F8FF" w:val="clear"/>
          </w:tcPr>
          <w:p>
            <w:r>
              <w:rPr>
                <w:sz w:val="20"/>
                <w:szCs w:val="20"/>
              </w:rPr>
              <w:t xml:space="preserve">Get production tier pricing and rate limits before treating this as more than a personal prototype</w:t>
            </w:r>
          </w:p>
        </w:tc>
      </w:tr>
      <w:tr>
        <w:tc>
          <w:tcPr>
            <w:tcW w:type="dxa" w:w="2880"/>
            <w:shd w:fill="FFFFFF" w:val="clear"/>
          </w:tcPr>
          <w:p>
            <w:r>
              <w:rPr>
                <w:sz w:val="20"/>
                <w:szCs w:val="20"/>
              </w:rPr>
              <w:t xml:space="preserve">Gemini — data retention</w:t>
            </w:r>
          </w:p>
        </w:tc>
        <w:tc>
          <w:tcPr>
            <w:tcW w:type="dxa" w:w="2880"/>
            <w:shd w:fill="FFFFFF" w:val="clear"/>
          </w:tcPr>
          <w:p>
            <w:r>
              <w:rPr>
                <w:sz w:val="20"/>
                <w:szCs w:val="20"/>
              </w:rPr>
              <w:t xml:space="preserve">Unclear whether Live API inputs (audio, screen frames) are used for model training</w:t>
            </w:r>
          </w:p>
        </w:tc>
        <w:tc>
          <w:tcPr>
            <w:tcW w:type="dxa" w:w="2880"/>
            <w:shd w:fill="FFFFFF" w:val="clear"/>
          </w:tcPr>
          <w:p>
            <w:r>
              <w:rPr>
                <w:sz w:val="20"/>
                <w:szCs w:val="20"/>
              </w:rPr>
              <w:t xml:space="preserve">Check current API terms of service before trusting with live financial data; this is separate from the consumer product policy</w:t>
            </w:r>
          </w:p>
        </w:tc>
      </w:tr>
      <w:tr>
        <w:tc>
          <w:tcPr>
            <w:tcW w:type="dxa" w:w="2880"/>
            <w:shd w:fill="F5F8FF" w:val="clear"/>
          </w:tcPr>
          <w:p>
            <w:r>
              <w:rPr>
                <w:sz w:val="20"/>
                <w:szCs w:val="20"/>
              </w:rPr>
              <w:t xml:space="preserve">Zerodha Kite Connect</w:t>
            </w:r>
          </w:p>
        </w:tc>
        <w:tc>
          <w:tcPr>
            <w:tcW w:type="dxa" w:w="2880"/>
            <w:shd w:fill="F5F8FF" w:val="clear"/>
          </w:tcPr>
          <w:p>
            <w:r>
              <w:rPr>
                <w:sz w:val="20"/>
                <w:szCs w:val="20"/>
              </w:rPr>
              <w:t xml:space="preserve">Retail algo/API access has faced regulatory attention in India; API terms can change</w:t>
            </w:r>
          </w:p>
        </w:tc>
        <w:tc>
          <w:tcPr>
            <w:tcW w:type="dxa" w:w="2880"/>
            <w:shd w:fill="F5F8FF" w:val="clear"/>
          </w:tcPr>
          <w:p>
            <w:r>
              <w:rPr>
                <w:sz w:val="20"/>
                <w:szCs w:val="20"/>
              </w:rPr>
              <w:t xml:space="preserve">Confirm API key is scoped read-only at the Kite Connect app-registration level, not just by convention in code</w:t>
            </w:r>
          </w:p>
        </w:tc>
      </w:tr>
      <w:tr>
        <w:tc>
          <w:tcPr>
            <w:tcW w:type="dxa" w:w="2880"/>
            <w:shd w:fill="FFFFFF" w:val="clear"/>
          </w:tcPr>
          <w:p>
            <w:r>
              <w:rPr>
                <w:sz w:val="20"/>
                <w:szCs w:val="20"/>
              </w:rPr>
              <w:t xml:space="preserve">Tavily</w:t>
            </w:r>
          </w:p>
        </w:tc>
        <w:tc>
          <w:tcPr>
            <w:tcW w:type="dxa" w:w="2880"/>
            <w:shd w:fill="FFFFFF" w:val="clear"/>
          </w:tcPr>
          <w:p>
            <w:r>
              <w:rPr>
                <w:sz w:val="20"/>
                <w:szCs w:val="20"/>
              </w:rPr>
              <w:t xml:space="preserve">Free tier (1,000 credits/month) rolling into pay-as-you-go; no stated fallback for outages</w:t>
            </w:r>
          </w:p>
        </w:tc>
        <w:tc>
          <w:tcPr>
            <w:tcW w:type="dxa" w:w="2880"/>
            <w:shd w:fill="FFFFFF" w:val="clear"/>
          </w:tcPr>
          <w:p>
            <w:r>
              <w:rPr>
                <w:sz w:val="20"/>
                <w:szCs w:val="20"/>
              </w:rPr>
              <w:t xml:space="preserve">Low risk given read-only, non-critical use — search failure should degrade gracefully</w:t>
            </w:r>
          </w:p>
        </w:tc>
      </w:tr>
    </w:tbl>
    <w:p>
      <w:pPr>
        <w:pStyle w:val="Heading1"/>
        <w:spacing w:after="120" w:before="400"/>
      </w:pPr>
      <w:r>
        <w:t xml:space="preserve">11. Success Metrics / Validation</w:t>
      </w:r>
    </w:p>
    <w:p>
      <w:pPr>
        <w:spacing w:after="80" w:before="80"/>
      </w:pPr>
      <w:r>
        <w:rPr>
          <w:sz w:val="22"/>
          <w:szCs w:val="22"/>
        </w:rPr>
        <w:t xml:space="preserve">Since this feeds financial information to a real decision-maker, confirm the following before relying on the agent day-to-day:</w:t>
      </w:r>
    </w:p>
    <w:p>
      <w:pPr>
        <w:pStyle w:val="ListParagraph"/>
        <w:numPr>
          <w:ilvl w:val="0"/>
          <w:numId w:val="1"/>
        </w:numPr>
        <w:spacing w:after="60" w:before="60"/>
      </w:pPr>
      <w:r>
        <w:rPr>
          <w:sz w:val="22"/>
          <w:szCs w:val="22"/>
        </w:rPr>
        <w:t xml:space="preserve">Spot-check a sample of agent responses against the actual Kite screen and actual news to confirm accuracy.</w:t>
      </w:r>
    </w:p>
    <w:p>
      <w:pPr>
        <w:pStyle w:val="ListParagraph"/>
        <w:numPr>
          <w:ilvl w:val="0"/>
          <w:numId w:val="1"/>
        </w:numPr>
        <w:spacing w:after="60" w:before="60"/>
      </w:pPr>
      <w:r>
        <w:rPr>
          <w:sz w:val="22"/>
          <w:szCs w:val="22"/>
        </w:rPr>
        <w:t xml:space="preserve">Confirm the agent correctly declines or clarifies when it cannot see relevant data on screen, rather than guessing.</w:t>
      </w:r>
    </w:p>
    <w:p>
      <w:pPr>
        <w:pStyle w:val="ListParagraph"/>
        <w:numPr>
          <w:ilvl w:val="0"/>
          <w:numId w:val="1"/>
        </w:numPr>
        <w:spacing w:after="60" w:before="60"/>
      </w:pPr>
      <w:r>
        <w:rPr>
          <w:sz w:val="22"/>
          <w:szCs w:val="22"/>
        </w:rPr>
        <w:t xml:space="preserve">Confirm no tool call can ever reach a write endpoint — review MCP tool definitions specifically for this.</w:t>
      </w:r>
    </w:p>
    <w:p>
      <w:pPr>
        <w:pStyle w:val="ListParagraph"/>
        <w:numPr>
          <w:ilvl w:val="0"/>
          <w:numId w:val="1"/>
        </w:numPr>
        <w:spacing w:after="60" w:before="60"/>
      </w:pPr>
      <w:r>
        <w:rPr>
          <w:b/>
          <w:bCs/>
          <w:sz w:val="22"/>
          <w:szCs w:val="22"/>
        </w:rPr>
        <w:t xml:space="preserve">Acknowledgment-phrase naturalness: </w:t>
      </w:r>
      <w:r>
        <w:rPr>
          <w:sz w:val="22"/>
          <w:szCs w:val="22"/>
        </w:rPr>
        <w:t xml:space="preserve">Spot-check that "let me check" phrases do not feel repetitive or robotic across many queries.</w:t>
      </w:r>
    </w:p>
    <w:p>
      <w:pPr>
        <w:pStyle w:val="ListParagraph"/>
        <w:numPr>
          <w:ilvl w:val="0"/>
          <w:numId w:val="1"/>
        </w:numPr>
        <w:spacing w:after="60" w:before="60"/>
      </w:pPr>
      <w:r>
        <w:rPr>
          <w:b/>
          <w:bCs/>
          <w:sz w:val="22"/>
          <w:szCs w:val="22"/>
        </w:rPr>
        <w:t xml:space="preserve">Indicator accuracy: </w:t>
      </w:r>
      <w:r>
        <w:rPr>
          <w:sz w:val="22"/>
          <w:szCs w:val="22"/>
        </w:rPr>
        <w:t xml:space="preserve">Verify computed Bollinger Bands / Fibonacci levels against Kite's own chart for the same instrument and timeframe before trusting for real decisions.</w:t>
      </w:r>
    </w:p>
    <w:p>
      <w:pPr>
        <w:pStyle w:val="ListParagraph"/>
        <w:numPr>
          <w:ilvl w:val="0"/>
          <w:numId w:val="1"/>
        </w:numPr>
        <w:spacing w:after="60" w:before="60"/>
      </w:pPr>
      <w:r>
        <w:rPr>
          <w:b/>
          <w:bCs/>
          <w:sz w:val="22"/>
          <w:szCs w:val="22"/>
        </w:rPr>
        <w:t xml:space="preserve">VAD accuracy: </w:t>
      </w:r>
      <w:r>
        <w:rPr>
          <w:sz w:val="22"/>
          <w:szCs w:val="22"/>
        </w:rPr>
        <w:t xml:space="preserve">Run 20 test queries in your normal working environment; count false triggers (noise treated as speech) and missed triggers (speech not detected). Target: &lt;1 false trigger per 10 minutes of idle background noise.</w:t>
      </w:r>
    </w:p>
    <w:p>
      <w:pPr>
        <w:pStyle w:val="ListParagraph"/>
        <w:numPr>
          <w:ilvl w:val="0"/>
          <w:numId w:val="1"/>
        </w:numPr>
        <w:spacing w:after="60" w:before="60"/>
      </w:pPr>
      <w:r>
        <w:rPr>
          <w:b/>
          <w:bCs/>
          <w:sz w:val="22"/>
          <w:szCs w:val="22"/>
        </w:rPr>
        <w:t xml:space="preserve">Barge-in responsiveness: </w:t>
      </w:r>
      <w:r>
        <w:rPr>
          <w:sz w:val="22"/>
          <w:szCs w:val="22"/>
        </w:rPr>
        <w:t xml:space="preserve">Confirm playback interrupts within 300 ms of the user starting to speak.</w:t>
      </w:r>
    </w:p>
    <w:p>
      <w:pPr>
        <w:pStyle w:val="ListParagraph"/>
        <w:numPr>
          <w:ilvl w:val="0"/>
          <w:numId w:val="1"/>
        </w:numPr>
        <w:spacing w:after="60" w:before="60"/>
      </w:pPr>
      <w:r>
        <w:rPr>
          <w:b/>
          <w:bCs/>
          <w:sz w:val="22"/>
          <w:szCs w:val="22"/>
        </w:rPr>
        <w:t xml:space="preserve">Reconnection reliability: </w:t>
      </w:r>
      <w:r>
        <w:rPr>
          <w:sz w:val="22"/>
          <w:szCs w:val="22"/>
        </w:rPr>
        <w:t xml:space="preserve">Simulate a network drop during a session; confirm the agent reconnects without requiring a script restart.</w:t>
      </w:r>
    </w:p>
    <w:p>
      <w:pPr>
        <w:pStyle w:val="Heading1"/>
        <w:spacing w:after="120" w:before="400"/>
      </w:pPr>
      <w:r>
        <w:t xml:space="preserve">12. Cost &amp; Budget Analysis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shd w:fill="1F3864" w:val="clear"/>
          </w:tcPr>
          <w:p>
            <w:r>
              <w:rPr>
                <w:b/>
                <w:bCs/>
                <w:color w:val="FFFFFF"/>
                <w:sz w:val="20"/>
                <w:szCs w:val="20"/>
              </w:rPr>
              <w:t xml:space="preserve">Service / Resource</w:t>
            </w:r>
          </w:p>
        </w:tc>
        <w:tc>
          <w:tcPr>
            <w:tcW w:type="dxa" w:w="2880"/>
            <w:shd w:fill="1F3864" w:val="clear"/>
          </w:tcPr>
          <w:p>
            <w:r>
              <w:rPr>
                <w:b/>
                <w:bCs/>
                <w:color w:val="FFFFFF"/>
                <w:sz w:val="20"/>
                <w:szCs w:val="20"/>
              </w:rPr>
              <w:t xml:space="preserve">Pricing Tier</w:t>
            </w:r>
          </w:p>
        </w:tc>
        <w:tc>
          <w:tcPr>
            <w:tcW w:type="dxa" w:w="2880"/>
            <w:shd w:fill="1F3864" w:val="clear"/>
          </w:tcPr>
          <w:p>
            <w:r>
              <w:rPr>
                <w:b/>
                <w:bCs/>
                <w:color w:val="FFFFFF"/>
                <w:sz w:val="20"/>
                <w:szCs w:val="20"/>
              </w:rPr>
              <w:t xml:space="preserve">Notes</w:t>
            </w:r>
          </w:p>
        </w:tc>
      </w:tr>
      <w:tr>
        <w:tc>
          <w:tcPr>
            <w:tcW w:type="dxa" w:w="2880"/>
            <w:shd w:fill="F5F8FF" w:val="clear"/>
          </w:tcPr>
          <w:p>
            <w:r>
              <w:rPr>
                <w:sz w:val="20"/>
                <w:szCs w:val="20"/>
              </w:rPr>
              <w:t xml:space="preserve">Gemini Multimodal Live API</w:t>
            </w:r>
          </w:p>
        </w:tc>
        <w:tc>
          <w:tcPr>
            <w:tcW w:type="dxa" w:w="2880"/>
            <w:shd w:fill="F5F8FF" w:val="clear"/>
          </w:tcPr>
          <w:p>
            <w:r>
              <w:rPr>
                <w:sz w:val="20"/>
                <w:szCs w:val="20"/>
              </w:rPr>
              <w:t xml:space="preserve">Free for Prototyping</w:t>
            </w:r>
          </w:p>
        </w:tc>
        <w:tc>
          <w:tcPr>
            <w:tcW w:type="dxa" w:w="2880"/>
            <w:shd w:fill="F5F8FF" w:val="clear"/>
          </w:tcPr>
          <w:p>
            <w:r>
              <w:rPr>
                <w:sz w:val="20"/>
                <w:szCs w:val="20"/>
              </w:rPr>
              <w:t xml:space="preserve">Robust free tier for testing, subject to stricter rate limits. Production pricing not yet confirmed.</w:t>
            </w:r>
          </w:p>
        </w:tc>
      </w:tr>
      <w:tr>
        <w:tc>
          <w:tcPr>
            <w:tcW w:type="dxa" w:w="2880"/>
            <w:shd w:fill="FFFFFF" w:val="clear"/>
          </w:tcPr>
          <w:p>
            <w:r>
              <w:rPr>
                <w:sz w:val="20"/>
                <w:szCs w:val="20"/>
              </w:rPr>
              <w:t xml:space="preserve">Zerodha Kite Connect API</w:t>
            </w:r>
          </w:p>
        </w:tc>
        <w:tc>
          <w:tcPr>
            <w:tcW w:type="dxa" w:w="2880"/>
            <w:shd w:fill="FFFFFF" w:val="clear"/>
          </w:tcPr>
          <w:p>
            <w:r>
              <w:rPr>
                <w:sz w:val="20"/>
                <w:szCs w:val="20"/>
              </w:rPr>
              <w:t xml:space="preserve">₹500 / month</w:t>
            </w:r>
          </w:p>
        </w:tc>
        <w:tc>
          <w:tcPr>
            <w:tcW w:type="dxa" w:w="2880"/>
            <w:shd w:fill="FFFFFF" w:val="clear"/>
          </w:tcPr>
          <w:p>
            <w:r>
              <w:rPr>
                <w:sz w:val="20"/>
                <w:szCs w:val="20"/>
              </w:rPr>
              <w:t xml:space="preserve">Required for retail users for full access with live WebSocket data (read-only scope).</w:t>
            </w:r>
          </w:p>
        </w:tc>
      </w:tr>
      <w:tr>
        <w:tc>
          <w:tcPr>
            <w:tcW w:type="dxa" w:w="2880"/>
            <w:shd w:fill="F5F8FF" w:val="clear"/>
          </w:tcPr>
          <w:p>
            <w:r>
              <w:rPr>
                <w:sz w:val="20"/>
                <w:szCs w:val="20"/>
              </w:rPr>
              <w:t xml:space="preserve">Tavily (Web Search)</w:t>
            </w:r>
          </w:p>
        </w:tc>
        <w:tc>
          <w:tcPr>
            <w:tcW w:type="dxa" w:w="2880"/>
            <w:shd w:fill="F5F8FF" w:val="clear"/>
          </w:tcPr>
          <w:p>
            <w:r>
              <w:rPr>
                <w:sz w:val="20"/>
                <w:szCs w:val="20"/>
              </w:rPr>
              <w:t xml:space="preserve">Free to $0.008/credit</w:t>
            </w:r>
          </w:p>
        </w:tc>
        <w:tc>
          <w:tcPr>
            <w:tcW w:type="dxa" w:w="2880"/>
            <w:shd w:fill="F5F8FF" w:val="clear"/>
          </w:tcPr>
          <w:p>
            <w:r>
              <w:rPr>
                <w:sz w:val="20"/>
                <w:szCs w:val="20"/>
              </w:rPr>
              <w:t xml:space="preserve">1,000 free search credits per month, rolling into pay-as-you-go thereafter.</w:t>
            </w:r>
          </w:p>
        </w:tc>
      </w:tr>
      <w:tr>
        <w:tc>
          <w:tcPr>
            <w:tcW w:type="dxa" w:w="2880"/>
            <w:shd w:fill="FFFFFF" w:val="clear"/>
          </w:tcPr>
          <w:p>
            <w:r>
              <w:rPr>
                <w:sz w:val="20"/>
                <w:szCs w:val="20"/>
              </w:rPr>
              <w:t xml:space="preserve">Estimated monthly total (personal use)</w:t>
            </w:r>
          </w:p>
        </w:tc>
        <w:tc>
          <w:tcPr>
            <w:tcW w:type="dxa" w:w="2880"/>
            <w:shd w:fill="FFFFFF" w:val="clear"/>
          </w:tcPr>
          <w:p>
            <w:r>
              <w:rPr>
                <w:sz w:val="20"/>
                <w:szCs w:val="20"/>
              </w:rPr>
              <w:t xml:space="preserve">~₹500 + incidental Tavily overage</w:t>
            </w:r>
          </w:p>
        </w:tc>
        <w:tc>
          <w:tcPr>
            <w:tcW w:type="dxa" w:w="2880"/>
            <w:shd w:fill="FFFFFF" w:val="clear"/>
          </w:tcPr>
          <w:p>
            <w:r>
              <w:rPr>
                <w:sz w:val="20"/>
                <w:szCs w:val="20"/>
              </w:rPr>
              <w:t xml:space="preserve">Assumes Gemini stays within free tier during prototyping.</w:t>
            </w:r>
          </w:p>
        </w:tc>
      </w:tr>
    </w:tbl>
    <w:p>
      <w:pPr>
        <w:spacing w:before="400"/>
      </w:pPr>
    </w:p>
    <w:p>
      <w:pPr>
        <w:pBdr>
          <w:bottom w:val="single" w:color="CCCCCC" w:sz="6" w:space="4"/>
        </w:pBdr>
        <w:spacing w:after="200" w:before="200"/>
      </w:pPr>
    </w:p>
    <w:p>
      <w:pPr>
        <w:jc w:val="center"/>
      </w:pPr>
      <w:r>
        <w:rPr>
          <w:i/>
          <w:iCs/>
          <w:color w:val="888888"/>
          <w:sz w:val="18"/>
          <w:szCs w:val="18"/>
        </w:rPr>
        <w:t xml:space="preserve">Version 1.4  ·  Sections 7 and 8 added  ·  Document continues to evolve as prototyping progresses.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2026-07-24T13:59:24.135Z</dcterms:created>
  <dcterms:modified xsi:type="dcterms:W3CDTF">2026-07-24T13:59:24.148Z</dcterms:modified>
</cp:coreProperties>
</file>

<file path=docProps/custom.xml><?xml version="1.0" encoding="utf-8"?>
<Properties xmlns="http://schemas.openxmlformats.org/officeDocument/2006/custom-properties" xmlns:vt="http://schemas.openxmlformats.org/officeDocument/2006/docPropsVTypes"/>
</file>