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266"/>
          <w:sz w:val="40"/>
          <w:szCs w:val="40"/>
        </w:rPr>
        <w:t xml:space="preserve">Product Requirements Document</w:t>
      </w:r>
    </w:p>
    <w:p>
      <w:pPr>
        <w:spacing w:after="40"/>
      </w:pPr>
      <w:r>
        <w:rPr>
          <w:color w:val="1F1F1F"/>
          <w:sz w:val="28"/>
          <w:szCs w:val="28"/>
        </w:rPr>
        <w:t xml:space="preserve">Multimodal Financial Voice Agent</w:t>
      </w:r>
    </w:p>
    <w:p>
      <w:pPr>
        <w:spacing w:after="300"/>
      </w:pPr>
      <w:r>
        <w:rPr>
          <w:i/>
          <w:iCs/>
          <w:color w:val="555555"/>
          <w:sz w:val="22"/>
          <w:szCs w:val="22"/>
        </w:rPr>
        <w:t xml:space="preserve">Version 2.0 — Cascaded Architecture Rewrite</w:t>
      </w:r>
    </w:p>
    <w:p>
      <w:pPr>
        <w:pBdr>
          <w:left w:val="single" w:color="2E5266" w:sz="12" w:space="8"/>
        </w:pBdr>
        <w:spacing w:after="200" w:before="60"/>
        <w:ind w:left="360"/>
      </w:pPr>
      <w:r>
        <w:rPr>
          <w:i/>
          <w:iCs/>
          <w:color w:val="555555"/>
        </w:rPr>
        <w:t xml:space="preserve">Changelog vs v1.4: architecture changed from Gemini Multimodal Live (persistent S2S WebSocket) to a cascaded pipeline (Groq STT → Groq multimodal LLM with tool calling → Cartesia TTS). Always-on continuous vision replaced with model-triggered on-demand screen capture — no button, no polling. Section 7.3 tool inventory (previously blank) is now fully specified. New sections added: Architecture Decision Record, System Prompt Specification, Local Evaluation Set, Environment &amp; Setup. This is a personal, single-user, read-only prototype — targets throughout are working assumptions to validate, not SLAs.</w:t>
      </w:r>
    </w:p>
    <w:p>
      <w:pPr>
        <w:pBdr>
          <w:bottom w:val="single" w:color="CCCCCC" w:sz="6" w:space="1"/>
        </w:pBdr>
        <w:spacing w:after="200" w:before="100"/>
      </w:pPr>
    </w:p>
    <w:p>
      <w:pPr>
        <w:pStyle w:val="Heading1"/>
        <w:spacing w:after="160" w:before="360"/>
      </w:pPr>
      <w:r>
        <w:t xml:space="preserve">1. Product Overview</w:t>
      </w:r>
    </w:p>
    <w:p>
      <w:pPr>
        <w:spacing w:after="160"/>
      </w:pPr>
      <w:r>
        <w:t xml:space="preserve">The objective is to build an AI agent that can see trading charts on request, listen to voice commands continuously, and execute real-world read-only data pulls. The agent acts as a real-time desktop trading assistant, understanding context from an active financial application (Zerodha Kite) and conversing with the user with low latency.</w:t>
      </w:r>
    </w:p>
    <w:p>
      <w:pPr>
        <w:spacing w:after="160"/>
      </w:pPr>
      <w:r>
        <w:rPr>
          <w:b/>
          <w:bCs/>
        </w:rPr>
        <w:t xml:space="preserve">Scope clarification: </w:t>
      </w:r>
      <w:r>
        <w:t xml:space="preserve">this is a read-only assistant. It observes and reports on account data, market data, and news — it does not place, modify, or cancel any orders. Any future “write” capability is explicitly out of scope for this version and would require a separate risk review before being considered.</w:t>
      </w:r>
    </w:p>
    <w:p>
      <w:pPr>
        <w:spacing w:after="160"/>
      </w:pPr>
      <w:r>
        <w:rPr>
          <w:b/>
          <w:bCs/>
        </w:rPr>
        <w:t xml:space="preserve">Who this is for: </w:t>
      </w:r>
      <w:r>
        <w:t xml:space="preserve">a single user, on a single personal machine, for personal trading-desk use. There is no multi-user auth model and none is planned for this version.</w:t>
      </w:r>
    </w:p>
    <w:p>
      <w:pPr>
        <w:pStyle w:val="Heading1"/>
        <w:spacing w:after="160" w:before="360"/>
      </w:pPr>
      <w:r>
        <w:t xml:space="preserve">2. Architecture Decision Record</w:t>
      </w:r>
    </w:p>
    <w:p>
      <w:pPr>
        <w:spacing w:after="160"/>
      </w:pPr>
      <w:r>
        <w:t xml:space="preserve">This section exists because the architecture changed materially from v1.4, and a vibe coder building this needs the reasoning, not just the conclusion — the reasoning is what lets an AI coding assistant make good judgment calls on details this document doesn't explicitly cover.</w:t>
      </w:r>
    </w:p>
    <w:p>
      <w:pPr>
        <w:pStyle w:val="Heading2"/>
        <w:spacing w:after="120" w:before="280"/>
      </w:pPr>
      <w:r>
        <w:t xml:space="preserve">2.1 What changed and why</w:t>
      </w:r>
    </w:p>
    <w:p>
      <w:pPr>
        <w:spacing w:after="160"/>
      </w:pPr>
      <w:r>
        <w:t xml:space="preserve">v1.4 specified the Gemini Multimodal Live API: a persistent WebSocket, natively multimodal, continuously streaming audio and video frames to a single S2S model. That choice was justified almost entirely by one requirement: continuous vision (the agent needed to “see” the screen at any moment) combined with native tool calling.</w:t>
      </w:r>
    </w:p>
    <w:p>
      <w:pPr>
        <w:spacing w:after="160"/>
      </w:pPr>
      <w:r>
        <w:t xml:space="preserve">That requirement no longer holds. Vision is now a discrete, on-demand event: the model requests a screenshot only when it decides it needs one, via a tool call (see Section 6.4). It is not a manual button and it is not a continuous stream. Once vision is discrete rather than continuous, the case for a persistent multimodal socket collapses — a standard request/response cascade can handle “occasionally attach one image to a text turn” without any of the WebSocket session-lifecycle complexity v1.4 required.</w:t>
      </w:r>
    </w:p>
    <w:p>
      <w:pPr>
        <w:spacing w:after="160"/>
      </w:pPr>
      <w:r>
        <w:t xml:space="preserve">The replacement is a cascaded pipeline: speech-to-text, a tool-calling multimodal LLM, and text-to-speech, called sequentially per turn over plain HTTP. This is a deliberate trade against v1.4's promised sub-500ms full-duplex barge-in performance. Section 5 sets honest latency targets for what a cascade actually delivers.</w:t>
      </w:r>
    </w:p>
    <w:p>
      <w:pPr>
        <w:pStyle w:val="Heading2"/>
        <w:spacing w:after="120" w:before="280"/>
      </w:pPr>
      <w:r>
        <w:t xml:space="preserve">2.2 Why this is the right trade for this project specifically</w:t>
      </w:r>
    </w:p>
    <w:p>
      <w:pPr>
        <w:pStyle w:val="ListParagraph"/>
        <w:numPr>
          <w:ilvl w:val="0"/>
          <w:numId w:val="2"/>
        </w:numPr>
        <w:spacing w:after="80"/>
      </w:pPr>
      <w:r>
        <w:t xml:space="preserve">Observability: every stage (transcript, tool calls, tool results, final text) is a loggable string. When something misbehaves, you can tell whether the STT misheard, the LLM reasoned badly, or a tool returned bad data — the same debugging argument the architecture research doc made in favor of cascades generally.</w:t>
      </w:r>
    </w:p>
    <w:p>
      <w:pPr>
        <w:pStyle w:val="ListParagraph"/>
        <w:numPr>
          <w:ilvl w:val="0"/>
          <w:numId w:val="2"/>
        </w:numPr>
        <w:spacing w:after="80"/>
      </w:pPr>
      <w:r>
        <w:t xml:space="preserve">Cost: token-metered S2S audio pricing is expensive per minute of continuous streaming even at rest. A per-turn cascade only costs money when a turn actually happens.</w:t>
      </w:r>
    </w:p>
    <w:p>
      <w:pPr>
        <w:pStyle w:val="ListParagraph"/>
        <w:numPr>
          <w:ilvl w:val="0"/>
          <w:numId w:val="2"/>
        </w:numPr>
        <w:spacing w:after="80"/>
      </w:pPr>
      <w:r>
        <w:t xml:space="preserve">Simplicity for a vibe coder: no persistent connection to keep alive, no reconnection state machine, no SDK-specific footguns around interleaving realtime and non-realtime message types. Each turn is an independent, retryable sequence of API calls.</w:t>
      </w:r>
    </w:p>
    <w:p>
      <w:pPr>
        <w:pStyle w:val="ListParagraph"/>
        <w:numPr>
          <w:ilvl w:val="0"/>
          <w:numId w:val="2"/>
        </w:numPr>
        <w:spacing w:after="80"/>
      </w:pPr>
      <w:r>
        <w:t xml:space="preserve">No hard capability loss for this use case: this agent is turn-based (user asks, agent answers), not a natural back-and-forth conversation with heavy interruption. Full-duplex S2S buys the most when conversations overlap constantly; a trading-desk Q&amp;A tool doesn't need that.</w:t>
      </w:r>
    </w:p>
    <w:p>
      <w:pPr>
        <w:pBdr>
          <w:left w:val="single" w:color="2E5266" w:sz="12" w:space="8"/>
        </w:pBdr>
        <w:spacing w:after="200" w:before="60"/>
        <w:ind w:left="360"/>
      </w:pPr>
      <w:r>
        <w:rPr>
          <w:i/>
          <w:iCs/>
          <w:color w:val="555555"/>
        </w:rPr>
        <w:t xml:space="preserve">The trade-off you are accepting: total turn latency will land in the ~1–2.5 second range instead of sub-500ms acknowledgment. Section 5 defines the specific budget and the mitigation (an immediate spoken acknowledgment generated before any tool call executes).</w:t>
      </w:r>
    </w:p>
    <w:p>
      <w:pPr>
        <w:pStyle w:val="Heading2"/>
        <w:spacing w:after="120" w:before="280"/>
      </w:pPr>
      <w:r>
        <w:t xml:space="preserve">2.3 Stack decision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Layer</w:t>
            </w:r>
          </w:p>
        </w:tc>
        <w:tc>
          <w:tcPr>
            <w:tcW w:type="dxa" w:w="2600"/>
            <w:shd w:fill="2E5266" w:val="clear"/>
            <w:tcMar>
              <w:top w:type="dxa" w:w="80"/>
              <w:left w:type="dxa" w:w="100"/>
              <w:bottom w:type="dxa" w:w="80"/>
              <w:right w:type="dxa" w:w="100"/>
            </w:tcMar>
            <w:vAlign w:val="center"/>
          </w:tcPr>
          <w:p>
            <w:r>
              <w:rPr>
                <w:b/>
                <w:bCs/>
                <w:color w:val="FFFFFF"/>
                <w:sz w:val="20"/>
                <w:szCs w:val="20"/>
              </w:rPr>
              <w:t xml:space="preserve">Choice</w:t>
            </w:r>
          </w:p>
        </w:tc>
        <w:tc>
          <w:tcPr>
            <w:tcW w:type="dxa" w:w="4260"/>
            <w:shd w:fill="2E5266" w:val="clear"/>
            <w:tcMar>
              <w:top w:type="dxa" w:w="80"/>
              <w:left w:type="dxa" w:w="100"/>
              <w:bottom w:type="dxa" w:w="80"/>
              <w:right w:type="dxa" w:w="100"/>
            </w:tcMar>
            <w:vAlign w:val="center"/>
          </w:tcPr>
          <w:p>
            <w:r>
              <w:rPr>
                <w:b/>
                <w:bCs/>
                <w:color w:val="FFFFFF"/>
                <w:sz w:val="20"/>
                <w:szCs w:val="20"/>
              </w:rPr>
              <w:t xml:space="preserve">Why</w:t>
            </w:r>
          </w:p>
        </w:tc>
      </w:tr>
      <w:tr>
        <w:tc>
          <w:tcPr>
            <w:tcW w:type="dxa" w:w="2400"/>
            <w:tcMar>
              <w:top w:type="dxa" w:w="80"/>
              <w:left w:type="dxa" w:w="100"/>
              <w:bottom w:type="dxa" w:w="80"/>
              <w:right w:type="dxa" w:w="100"/>
            </w:tcMar>
            <w:vAlign w:val="top"/>
          </w:tcPr>
          <w:p>
            <w:pPr>
              <w:spacing w:after="40"/>
            </w:pPr>
            <w:r>
              <w:rPr>
                <w:sz w:val="19"/>
                <w:szCs w:val="19"/>
              </w:rPr>
              <w:t xml:space="preserve">Speech-to-text</w:t>
            </w:r>
          </w:p>
        </w:tc>
        <w:tc>
          <w:tcPr>
            <w:tcW w:type="dxa" w:w="2600"/>
            <w:tcMar>
              <w:top w:type="dxa" w:w="80"/>
              <w:left w:type="dxa" w:w="100"/>
              <w:bottom w:type="dxa" w:w="80"/>
              <w:right w:type="dxa" w:w="100"/>
            </w:tcMar>
            <w:vAlign w:val="top"/>
          </w:tcPr>
          <w:p>
            <w:pPr>
              <w:spacing w:after="40"/>
            </w:pPr>
            <w:r>
              <w:rPr>
                <w:sz w:val="19"/>
                <w:szCs w:val="19"/>
              </w:rPr>
              <w:t xml:space="preserve">Groq — Whisper Large v3 Turbo</w:t>
            </w:r>
          </w:p>
        </w:tc>
        <w:tc>
          <w:tcPr>
            <w:tcW w:type="dxa" w:w="4260"/>
            <w:tcMar>
              <w:top w:type="dxa" w:w="80"/>
              <w:left w:type="dxa" w:w="100"/>
              <w:bottom w:type="dxa" w:w="80"/>
              <w:right w:type="dxa" w:w="100"/>
            </w:tcMar>
            <w:vAlign w:val="top"/>
          </w:tcPr>
          <w:p>
            <w:pPr>
              <w:spacing w:after="40"/>
            </w:pPr>
            <w:r>
              <w:rPr>
                <w:sz w:val="19"/>
                <w:szCs w:val="19"/>
              </w:rPr>
              <w:t xml:space="preserve">~$0.04 per hour of audio processed, transcribing at roughly 228x real-time speed — a 3–5 second utterance returns in well under 100ms of compute time. No streaming support (it's a batch call per utterance), which is fine here because the agent is turn-based, not continuously transcribing.</w:t>
            </w:r>
          </w:p>
        </w:tc>
      </w:tr>
      <w:tr>
        <w:tc>
          <w:tcPr>
            <w:tcW w:type="dxa" w:w="2400"/>
            <w:tcMar>
              <w:top w:type="dxa" w:w="80"/>
              <w:left w:type="dxa" w:w="100"/>
              <w:bottom w:type="dxa" w:w="80"/>
              <w:right w:type="dxa" w:w="100"/>
            </w:tcMar>
            <w:vAlign w:val="top"/>
          </w:tcPr>
          <w:p>
            <w:pPr>
              <w:spacing w:after="40"/>
            </w:pPr>
            <w:r>
              <w:rPr>
                <w:sz w:val="19"/>
                <w:szCs w:val="19"/>
              </w:rPr>
              <w:t xml:space="preserve">Reasoning + tool calling + vision</w:t>
            </w:r>
          </w:p>
        </w:tc>
        <w:tc>
          <w:tcPr>
            <w:tcW w:type="dxa" w:w="2600"/>
            <w:tcMar>
              <w:top w:type="dxa" w:w="80"/>
              <w:left w:type="dxa" w:w="100"/>
              <w:bottom w:type="dxa" w:w="80"/>
              <w:right w:type="dxa" w:w="100"/>
            </w:tcMar>
            <w:vAlign w:val="top"/>
          </w:tcPr>
          <w:p>
            <w:pPr>
              <w:spacing w:after="40"/>
            </w:pPr>
            <w:r>
              <w:rPr>
                <w:sz w:val="19"/>
                <w:szCs w:val="19"/>
              </w:rPr>
              <w:t xml:space="preserve">Groq — a multimodal, tool-calling model (see note below)</w:t>
            </w:r>
          </w:p>
        </w:tc>
        <w:tc>
          <w:tcPr>
            <w:tcW w:type="dxa" w:w="4260"/>
            <w:tcMar>
              <w:top w:type="dxa" w:w="80"/>
              <w:left w:type="dxa" w:w="100"/>
              <w:bottom w:type="dxa" w:w="80"/>
              <w:right w:type="dxa" w:w="100"/>
            </w:tcMar>
            <w:vAlign w:val="top"/>
          </w:tcPr>
          <w:p>
            <w:pPr>
              <w:spacing w:after="40"/>
            </w:pPr>
            <w:r>
              <w:rPr>
                <w:sz w:val="19"/>
                <w:szCs w:val="19"/>
              </w:rPr>
              <w:t xml:space="preserve">One model handles text reasoning, MCP-style tool calls, and image understanding when a screenshot tool result comes back. Using one model instead of routing vision to a separate service keeps orchestration to a single call per reasoning step.</w:t>
            </w:r>
          </w:p>
        </w:tc>
      </w:tr>
      <w:tr>
        <w:tc>
          <w:tcPr>
            <w:tcW w:type="dxa" w:w="2400"/>
            <w:tcMar>
              <w:top w:type="dxa" w:w="80"/>
              <w:left w:type="dxa" w:w="100"/>
              <w:bottom w:type="dxa" w:w="80"/>
              <w:right w:type="dxa" w:w="100"/>
            </w:tcMar>
            <w:vAlign w:val="top"/>
          </w:tcPr>
          <w:p>
            <w:pPr>
              <w:spacing w:after="40"/>
            </w:pPr>
            <w:r>
              <w:rPr>
                <w:sz w:val="19"/>
                <w:szCs w:val="19"/>
              </w:rPr>
              <w:t xml:space="preserve">Text-to-speech</w:t>
            </w:r>
          </w:p>
        </w:tc>
        <w:tc>
          <w:tcPr>
            <w:tcW w:type="dxa" w:w="2600"/>
            <w:tcMar>
              <w:top w:type="dxa" w:w="80"/>
              <w:left w:type="dxa" w:w="100"/>
              <w:bottom w:type="dxa" w:w="80"/>
              <w:right w:type="dxa" w:w="100"/>
            </w:tcMar>
            <w:vAlign w:val="top"/>
          </w:tcPr>
          <w:p>
            <w:pPr>
              <w:spacing w:after="40"/>
            </w:pPr>
            <w:r>
              <w:rPr>
                <w:sz w:val="19"/>
                <w:szCs w:val="19"/>
              </w:rPr>
              <w:t xml:space="preserve">Cartesia Sonic (primary) or Deepgram Aura-2 (fallback)</w:t>
            </w:r>
          </w:p>
        </w:tc>
        <w:tc>
          <w:tcPr>
            <w:tcW w:type="dxa" w:w="4260"/>
            <w:tcMar>
              <w:top w:type="dxa" w:w="80"/>
              <w:left w:type="dxa" w:w="100"/>
              <w:bottom w:type="dxa" w:w="80"/>
              <w:right w:type="dxa" w:w="100"/>
            </w:tcMar>
            <w:vAlign w:val="top"/>
          </w:tcPr>
          <w:p>
            <w:pPr>
              <w:spacing w:after="40"/>
            </w:pPr>
            <w:r>
              <w:rPr>
                <w:sz w:val="19"/>
                <w:szCs w:val="19"/>
              </w:rPr>
              <w:t xml:space="preserve">Cartesia Sonic streams with roughly 40–90ms time-to-first-audio, the fastest currently available. Deepgram Aura-2 is slower (~300ms) but is a reasonable single-vendor fallback if you're already using Deepgram elsewhere or want a documented HIPAA/SOC2-capable option for later.</w:t>
            </w:r>
          </w:p>
        </w:tc>
      </w:tr>
      <w:tr>
        <w:tc>
          <w:tcPr>
            <w:tcW w:type="dxa" w:w="2400"/>
            <w:tcMar>
              <w:top w:type="dxa" w:w="80"/>
              <w:left w:type="dxa" w:w="100"/>
              <w:bottom w:type="dxa" w:w="80"/>
              <w:right w:type="dxa" w:w="100"/>
            </w:tcMar>
            <w:vAlign w:val="top"/>
          </w:tcPr>
          <w:p>
            <w:pPr>
              <w:spacing w:after="40"/>
            </w:pPr>
            <w:r>
              <w:rPr>
                <w:sz w:val="19"/>
                <w:szCs w:val="19"/>
              </w:rPr>
              <w:t xml:space="preserve">Tool execution</w:t>
            </w:r>
          </w:p>
        </w:tc>
        <w:tc>
          <w:tcPr>
            <w:tcW w:type="dxa" w:w="2600"/>
            <w:tcMar>
              <w:top w:type="dxa" w:w="80"/>
              <w:left w:type="dxa" w:w="100"/>
              <w:bottom w:type="dxa" w:w="80"/>
              <w:right w:type="dxa" w:w="100"/>
            </w:tcMar>
            <w:vAlign w:val="top"/>
          </w:tcPr>
          <w:p>
            <w:pPr>
              <w:spacing w:after="40"/>
            </w:pPr>
            <w:r>
              <w:rPr>
                <w:sz w:val="19"/>
                <w:szCs w:val="19"/>
              </w:rPr>
              <w:t xml:space="preserve">Local Python functions exposed as tool schemas via Groq's native function-calling — not a standalone MCP server</w:t>
            </w:r>
          </w:p>
        </w:tc>
        <w:tc>
          <w:tcPr>
            <w:tcW w:type="dxa" w:w="4260"/>
            <w:tcMar>
              <w:top w:type="dxa" w:w="80"/>
              <w:left w:type="dxa" w:w="100"/>
              <w:bottom w:type="dxa" w:w="80"/>
              <w:right w:type="dxa" w:w="100"/>
            </w:tcMar>
            <w:vAlign w:val="top"/>
          </w:tcPr>
          <w:p>
            <w:pPr>
              <w:spacing w:after="40"/>
            </w:pPr>
            <w:r>
              <w:rPr>
                <w:sz w:val="19"/>
                <w:szCs w:val="19"/>
              </w:rPr>
              <w:t xml:space="preserve">For a single-user personal script, running an actual MCP server is unnecessary infrastructure. The tool contracts (Section 6) are written so they can be lifted into a real MCP server later without changing behavior — what matters for safety is the read-only contract, not the transport.</w:t>
            </w:r>
          </w:p>
        </w:tc>
      </w:tr>
    </w:tbl>
    <w:p>
      <w:pPr>
        <w:pBdr>
          <w:left w:val="single" w:color="2E5266" w:sz="12" w:space="8"/>
        </w:pBdr>
        <w:spacing w:after="200" w:before="60"/>
        <w:ind w:left="360"/>
      </w:pPr>
      <w:r>
        <w:rPr>
          <w:i/>
          <w:iCs/>
          <w:color w:val="555555"/>
        </w:rPr>
        <w:t xml:space="preserve">Model-name warning: Groq's model catalog changes fast. As of this document's research, Groq had already deprecated its previous multimodal pick (Llama 4 Scout) in favor of newer multimodal models with tool use and JSON mode. Do not hardcode a model string into this PRD as gospel — check console.groq.com/docs/models at build time and pick the current multimodal model that supports image input, tool calling, and JSON mode. Treat the model string as a config value, not a constant.</w:t>
      </w:r>
    </w:p>
    <w:p>
      <w:pPr>
        <w:pStyle w:val="Heading1"/>
        <w:spacing w:after="160" w:before="360"/>
      </w:pPr>
      <w:r>
        <w:t xml:space="preserve">3. Core Capabilities</w:t>
      </w:r>
    </w:p>
    <w:p>
      <w:pPr>
        <w:pStyle w:val="ListParagraph"/>
        <w:numPr>
          <w:ilvl w:val="0"/>
          <w:numId w:val="2"/>
        </w:numPr>
        <w:spacing w:after="80"/>
      </w:pPr>
      <w:r>
        <w:t xml:space="preserve">Voice interface: continuous microphone capture, gated by local VAD, transcribed per utterance via Groq Whisper Turbo, reasoned over by a Groq tool-calling LLM, and spoken back via Cartesia streaming TTS.</w:t>
      </w:r>
    </w:p>
    <w:p>
      <w:pPr>
        <w:pStyle w:val="ListParagraph"/>
        <w:numPr>
          <w:ilvl w:val="0"/>
          <w:numId w:val="2"/>
        </w:numPr>
        <w:spacing w:after="80"/>
      </w:pPr>
      <w:r>
        <w:t xml:space="preserve">On-demand screen vision: the agent's “eyes” are restricted to the active Kite browser window. A screenshot is captured only when the model calls the capture_screen tool — not continuously, not on a timer, not via a manual button.</w:t>
      </w:r>
    </w:p>
    <w:p>
      <w:pPr>
        <w:pStyle w:val="ListParagraph"/>
        <w:numPr>
          <w:ilvl w:val="0"/>
          <w:numId w:val="2"/>
        </w:numPr>
        <w:spacing w:after="80"/>
      </w:pPr>
      <w:r>
        <w:t xml:space="preserve">Tool execution (the “hands”): structured, read-only tools for live market data, historical candles, positions/holdings, news, and screen capture. No tool in this system is permitted to submit, modify, or cancel an order — enforced at the tool-definition level (Section 6), not by prompting the model to behave.</w:t>
      </w:r>
    </w:p>
    <w:p>
      <w:pPr>
        <w:pStyle w:val="ListParagraph"/>
        <w:numPr>
          <w:ilvl w:val="0"/>
          <w:numId w:val="2"/>
        </w:numPr>
        <w:spacing w:after="80"/>
      </w:pPr>
      <w:r>
        <w:t xml:space="preserve">Noise cancellation: a VAD and noise-suppression pass runs on the raw microphone stream before any audio is sent for transcription, so background noise doesn't get treated as a command or waste an API call.</w:t>
      </w:r>
    </w:p>
    <w:p>
      <w:pPr>
        <w:pStyle w:val="ListParagraph"/>
        <w:numPr>
          <w:ilvl w:val="0"/>
          <w:numId w:val="2"/>
        </w:numPr>
        <w:spacing w:after="80"/>
      </w:pPr>
      <w:r>
        <w:t xml:space="preserve">Computed technical indicators: Bollinger Bands, Fibonacci retracement, moving averages, and RSI, computed locally from historical price data — never delegated to the LLM to “calculate.”</w:t>
      </w:r>
    </w:p>
    <w:p>
      <w:pPr>
        <w:pBdr>
          <w:left w:val="single" w:color="2E5266" w:sz="12" w:space="8"/>
        </w:pBdr>
        <w:spacing w:after="200" w:before="60"/>
        <w:ind w:left="360"/>
      </w:pPr>
      <w:r>
        <w:rPr>
          <w:i/>
          <w:iCs/>
          <w:color w:val="555555"/>
        </w:rPr>
        <w:t xml:space="preserve">Access control note: this system does not independently verify who is speaking. It relies on the existing access boundary of the machine itself (unlocked device) and an active Kite login. Acceptable for a personal, read-only tool — revisit if this ever moves beyond single-user personal use.</w:t>
      </w:r>
    </w:p>
    <w:p>
      <w:pPr>
        <w:pStyle w:val="Heading1"/>
        <w:spacing w:after="160" w:before="360"/>
      </w:pPr>
      <w:r>
        <w:t xml:space="preserve">4. System Prompt &amp; Persona Specification</w:t>
      </w:r>
    </w:p>
    <w:p>
      <w:pPr>
        <w:spacing w:after="160"/>
      </w:pPr>
      <w:r>
        <w:t xml:space="preserve">v1.4 referenced a “thinking out loud” pattern and a spoken persona without ever specifying either. This is the highest-leverage artifact for a voice agent and cannot be left implicit — an AI coding assistant needs actual text to put in the system message, not a description of what the text should accomplish.</w:t>
      </w:r>
    </w:p>
    <w:p>
      <w:pPr>
        <w:pStyle w:val="Heading2"/>
        <w:spacing w:after="120" w:before="280"/>
      </w:pPr>
      <w:r>
        <w:t xml:space="preserve">4.1 Draft system prompt (starting point — iterate after real usage)</w:t>
      </w:r>
    </w:p>
    <w:p>
      <w:pPr>
        <w:pBdr>
          <w:left w:val="single" w:color="2E5266" w:sz="12" w:space="8"/>
        </w:pBdr>
        <w:spacing w:after="200" w:before="60"/>
        <w:ind w:left="360"/>
      </w:pPr>
      <w:r>
        <w:rPr>
          <w:i/>
          <w:iCs/>
          <w:color w:val="555555"/>
        </w:rPr>
        <w:t xml:space="preserve">You are a read-only voice assistant for a personal trading desk running Zerodha Kite. You observe market data, positions, and news — you never place, modify, or cancel orders, and you have no tool capable of doing so. Speak in short, natural sentences meant to be heard, not read — no bullet points, no markdown, no long lists of numbers without framing them. When you need to call a tool that will take a moment (a data pull or a search), say a brief natural acknowledgment first — e.g. “let me check that” or “one sec, pulling the chart” — before the tool result comes back, and vary the phrasing so it doesn't sound scripted. If you cannot see the relevant instrument on screen and the query depends on what's currently visible, call capture_screen rather than guessing. If a query is ambiguous about which instrument or timeframe is meant, ask a short clarifying question instead of assuming. Never speculate about account balances, holdings, or figures you have not retrieved from a tool in this turn.</w:t>
      </w:r>
    </w:p>
    <w:p>
      <w:pPr>
        <w:pStyle w:val="Heading2"/>
        <w:spacing w:after="120" w:before="280"/>
      </w:pPr>
      <w:r>
        <w:t xml:space="preserve">4.2 Persona constraints to enforce in testing</w:t>
      </w:r>
    </w:p>
    <w:p>
      <w:pPr>
        <w:pStyle w:val="ListParagraph"/>
        <w:numPr>
          <w:ilvl w:val="0"/>
          <w:numId w:val="2"/>
        </w:numPr>
        <w:spacing w:after="80"/>
      </w:pPr>
      <w:r>
        <w:t xml:space="preserve">Acknowledgment phrases must rotate — track the last 5 used and avoid repeats (Section 10 success metric).</w:t>
      </w:r>
    </w:p>
    <w:p>
      <w:pPr>
        <w:pStyle w:val="ListParagraph"/>
        <w:numPr>
          <w:ilvl w:val="0"/>
          <w:numId w:val="2"/>
        </w:numPr>
        <w:spacing w:after="80"/>
      </w:pPr>
      <w:r>
        <w:t xml:space="preserve">No unsolicited trading advice or opinions (“you should buy/sell”) — this is a read-only reporting tool, and the persona should not drift into advisory framing.</w:t>
      </w:r>
    </w:p>
    <w:p>
      <w:pPr>
        <w:pStyle w:val="ListParagraph"/>
        <w:numPr>
          <w:ilvl w:val="0"/>
          <w:numId w:val="2"/>
        </w:numPr>
        <w:spacing w:after="80"/>
      </w:pPr>
      <w:r>
        <w:t xml:space="preserve">When data is unavailable (market closed, instrument not found), the agent states that plainly rather than inventing a plausible-sounding number.</w:t>
      </w:r>
    </w:p>
    <w:p>
      <w:pPr>
        <w:pStyle w:val="Heading1"/>
        <w:spacing w:after="160" w:before="360"/>
      </w:pPr>
      <w:r>
        <w:t xml:space="preserve">5. Performance Targets</w:t>
      </w:r>
    </w:p>
    <w:p>
      <w:pPr>
        <w:spacing w:after="160"/>
      </w:pPr>
      <w:r>
        <w:t xml:space="preserve">These are recalculated for the cascaded architecture — the v1.4 numbers assumed a persistent socket that could begin speaking before any processing occurred, which no longer applies. A single “under 500ms” figure is still not meaningful once a tool call is involved.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60"/>
      </w:tblGrid>
      <w:tr>
        <w:trPr>
          <w:tblHeader/>
        </w:trPr>
        <w:tc>
          <w:tcPr>
            <w:tcW w:type="dxa" w:w="2600"/>
            <w:shd w:fill="2E5266" w:val="clear"/>
            <w:tcMar>
              <w:top w:type="dxa" w:w="80"/>
              <w:left w:type="dxa" w:w="100"/>
              <w:bottom w:type="dxa" w:w="80"/>
              <w:right w:type="dxa" w:w="100"/>
            </w:tcMar>
            <w:vAlign w:val="center"/>
          </w:tcPr>
          <w:p>
            <w:r>
              <w:rPr>
                <w:b/>
                <w:bCs/>
                <w:color w:val="FFFFFF"/>
                <w:sz w:val="20"/>
                <w:szCs w:val="20"/>
              </w:rPr>
              <w:t xml:space="preserve">Stage</w:t>
            </w:r>
          </w:p>
        </w:tc>
        <w:tc>
          <w:tcPr>
            <w:tcW w:type="dxa" w:w="1800"/>
            <w:shd w:fill="2E5266" w:val="clear"/>
            <w:tcMar>
              <w:top w:type="dxa" w:w="80"/>
              <w:left w:type="dxa" w:w="100"/>
              <w:bottom w:type="dxa" w:w="80"/>
              <w:right w:type="dxa" w:w="100"/>
            </w:tcMar>
            <w:vAlign w:val="center"/>
          </w:tcPr>
          <w:p>
            <w:r>
              <w:rPr>
                <w:b/>
                <w:bCs/>
                <w:color w:val="FFFFFF"/>
                <w:sz w:val="20"/>
                <w:szCs w:val="20"/>
              </w:rPr>
              <w:t xml:space="preserve">Target</w:t>
            </w:r>
          </w:p>
        </w:tc>
        <w:tc>
          <w:tcPr>
            <w:tcW w:type="dxa" w:w="4860"/>
            <w:shd w:fill="2E5266" w:val="clear"/>
            <w:tcMar>
              <w:top w:type="dxa" w:w="80"/>
              <w:left w:type="dxa" w:w="100"/>
              <w:bottom w:type="dxa" w:w="80"/>
              <w:right w:type="dxa" w:w="100"/>
            </w:tcMar>
            <w:vAlign w:val="center"/>
          </w:tcPr>
          <w:p>
            <w:r>
              <w:rPr>
                <w:b/>
                <w:bCs/>
                <w:color w:val="FFFFFF"/>
                <w:sz w:val="20"/>
                <w:szCs w:val="20"/>
              </w:rPr>
              <w:t xml:space="preserve">Notes</w:t>
            </w:r>
          </w:p>
        </w:tc>
      </w:tr>
      <w:tr>
        <w:tc>
          <w:tcPr>
            <w:tcW w:type="dxa" w:w="2600"/>
            <w:tcMar>
              <w:top w:type="dxa" w:w="80"/>
              <w:left w:type="dxa" w:w="100"/>
              <w:bottom w:type="dxa" w:w="80"/>
              <w:right w:type="dxa" w:w="100"/>
            </w:tcMar>
            <w:vAlign w:val="top"/>
          </w:tcPr>
          <w:p>
            <w:pPr>
              <w:spacing w:after="40"/>
            </w:pPr>
            <w:r>
              <w:rPr>
                <w:sz w:val="19"/>
                <w:szCs w:val="19"/>
              </w:rPr>
              <w:t xml:space="preserve">Noise suppression + VAD gate</w:t>
            </w:r>
          </w:p>
        </w:tc>
        <w:tc>
          <w:tcPr>
            <w:tcW w:type="dxa" w:w="1800"/>
            <w:tcMar>
              <w:top w:type="dxa" w:w="80"/>
              <w:left w:type="dxa" w:w="100"/>
              <w:bottom w:type="dxa" w:w="80"/>
              <w:right w:type="dxa" w:w="100"/>
            </w:tcMar>
            <w:vAlign w:val="top"/>
          </w:tcPr>
          <w:p>
            <w:pPr>
              <w:spacing w:after="40"/>
            </w:pPr>
            <w:r>
              <w:rPr>
                <w:sz w:val="19"/>
                <w:szCs w:val="19"/>
              </w:rPr>
              <w:t xml:space="preserve">&lt;100ms overhead per chunk</w:t>
            </w:r>
          </w:p>
        </w:tc>
        <w:tc>
          <w:tcPr>
            <w:tcW w:type="dxa" w:w="4860"/>
            <w:tcMar>
              <w:top w:type="dxa" w:w="80"/>
              <w:left w:type="dxa" w:w="100"/>
              <w:bottom w:type="dxa" w:w="80"/>
              <w:right w:type="dxa" w:w="100"/>
            </w:tcMar>
            <w:vAlign w:val="top"/>
          </w:tcPr>
          <w:p>
            <w:pPr>
              <w:spacing w:after="40"/>
            </w:pPr>
            <w:r>
              <w:rPr>
                <w:sz w:val="19"/>
                <w:szCs w:val="19"/>
              </w:rPr>
              <w:t xml:space="preserve">Runs before anything is sent anywhere; purely local compute.</w:t>
            </w:r>
          </w:p>
        </w:tc>
      </w:tr>
      <w:tr>
        <w:tc>
          <w:tcPr>
            <w:tcW w:type="dxa" w:w="2600"/>
            <w:tcMar>
              <w:top w:type="dxa" w:w="80"/>
              <w:left w:type="dxa" w:w="100"/>
              <w:bottom w:type="dxa" w:w="80"/>
              <w:right w:type="dxa" w:w="100"/>
            </w:tcMar>
            <w:vAlign w:val="top"/>
          </w:tcPr>
          <w:p>
            <w:pPr>
              <w:spacing w:after="40"/>
            </w:pPr>
            <w:r>
              <w:rPr>
                <w:sz w:val="19"/>
                <w:szCs w:val="19"/>
              </w:rPr>
              <w:t xml:space="preserve">Speech-to-text (Groq Whisper Turbo)</w:t>
            </w:r>
          </w:p>
        </w:tc>
        <w:tc>
          <w:tcPr>
            <w:tcW w:type="dxa" w:w="1800"/>
            <w:tcMar>
              <w:top w:type="dxa" w:w="80"/>
              <w:left w:type="dxa" w:w="100"/>
              <w:bottom w:type="dxa" w:w="80"/>
              <w:right w:type="dxa" w:w="100"/>
            </w:tcMar>
            <w:vAlign w:val="top"/>
          </w:tcPr>
          <w:p>
            <w:pPr>
              <w:spacing w:after="40"/>
            </w:pPr>
            <w:r>
              <w:rPr>
                <w:sz w:val="19"/>
                <w:szCs w:val="19"/>
              </w:rPr>
              <w:t xml:space="preserve">&lt;400ms</w:t>
            </w:r>
          </w:p>
        </w:tc>
        <w:tc>
          <w:tcPr>
            <w:tcW w:type="dxa" w:w="4860"/>
            <w:tcMar>
              <w:top w:type="dxa" w:w="80"/>
              <w:left w:type="dxa" w:w="100"/>
              <w:bottom w:type="dxa" w:w="80"/>
              <w:right w:type="dxa" w:w="100"/>
            </w:tcMar>
            <w:vAlign w:val="top"/>
          </w:tcPr>
          <w:p>
            <w:pPr>
              <w:spacing w:after="40"/>
            </w:pPr>
            <w:r>
              <w:rPr>
                <w:sz w:val="19"/>
                <w:szCs w:val="19"/>
              </w:rPr>
              <w:t xml:space="preserve">Includes network round-trip; compute itself is near-instant at 228x real-time.</w:t>
            </w:r>
          </w:p>
        </w:tc>
      </w:tr>
      <w:tr>
        <w:tc>
          <w:tcPr>
            <w:tcW w:type="dxa" w:w="2600"/>
            <w:tcMar>
              <w:top w:type="dxa" w:w="80"/>
              <w:left w:type="dxa" w:w="100"/>
              <w:bottom w:type="dxa" w:w="80"/>
              <w:right w:type="dxa" w:w="100"/>
            </w:tcMar>
            <w:vAlign w:val="top"/>
          </w:tcPr>
          <w:p>
            <w:pPr>
              <w:spacing w:after="40"/>
            </w:pPr>
            <w:r>
              <w:rPr>
                <w:sz w:val="19"/>
                <w:szCs w:val="19"/>
              </w:rPr>
              <w:t xml:space="preserve">First spoken acknowledgment</w:t>
            </w:r>
          </w:p>
        </w:tc>
        <w:tc>
          <w:tcPr>
            <w:tcW w:type="dxa" w:w="1800"/>
            <w:tcMar>
              <w:top w:type="dxa" w:w="80"/>
              <w:left w:type="dxa" w:w="100"/>
              <w:bottom w:type="dxa" w:w="80"/>
              <w:right w:type="dxa" w:w="100"/>
            </w:tcMar>
            <w:vAlign w:val="top"/>
          </w:tcPr>
          <w:p>
            <w:pPr>
              <w:spacing w:after="40"/>
            </w:pPr>
            <w:r>
              <w:rPr>
                <w:sz w:val="19"/>
                <w:szCs w:val="19"/>
              </w:rPr>
              <w:t xml:space="preserve">&lt;900ms from end of user speech</w:t>
            </w:r>
          </w:p>
        </w:tc>
        <w:tc>
          <w:tcPr>
            <w:tcW w:type="dxa" w:w="4860"/>
            <w:tcMar>
              <w:top w:type="dxa" w:w="80"/>
              <w:left w:type="dxa" w:w="100"/>
              <w:bottom w:type="dxa" w:w="80"/>
              <w:right w:type="dxa" w:w="100"/>
            </w:tcMar>
            <w:vAlign w:val="top"/>
          </w:tcPr>
          <w:p>
            <w:pPr>
              <w:spacing w:after="40"/>
            </w:pPr>
            <w:r>
              <w:rPr>
                <w:sz w:val="19"/>
                <w:szCs w:val="19"/>
              </w:rPr>
              <w:t xml:space="preserve">The agent must speak a short acknowledgment phrase (Section 4.1) immediately after the LLM's first response chunk decides a tool call is needed — generated and sent to TTS before waiting on the tool result.</w:t>
            </w:r>
          </w:p>
        </w:tc>
      </w:tr>
      <w:tr>
        <w:tc>
          <w:tcPr>
            <w:tcW w:type="dxa" w:w="2600"/>
            <w:tcMar>
              <w:top w:type="dxa" w:w="80"/>
              <w:left w:type="dxa" w:w="100"/>
              <w:bottom w:type="dxa" w:w="80"/>
              <w:right w:type="dxa" w:w="100"/>
            </w:tcMar>
            <w:vAlign w:val="top"/>
          </w:tcPr>
          <w:p>
            <w:pPr>
              <w:spacing w:after="40"/>
            </w:pPr>
            <w:r>
              <w:rPr>
                <w:sz w:val="19"/>
                <w:szCs w:val="19"/>
              </w:rPr>
              <w:t xml:space="preserve">Full answer — no tool call needed</w:t>
            </w:r>
          </w:p>
        </w:tc>
        <w:tc>
          <w:tcPr>
            <w:tcW w:type="dxa" w:w="1800"/>
            <w:tcMar>
              <w:top w:type="dxa" w:w="80"/>
              <w:left w:type="dxa" w:w="100"/>
              <w:bottom w:type="dxa" w:w="80"/>
              <w:right w:type="dxa" w:w="100"/>
            </w:tcMar>
            <w:vAlign w:val="top"/>
          </w:tcPr>
          <w:p>
            <w:pPr>
              <w:spacing w:after="40"/>
            </w:pPr>
            <w:r>
              <w:rPr>
                <w:sz w:val="19"/>
                <w:szCs w:val="19"/>
              </w:rPr>
              <w:t xml:space="preserve">&lt;1.5s</w:t>
            </w:r>
          </w:p>
        </w:tc>
        <w:tc>
          <w:tcPr>
            <w:tcW w:type="dxa" w:w="4860"/>
            <w:tcMar>
              <w:top w:type="dxa" w:w="80"/>
              <w:left w:type="dxa" w:w="100"/>
              <w:bottom w:type="dxa" w:w="80"/>
              <w:right w:type="dxa" w:w="100"/>
            </w:tcMar>
            <w:vAlign w:val="top"/>
          </w:tcPr>
          <w:p>
            <w:pPr>
              <w:spacing w:after="40"/>
            </w:pPr>
            <w:r>
              <w:rPr>
                <w:sz w:val="19"/>
                <w:szCs w:val="19"/>
              </w:rPr>
              <w:t xml:space="preserve">Data already established in conversation context; single LLM round-trip plus TTS.</w:t>
            </w:r>
          </w:p>
        </w:tc>
      </w:tr>
      <w:tr>
        <w:tc>
          <w:tcPr>
            <w:tcW w:type="dxa" w:w="2600"/>
            <w:tcMar>
              <w:top w:type="dxa" w:w="80"/>
              <w:left w:type="dxa" w:w="100"/>
              <w:bottom w:type="dxa" w:w="80"/>
              <w:right w:type="dxa" w:w="100"/>
            </w:tcMar>
            <w:vAlign w:val="top"/>
          </w:tcPr>
          <w:p>
            <w:pPr>
              <w:spacing w:after="40"/>
            </w:pPr>
            <w:r>
              <w:rPr>
                <w:sz w:val="19"/>
                <w:szCs w:val="19"/>
              </w:rPr>
              <w:t xml:space="preserve">Full answer — single Kite data pull</w:t>
            </w:r>
          </w:p>
        </w:tc>
        <w:tc>
          <w:tcPr>
            <w:tcW w:type="dxa" w:w="1800"/>
            <w:tcMar>
              <w:top w:type="dxa" w:w="80"/>
              <w:left w:type="dxa" w:w="100"/>
              <w:bottom w:type="dxa" w:w="80"/>
              <w:right w:type="dxa" w:w="100"/>
            </w:tcMar>
            <w:vAlign w:val="top"/>
          </w:tcPr>
          <w:p>
            <w:pPr>
              <w:spacing w:after="40"/>
            </w:pPr>
            <w:r>
              <w:rPr>
                <w:sz w:val="19"/>
                <w:szCs w:val="19"/>
              </w:rPr>
              <w:t xml:space="preserve">&lt;2.5s</w:t>
            </w:r>
          </w:p>
        </w:tc>
        <w:tc>
          <w:tcPr>
            <w:tcW w:type="dxa" w:w="4860"/>
            <w:tcMar>
              <w:top w:type="dxa" w:w="80"/>
              <w:left w:type="dxa" w:w="100"/>
              <w:bottom w:type="dxa" w:w="80"/>
              <w:right w:type="dxa" w:w="100"/>
            </w:tcMar>
            <w:vAlign w:val="top"/>
          </w:tcPr>
          <w:p>
            <w:pPr>
              <w:spacing w:after="40"/>
            </w:pPr>
            <w:r>
              <w:rPr>
                <w:sz w:val="19"/>
                <w:szCs w:val="19"/>
              </w:rPr>
              <w:t xml:space="preserve">STT + LLM (tool decision) + Kite API call + LLM (synthesis) + TTS.</w:t>
            </w:r>
          </w:p>
        </w:tc>
      </w:tr>
      <w:tr>
        <w:tc>
          <w:tcPr>
            <w:tcW w:type="dxa" w:w="2600"/>
            <w:tcMar>
              <w:top w:type="dxa" w:w="80"/>
              <w:left w:type="dxa" w:w="100"/>
              <w:bottom w:type="dxa" w:w="80"/>
              <w:right w:type="dxa" w:w="100"/>
            </w:tcMar>
            <w:vAlign w:val="top"/>
          </w:tcPr>
          <w:p>
            <w:pPr>
              <w:spacing w:after="40"/>
            </w:pPr>
            <w:r>
              <w:rPr>
                <w:sz w:val="19"/>
                <w:szCs w:val="19"/>
              </w:rPr>
              <w:t xml:space="preserve">Full answer — includes a screen capture</w:t>
            </w:r>
          </w:p>
        </w:tc>
        <w:tc>
          <w:tcPr>
            <w:tcW w:type="dxa" w:w="1800"/>
            <w:tcMar>
              <w:top w:type="dxa" w:w="80"/>
              <w:left w:type="dxa" w:w="100"/>
              <w:bottom w:type="dxa" w:w="80"/>
              <w:right w:type="dxa" w:w="100"/>
            </w:tcMar>
            <w:vAlign w:val="top"/>
          </w:tcPr>
          <w:p>
            <w:pPr>
              <w:spacing w:after="40"/>
            </w:pPr>
            <w:r>
              <w:rPr>
                <w:sz w:val="19"/>
                <w:szCs w:val="19"/>
              </w:rPr>
              <w:t xml:space="preserve">&lt;3s</w:t>
            </w:r>
          </w:p>
        </w:tc>
        <w:tc>
          <w:tcPr>
            <w:tcW w:type="dxa" w:w="4860"/>
            <w:tcMar>
              <w:top w:type="dxa" w:w="80"/>
              <w:left w:type="dxa" w:w="100"/>
              <w:bottom w:type="dxa" w:w="80"/>
              <w:right w:type="dxa" w:w="100"/>
            </w:tcMar>
            <w:vAlign w:val="top"/>
          </w:tcPr>
          <w:p>
            <w:pPr>
              <w:spacing w:after="40"/>
            </w:pPr>
            <w:r>
              <w:rPr>
                <w:sz w:val="19"/>
                <w:szCs w:val="19"/>
              </w:rPr>
              <w:t xml:space="preserve">Adds one local capture (~150ms) plus one additional vision-LLM round-trip.</w:t>
            </w:r>
          </w:p>
        </w:tc>
      </w:tr>
      <w:tr>
        <w:tc>
          <w:tcPr>
            <w:tcW w:type="dxa" w:w="2600"/>
            <w:tcMar>
              <w:top w:type="dxa" w:w="80"/>
              <w:left w:type="dxa" w:w="100"/>
              <w:bottom w:type="dxa" w:w="80"/>
              <w:right w:type="dxa" w:w="100"/>
            </w:tcMar>
            <w:vAlign w:val="top"/>
          </w:tcPr>
          <w:p>
            <w:pPr>
              <w:spacing w:after="40"/>
            </w:pPr>
            <w:r>
              <w:rPr>
                <w:sz w:val="19"/>
                <w:szCs w:val="19"/>
              </w:rPr>
              <w:t xml:space="preserve">Full answer — includes a Tavily web search</w:t>
            </w:r>
          </w:p>
        </w:tc>
        <w:tc>
          <w:tcPr>
            <w:tcW w:type="dxa" w:w="1800"/>
            <w:tcMar>
              <w:top w:type="dxa" w:w="80"/>
              <w:left w:type="dxa" w:w="100"/>
              <w:bottom w:type="dxa" w:w="80"/>
              <w:right w:type="dxa" w:w="100"/>
            </w:tcMar>
            <w:vAlign w:val="top"/>
          </w:tcPr>
          <w:p>
            <w:pPr>
              <w:spacing w:after="40"/>
            </w:pPr>
            <w:r>
              <w:rPr>
                <w:sz w:val="19"/>
                <w:szCs w:val="19"/>
              </w:rPr>
              <w:t xml:space="preserve">&lt;4.5s</w:t>
            </w:r>
          </w:p>
        </w:tc>
        <w:tc>
          <w:tcPr>
            <w:tcW w:type="dxa" w:w="4860"/>
            <w:tcMar>
              <w:top w:type="dxa" w:w="80"/>
              <w:left w:type="dxa" w:w="100"/>
              <w:bottom w:type="dxa" w:w="80"/>
              <w:right w:type="dxa" w:w="100"/>
            </w:tcMar>
            <w:vAlign w:val="top"/>
          </w:tcPr>
          <w:p>
            <w:pPr>
              <w:spacing w:after="40"/>
            </w:pPr>
            <w:r>
              <w:rPr>
                <w:sz w:val="19"/>
                <w:szCs w:val="19"/>
              </w:rPr>
              <w:t xml:space="preserve">Search latency is the dominant, least controllable factor here.</w:t>
            </w:r>
          </w:p>
        </w:tc>
      </w:tr>
      <w:tr>
        <w:tc>
          <w:tcPr>
            <w:tcW w:type="dxa" w:w="2600"/>
            <w:tcMar>
              <w:top w:type="dxa" w:w="80"/>
              <w:left w:type="dxa" w:w="100"/>
              <w:bottom w:type="dxa" w:w="80"/>
              <w:right w:type="dxa" w:w="100"/>
            </w:tcMar>
            <w:vAlign w:val="top"/>
          </w:tcPr>
          <w:p>
            <w:pPr>
              <w:spacing w:after="40"/>
            </w:pPr>
            <w:r>
              <w:rPr>
                <w:sz w:val="19"/>
                <w:szCs w:val="19"/>
              </w:rPr>
              <w:t xml:space="preserve">Barge-in interrupt</w:t>
            </w:r>
          </w:p>
        </w:tc>
        <w:tc>
          <w:tcPr>
            <w:tcW w:type="dxa" w:w="1800"/>
            <w:tcMar>
              <w:top w:type="dxa" w:w="80"/>
              <w:left w:type="dxa" w:w="100"/>
              <w:bottom w:type="dxa" w:w="80"/>
              <w:right w:type="dxa" w:w="100"/>
            </w:tcMar>
            <w:vAlign w:val="top"/>
          </w:tcPr>
          <w:p>
            <w:pPr>
              <w:spacing w:after="40"/>
            </w:pPr>
            <w:r>
              <w:rPr>
                <w:sz w:val="19"/>
                <w:szCs w:val="19"/>
              </w:rPr>
              <w:t xml:space="preserve">&lt;300ms</w:t>
            </w:r>
          </w:p>
        </w:tc>
        <w:tc>
          <w:tcPr>
            <w:tcW w:type="dxa" w:w="4860"/>
            <w:tcMar>
              <w:top w:type="dxa" w:w="80"/>
              <w:left w:type="dxa" w:w="100"/>
              <w:bottom w:type="dxa" w:w="80"/>
              <w:right w:type="dxa" w:w="100"/>
            </w:tcMar>
            <w:vAlign w:val="top"/>
          </w:tcPr>
          <w:p>
            <w:pPr>
              <w:spacing w:after="40"/>
            </w:pPr>
            <w:r>
              <w:rPr>
                <w:sz w:val="19"/>
                <w:szCs w:val="19"/>
              </w:rPr>
              <w:t xml:space="preserve">Purely local: VAD detects speech during playback and halts the audio stream immediately. Unaffected by backend architecture.</w:t>
            </w:r>
          </w:p>
        </w:tc>
      </w:tr>
    </w:tbl>
    <w:p>
      <w:pPr>
        <w:pBdr>
          <w:left w:val="single" w:color="2E5266" w:sz="12" w:space="8"/>
        </w:pBdr>
        <w:spacing w:after="200" w:before="60"/>
        <w:ind w:left="360"/>
      </w:pPr>
      <w:r>
        <w:rPr>
          <w:i/>
          <w:iCs/>
          <w:color w:val="555555"/>
        </w:rPr>
        <w:t xml:space="preserve">These are prototype-stage targets to validate against real usage, not SLAs — revisit once you have logged real turns (Section 9).</w:t>
      </w:r>
    </w:p>
    <w:p>
      <w:pPr>
        <w:pStyle w:val="Heading1"/>
        <w:spacing w:after="160" w:before="360"/>
      </w:pPr>
      <w:r>
        <w:t xml:space="preserve">6. Tool Inventory (Read-Only)</w:t>
      </w:r>
    </w:p>
    <w:p>
      <w:pPr>
        <w:spacing w:after="160"/>
      </w:pPr>
      <w:r>
        <w:t xml:space="preserve">This is the complete list of tools available to the reasoning LLM. This table was blank in v1.4 — it is the single most important part of this document, since it defines everything the agent can actually do. No tool should be added without a deliberate review confirming it remains read-only.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2400"/>
        <w:gridCol w:w="3010"/>
      </w:tblGrid>
      <w:tr>
        <w:trPr>
          <w:tblHeader/>
        </w:trPr>
        <w:tc>
          <w:tcPr>
            <w:tcW w:type="dxa" w:w="1750"/>
            <w:shd w:fill="2E5266" w:val="clear"/>
            <w:tcMar>
              <w:top w:type="dxa" w:w="80"/>
              <w:left w:type="dxa" w:w="100"/>
              <w:bottom w:type="dxa" w:w="80"/>
              <w:right w:type="dxa" w:w="100"/>
            </w:tcMar>
            <w:vAlign w:val="center"/>
          </w:tcPr>
          <w:p>
            <w:r>
              <w:rPr>
                <w:b/>
                <w:bCs/>
                <w:color w:val="FFFFFF"/>
                <w:sz w:val="20"/>
                <w:szCs w:val="20"/>
              </w:rPr>
              <w:t xml:space="preserve">Tool</w:t>
            </w:r>
          </w:p>
        </w:tc>
        <w:tc>
          <w:tcPr>
            <w:tcW w:type="dxa" w:w="2100"/>
            <w:shd w:fill="2E5266" w:val="clear"/>
            <w:tcMar>
              <w:top w:type="dxa" w:w="80"/>
              <w:left w:type="dxa" w:w="100"/>
              <w:bottom w:type="dxa" w:w="80"/>
              <w:right w:type="dxa" w:w="100"/>
            </w:tcMar>
            <w:vAlign w:val="center"/>
          </w:tcPr>
          <w:p>
            <w:r>
              <w:rPr>
                <w:b/>
                <w:bCs/>
                <w:color w:val="FFFFFF"/>
                <w:sz w:val="20"/>
                <w:szCs w:val="20"/>
              </w:rPr>
              <w:t xml:space="preserve">Source / Endpoint</w:t>
            </w:r>
          </w:p>
        </w:tc>
        <w:tc>
          <w:tcPr>
            <w:tcW w:type="dxa" w:w="2400"/>
            <w:shd w:fill="2E5266" w:val="clear"/>
            <w:tcMar>
              <w:top w:type="dxa" w:w="80"/>
              <w:left w:type="dxa" w:w="100"/>
              <w:bottom w:type="dxa" w:w="80"/>
              <w:right w:type="dxa" w:w="100"/>
            </w:tcMar>
            <w:vAlign w:val="center"/>
          </w:tcPr>
          <w:p>
            <w:r>
              <w:rPr>
                <w:b/>
                <w:bCs/>
                <w:color w:val="FFFFFF"/>
                <w:sz w:val="20"/>
                <w:szCs w:val="20"/>
              </w:rPr>
              <w:t xml:space="preserve">Returns</w:t>
            </w:r>
          </w:p>
        </w:tc>
        <w:tc>
          <w:tcPr>
            <w:tcW w:type="dxa" w:w="3010"/>
            <w:shd w:fill="2E5266" w:val="clear"/>
            <w:tcMar>
              <w:top w:type="dxa" w:w="80"/>
              <w:left w:type="dxa" w:w="100"/>
              <w:bottom w:type="dxa" w:w="80"/>
              <w:right w:type="dxa" w:w="100"/>
            </w:tcMar>
            <w:vAlign w:val="center"/>
          </w:tcPr>
          <w:p>
            <w:r>
              <w:rPr>
                <w:b/>
                <w:bCs/>
                <w:color w:val="FFFFFF"/>
                <w:sz w:val="20"/>
                <w:szCs w:val="20"/>
              </w:rPr>
              <w:t xml:space="preserve">Error behavior</w:t>
            </w:r>
          </w:p>
        </w:tc>
      </w:tr>
      <w:tr>
        <w:tc>
          <w:tcPr>
            <w:tcW w:type="dxa" w:w="1750"/>
            <w:tcMar>
              <w:top w:type="dxa" w:w="80"/>
              <w:left w:type="dxa" w:w="100"/>
              <w:bottom w:type="dxa" w:w="80"/>
              <w:right w:type="dxa" w:w="100"/>
            </w:tcMar>
            <w:vAlign w:val="top"/>
          </w:tcPr>
          <w:p>
            <w:pPr>
              <w:spacing w:after="40"/>
            </w:pPr>
            <w:r>
              <w:rPr>
                <w:sz w:val="19"/>
                <w:szCs w:val="19"/>
              </w:rPr>
              <w:t xml:space="preserve">get_quote(symbol)</w:t>
            </w:r>
          </w:p>
        </w:tc>
        <w:tc>
          <w:tcPr>
            <w:tcW w:type="dxa" w:w="2100"/>
            <w:tcMar>
              <w:top w:type="dxa" w:w="80"/>
              <w:left w:type="dxa" w:w="100"/>
              <w:bottom w:type="dxa" w:w="80"/>
              <w:right w:type="dxa" w:w="100"/>
            </w:tcMar>
            <w:vAlign w:val="top"/>
          </w:tcPr>
          <w:p>
            <w:pPr>
              <w:spacing w:after="40"/>
            </w:pPr>
            <w:r>
              <w:rPr>
                <w:sz w:val="19"/>
                <w:szCs w:val="19"/>
              </w:rPr>
              <w:t xml:space="preserve">Kite Connect — LTP/quote endpoint (GET, read-only)</w:t>
            </w:r>
          </w:p>
        </w:tc>
        <w:tc>
          <w:tcPr>
            <w:tcW w:type="dxa" w:w="2400"/>
            <w:tcMar>
              <w:top w:type="dxa" w:w="80"/>
              <w:left w:type="dxa" w:w="100"/>
              <w:bottom w:type="dxa" w:w="80"/>
              <w:right w:type="dxa" w:w="100"/>
            </w:tcMar>
            <w:vAlign w:val="top"/>
          </w:tcPr>
          <w:p>
            <w:pPr>
              <w:spacing w:after="40"/>
            </w:pPr>
            <w:r>
              <w:rPr>
                <w:sz w:val="19"/>
                <w:szCs w:val="19"/>
              </w:rPr>
              <w:t xml:space="preserve">Last traded price, day open/high/low/close, volume</w:t>
            </w:r>
          </w:p>
        </w:tc>
        <w:tc>
          <w:tcPr>
            <w:tcW w:type="dxa" w:w="3010"/>
            <w:tcMar>
              <w:top w:type="dxa" w:w="80"/>
              <w:left w:type="dxa" w:w="100"/>
              <w:bottom w:type="dxa" w:w="80"/>
              <w:right w:type="dxa" w:w="100"/>
            </w:tcMar>
            <w:vAlign w:val="top"/>
          </w:tcPr>
          <w:p>
            <w:pPr>
              <w:spacing w:after="40"/>
            </w:pPr>
            <w:r>
              <w:rPr>
                <w:sz w:val="19"/>
                <w:szCs w:val="19"/>
              </w:rPr>
              <w:t xml:space="preserve">401 → speak “session expired, please log in again” and exit cleanly. 429 → back off and inform user verbally. Empty/stale → state data unavailable, mention markets may be closed.</w:t>
            </w:r>
          </w:p>
        </w:tc>
      </w:tr>
      <w:tr>
        <w:tc>
          <w:tcPr>
            <w:tcW w:type="dxa" w:w="1750"/>
            <w:tcMar>
              <w:top w:type="dxa" w:w="80"/>
              <w:left w:type="dxa" w:w="100"/>
              <w:bottom w:type="dxa" w:w="80"/>
              <w:right w:type="dxa" w:w="100"/>
            </w:tcMar>
            <w:vAlign w:val="top"/>
          </w:tcPr>
          <w:p>
            <w:pPr>
              <w:spacing w:after="40"/>
            </w:pPr>
            <w:r>
              <w:rPr>
                <w:sz w:val="19"/>
                <w:szCs w:val="19"/>
              </w:rPr>
              <w:t xml:space="preserve">get_ohlc_history(symbol, interval, from, to)</w:t>
            </w:r>
          </w:p>
        </w:tc>
        <w:tc>
          <w:tcPr>
            <w:tcW w:type="dxa" w:w="2100"/>
            <w:tcMar>
              <w:top w:type="dxa" w:w="80"/>
              <w:left w:type="dxa" w:w="100"/>
              <w:bottom w:type="dxa" w:w="80"/>
              <w:right w:type="dxa" w:w="100"/>
            </w:tcMar>
            <w:vAlign w:val="top"/>
          </w:tcPr>
          <w:p>
            <w:pPr>
              <w:spacing w:after="40"/>
            </w:pPr>
            <w:r>
              <w:rPr>
                <w:sz w:val="19"/>
                <w:szCs w:val="19"/>
              </w:rPr>
              <w:t xml:space="preserve">Kite Connect — historical data endpoint (GET, read-only)</w:t>
            </w:r>
          </w:p>
        </w:tc>
        <w:tc>
          <w:tcPr>
            <w:tcW w:type="dxa" w:w="2400"/>
            <w:tcMar>
              <w:top w:type="dxa" w:w="80"/>
              <w:left w:type="dxa" w:w="100"/>
              <w:bottom w:type="dxa" w:w="80"/>
              <w:right w:type="dxa" w:w="100"/>
            </w:tcMar>
            <w:vAlign w:val="top"/>
          </w:tcPr>
          <w:p>
            <w:pPr>
              <w:spacing w:after="40"/>
            </w:pPr>
            <w:r>
              <w:rPr>
                <w:sz w:val="19"/>
                <w:szCs w:val="19"/>
              </w:rPr>
              <w:t xml:space="preserve">OHLC candle series for the requested window</w:t>
            </w:r>
          </w:p>
        </w:tc>
        <w:tc>
          <w:tcPr>
            <w:tcW w:type="dxa" w:w="3010"/>
            <w:tcMar>
              <w:top w:type="dxa" w:w="80"/>
              <w:left w:type="dxa" w:w="100"/>
              <w:bottom w:type="dxa" w:w="80"/>
              <w:right w:type="dxa" w:w="100"/>
            </w:tcMar>
            <w:vAlign w:val="top"/>
          </w:tcPr>
          <w:p>
            <w:pPr>
              <w:spacing w:after="40"/>
            </w:pPr>
            <w:r>
              <w:rPr>
                <w:sz w:val="19"/>
                <w:szCs w:val="19"/>
              </w:rPr>
              <w:t xml:space="preserve">Same as above. Additionally: expired options contracts are unsupported by this endpoint — agent states that history isn't available for that instrument rather than failing silently.</w:t>
            </w:r>
          </w:p>
        </w:tc>
      </w:tr>
      <w:tr>
        <w:tc>
          <w:tcPr>
            <w:tcW w:type="dxa" w:w="1750"/>
            <w:tcMar>
              <w:top w:type="dxa" w:w="80"/>
              <w:left w:type="dxa" w:w="100"/>
              <w:bottom w:type="dxa" w:w="80"/>
              <w:right w:type="dxa" w:w="100"/>
            </w:tcMar>
            <w:vAlign w:val="top"/>
          </w:tcPr>
          <w:p>
            <w:pPr>
              <w:spacing w:after="40"/>
            </w:pPr>
            <w:r>
              <w:rPr>
                <w:sz w:val="19"/>
                <w:szCs w:val="19"/>
              </w:rPr>
              <w:t xml:space="preserve">compute_indicator(symbol, indicator, params)</w:t>
            </w:r>
          </w:p>
        </w:tc>
        <w:tc>
          <w:tcPr>
            <w:tcW w:type="dxa" w:w="2100"/>
            <w:tcMar>
              <w:top w:type="dxa" w:w="80"/>
              <w:left w:type="dxa" w:w="100"/>
              <w:bottom w:type="dxa" w:w="80"/>
              <w:right w:type="dxa" w:w="100"/>
            </w:tcMar>
            <w:vAlign w:val="top"/>
          </w:tcPr>
          <w:p>
            <w:pPr>
              <w:spacing w:after="40"/>
            </w:pPr>
            <w:r>
              <w:rPr>
                <w:sz w:val="19"/>
                <w:szCs w:val="19"/>
              </w:rPr>
              <w:t xml:space="preserve">Local — pandas / numpy / ta, operating on get_ohlc_history output</w:t>
            </w:r>
          </w:p>
        </w:tc>
        <w:tc>
          <w:tcPr>
            <w:tcW w:type="dxa" w:w="2400"/>
            <w:tcMar>
              <w:top w:type="dxa" w:w="80"/>
              <w:left w:type="dxa" w:w="100"/>
              <w:bottom w:type="dxa" w:w="80"/>
              <w:right w:type="dxa" w:w="100"/>
            </w:tcMar>
            <w:vAlign w:val="top"/>
          </w:tcPr>
          <w:p>
            <w:pPr>
              <w:spacing w:after="40"/>
            </w:pPr>
            <w:r>
              <w:rPr>
                <w:sz w:val="19"/>
                <w:szCs w:val="19"/>
              </w:rPr>
              <w:t xml:space="preserve">Bollinger Bands, Fibonacci retracement, moving averages, or RSI values</w:t>
            </w:r>
          </w:p>
        </w:tc>
        <w:tc>
          <w:tcPr>
            <w:tcW w:type="dxa" w:w="3010"/>
            <w:tcMar>
              <w:top w:type="dxa" w:w="80"/>
              <w:left w:type="dxa" w:w="100"/>
              <w:bottom w:type="dxa" w:w="80"/>
              <w:right w:type="dxa" w:w="100"/>
            </w:tcMar>
            <w:vAlign w:val="top"/>
          </w:tcPr>
          <w:p>
            <w:pPr>
              <w:spacing w:after="40"/>
            </w:pPr>
            <w:r>
              <w:rPr>
                <w:sz w:val="19"/>
                <w:szCs w:val="19"/>
              </w:rPr>
              <w:t xml:space="preserve">Not an external call — fails only if the underlying history pull failed (propagate that error) or if fewer candles are available than the indicator requires (state this explicitly, don't compute on insufficient data).</w:t>
            </w:r>
          </w:p>
        </w:tc>
      </w:tr>
      <w:tr>
        <w:tc>
          <w:tcPr>
            <w:tcW w:type="dxa" w:w="1750"/>
            <w:tcMar>
              <w:top w:type="dxa" w:w="80"/>
              <w:left w:type="dxa" w:w="100"/>
              <w:bottom w:type="dxa" w:w="80"/>
              <w:right w:type="dxa" w:w="100"/>
            </w:tcMar>
            <w:vAlign w:val="top"/>
          </w:tcPr>
          <w:p>
            <w:pPr>
              <w:spacing w:after="40"/>
            </w:pPr>
            <w:r>
              <w:rPr>
                <w:sz w:val="19"/>
                <w:szCs w:val="19"/>
              </w:rPr>
              <w:t xml:space="preserve">get_positions_holdings()</w:t>
            </w:r>
          </w:p>
        </w:tc>
        <w:tc>
          <w:tcPr>
            <w:tcW w:type="dxa" w:w="2100"/>
            <w:tcMar>
              <w:top w:type="dxa" w:w="80"/>
              <w:left w:type="dxa" w:w="100"/>
              <w:bottom w:type="dxa" w:w="80"/>
              <w:right w:type="dxa" w:w="100"/>
            </w:tcMar>
            <w:vAlign w:val="top"/>
          </w:tcPr>
          <w:p>
            <w:pPr>
              <w:spacing w:after="40"/>
            </w:pPr>
            <w:r>
              <w:rPr>
                <w:sz w:val="19"/>
                <w:szCs w:val="19"/>
              </w:rPr>
              <w:t xml:space="preserve">Kite Connect — positions/holdings endpoint (GET, read-only)</w:t>
            </w:r>
          </w:p>
        </w:tc>
        <w:tc>
          <w:tcPr>
            <w:tcW w:type="dxa" w:w="2400"/>
            <w:tcMar>
              <w:top w:type="dxa" w:w="80"/>
              <w:left w:type="dxa" w:w="100"/>
              <w:bottom w:type="dxa" w:w="80"/>
              <w:right w:type="dxa" w:w="100"/>
            </w:tcMar>
            <w:vAlign w:val="top"/>
          </w:tcPr>
          <w:p>
            <w:pPr>
              <w:spacing w:after="40"/>
            </w:pPr>
            <w:r>
              <w:rPr>
                <w:sz w:val="19"/>
                <w:szCs w:val="19"/>
              </w:rPr>
              <w:t xml:space="preserve">Current holdings and positions, for verbal reporting or on-screen display only</w:t>
            </w:r>
          </w:p>
        </w:tc>
        <w:tc>
          <w:tcPr>
            <w:tcW w:type="dxa" w:w="3010"/>
            <w:tcMar>
              <w:top w:type="dxa" w:w="80"/>
              <w:left w:type="dxa" w:w="100"/>
              <w:bottom w:type="dxa" w:w="80"/>
              <w:right w:type="dxa" w:w="100"/>
            </w:tcMar>
            <w:vAlign w:val="top"/>
          </w:tcPr>
          <w:p>
            <w:pPr>
              <w:spacing w:after="40"/>
            </w:pPr>
            <w:r>
              <w:rPr>
                <w:sz w:val="19"/>
                <w:szCs w:val="19"/>
              </w:rPr>
              <w:t xml:space="preserve">Same retry/backoff pattern as get_quote. Never pass this data into get_news.</w:t>
            </w:r>
          </w:p>
        </w:tc>
      </w:tr>
      <w:tr>
        <w:tc>
          <w:tcPr>
            <w:tcW w:type="dxa" w:w="1750"/>
            <w:tcMar>
              <w:top w:type="dxa" w:w="80"/>
              <w:left w:type="dxa" w:w="100"/>
              <w:bottom w:type="dxa" w:w="80"/>
              <w:right w:type="dxa" w:w="100"/>
            </w:tcMar>
            <w:vAlign w:val="top"/>
          </w:tcPr>
          <w:p>
            <w:pPr>
              <w:spacing w:after="40"/>
            </w:pPr>
            <w:r>
              <w:rPr>
                <w:sz w:val="19"/>
                <w:szCs w:val="19"/>
              </w:rPr>
              <w:t xml:space="preserve">get_news(query)</w:t>
            </w:r>
          </w:p>
        </w:tc>
        <w:tc>
          <w:tcPr>
            <w:tcW w:type="dxa" w:w="2100"/>
            <w:tcMar>
              <w:top w:type="dxa" w:w="80"/>
              <w:left w:type="dxa" w:w="100"/>
              <w:bottom w:type="dxa" w:w="80"/>
              <w:right w:type="dxa" w:w="100"/>
            </w:tcMar>
            <w:vAlign w:val="top"/>
          </w:tcPr>
          <w:p>
            <w:pPr>
              <w:spacing w:after="40"/>
            </w:pPr>
            <w:r>
              <w:rPr>
                <w:sz w:val="19"/>
                <w:szCs w:val="19"/>
              </w:rPr>
              <w:t xml:space="preserve">Tavily search API (read-only)</w:t>
            </w:r>
          </w:p>
        </w:tc>
        <w:tc>
          <w:tcPr>
            <w:tcW w:type="dxa" w:w="2400"/>
            <w:tcMar>
              <w:top w:type="dxa" w:w="80"/>
              <w:left w:type="dxa" w:w="100"/>
              <w:bottom w:type="dxa" w:w="80"/>
              <w:right w:type="dxa" w:w="100"/>
            </w:tcMar>
            <w:vAlign w:val="top"/>
          </w:tcPr>
          <w:p>
            <w:pPr>
              <w:spacing w:after="40"/>
            </w:pPr>
            <w:r>
              <w:rPr>
                <w:sz w:val="19"/>
                <w:szCs w:val="19"/>
              </w:rPr>
              <w:t xml:space="preserve">Recent headlines and short summaries relevant to the query</w:t>
            </w:r>
          </w:p>
        </w:tc>
        <w:tc>
          <w:tcPr>
            <w:tcW w:type="dxa" w:w="3010"/>
            <w:tcMar>
              <w:top w:type="dxa" w:w="80"/>
              <w:left w:type="dxa" w:w="100"/>
              <w:bottom w:type="dxa" w:w="80"/>
              <w:right w:type="dxa" w:w="100"/>
            </w:tcMar>
            <w:vAlign w:val="top"/>
          </w:tcPr>
          <w:p>
            <w:pPr>
              <w:spacing w:after="40"/>
            </w:pPr>
            <w:r>
              <w:rPr>
                <w:sz w:val="19"/>
                <w:szCs w:val="19"/>
              </w:rPr>
              <w:t xml:space="preserve">Degrade gracefully — on failure, state that the search didn't return results rather than blocking the rest of the answer. Enforce at the call site: query text must never include account balances, holdings, or other account-specific data.</w:t>
            </w:r>
          </w:p>
        </w:tc>
      </w:tr>
      <w:tr>
        <w:tc>
          <w:tcPr>
            <w:tcW w:type="dxa" w:w="1750"/>
            <w:tcMar>
              <w:top w:type="dxa" w:w="80"/>
              <w:left w:type="dxa" w:w="100"/>
              <w:bottom w:type="dxa" w:w="80"/>
              <w:right w:type="dxa" w:w="100"/>
            </w:tcMar>
            <w:vAlign w:val="top"/>
          </w:tcPr>
          <w:p>
            <w:pPr>
              <w:spacing w:after="40"/>
            </w:pPr>
            <w:r>
              <w:rPr>
                <w:sz w:val="19"/>
                <w:szCs w:val="19"/>
              </w:rPr>
              <w:t xml:space="preserve">capture_screen()</w:t>
            </w:r>
          </w:p>
        </w:tc>
        <w:tc>
          <w:tcPr>
            <w:tcW w:type="dxa" w:w="2100"/>
            <w:tcMar>
              <w:top w:type="dxa" w:w="80"/>
              <w:left w:type="dxa" w:w="100"/>
              <w:bottom w:type="dxa" w:w="80"/>
              <w:right w:type="dxa" w:w="100"/>
            </w:tcMar>
            <w:vAlign w:val="top"/>
          </w:tcPr>
          <w:p>
            <w:pPr>
              <w:spacing w:after="40"/>
            </w:pPr>
            <w:r>
              <w:rPr>
                <w:sz w:val="19"/>
                <w:szCs w:val="19"/>
              </w:rPr>
              <w:t xml:space="preserve">Local — mss + pygetwindow (Windows) / AppKit (macOS), cropped to the active Kite browser window</w:t>
            </w:r>
          </w:p>
        </w:tc>
        <w:tc>
          <w:tcPr>
            <w:tcW w:type="dxa" w:w="2400"/>
            <w:tcMar>
              <w:top w:type="dxa" w:w="80"/>
              <w:left w:type="dxa" w:w="100"/>
              <w:bottom w:type="dxa" w:w="80"/>
              <w:right w:type="dxa" w:w="100"/>
            </w:tcMar>
            <w:vAlign w:val="top"/>
          </w:tcPr>
          <w:p>
            <w:pPr>
              <w:spacing w:after="40"/>
            </w:pPr>
            <w:r>
              <w:rPr>
                <w:sz w:val="19"/>
                <w:szCs w:val="19"/>
              </w:rPr>
              <w:t xml:space="preserve">A single base64 JPEG frame of the bounded window</w:t>
            </w:r>
          </w:p>
        </w:tc>
        <w:tc>
          <w:tcPr>
            <w:tcW w:type="dxa" w:w="3010"/>
            <w:tcMar>
              <w:top w:type="dxa" w:w="80"/>
              <w:left w:type="dxa" w:w="100"/>
              <w:bottom w:type="dxa" w:w="80"/>
              <w:right w:type="dxa" w:w="100"/>
            </w:tcMar>
            <w:vAlign w:val="top"/>
          </w:tcPr>
          <w:p>
            <w:pPr>
              <w:spacing w:after="40"/>
            </w:pPr>
            <w:r>
              <w:rPr>
                <w:sz w:val="19"/>
                <w:szCs w:val="19"/>
              </w:rPr>
              <w:t xml:space="preserve">If the Kite window can't be located, return an explicit “window not found” result (not a blank image) so the agent can say “I can't find the Kite window — is it open?” instead of guessing from a stale or empty frame.</w:t>
            </w:r>
          </w:p>
        </w:tc>
      </w:tr>
    </w:tbl>
    <w:p>
      <w:pPr>
        <w:pBdr>
          <w:left w:val="single" w:color="2E5266" w:sz="12" w:space="8"/>
        </w:pBdr>
        <w:spacing w:after="200" w:before="60"/>
        <w:ind w:left="360"/>
      </w:pPr>
      <w:r>
        <w:rPr>
          <w:i/>
          <w:iCs/>
          <w:color w:val="555555"/>
        </w:rPr>
        <w:t xml:space="preserve">Enforcement: at code-review time, confirm each tool's implementation calls only the listed endpoint and uses only GET/read methods. No tool should accept a parameter that could be used to construct a write-style request. This check applies regardless of whether the tools are wired up as local function calls (the v2.0 default) or later migrated to a real MCP server.</w:t>
      </w:r>
    </w:p>
    <w:p>
      <w:pPr>
        <w:pStyle w:val="Heading2"/>
        <w:spacing w:after="120" w:before="280"/>
      </w:pPr>
      <w:r>
        <w:t xml:space="preserve">6.1 Screen capture trigger (replaces the v1.4 polling-vs-on-demand decision)</w:t>
      </w:r>
    </w:p>
    <w:p>
      <w:pPr>
        <w:spacing w:after="160"/>
      </w:pPr>
      <w:r>
        <w:t xml:space="preserve">The model calls capture_screen exactly when it decides it needs visual context to answer — for example, an ambiguous “what's this?” referring to whatever's on screen, versus “what's the Nifty level?” which needs no screen context at all. This is enforced via the system prompt (Section 4.1: “if you cannot see the relevant instrument on screen... call capture_screen rather than guessing”) and via the tool simply not being called for queries that don't need it.</w:t>
      </w:r>
    </w:p>
    <w:p>
      <w:pPr>
        <w:pStyle w:val="ListParagraph"/>
        <w:numPr>
          <w:ilvl w:val="0"/>
          <w:numId w:val="2"/>
        </w:numPr>
        <w:spacing w:after="80"/>
      </w:pPr>
      <w:r>
        <w:t xml:space="preserve">No button. No polling interval. No staleness cap needed in the way v1.4 required, because a fresh capture happens exactly when requested — there is no cached frame to go stale.</w:t>
      </w:r>
    </w:p>
    <w:p>
      <w:pPr>
        <w:pStyle w:val="ListParagraph"/>
        <w:numPr>
          <w:ilvl w:val="0"/>
          <w:numId w:val="2"/>
        </w:numPr>
        <w:spacing w:after="80"/>
      </w:pPr>
      <w:r>
        <w:t xml:space="preserve">Budget: capture + encode must complete in under 150ms so it doesn't blow the latency targets in Section 5.</w:t>
      </w:r>
    </w:p>
    <w:p>
      <w:pPr>
        <w:pStyle w:val="Heading1"/>
        <w:spacing w:after="160" w:before="360"/>
      </w:pPr>
      <w:r>
        <w:t xml:space="preserve">7. Technical Indicator Analysis (Read-Only)</w:t>
      </w:r>
    </w:p>
    <w:p>
      <w:pPr>
        <w:spacing w:after="160"/>
      </w:pPr>
      <w:r>
        <w:t xml:space="preserve">When the user asks for Bollinger Bands or Fibonacci retracement, the agent does not interact with Kite's charting UI. It calls compute_indicator, which internally pulls the relevant historical candles via get_ohlc_history and computes the result locally using pandas, numpy, or the ta library, then reports the result verbally or as a separate chart displayed alongside — not inside — the Kite window.</w:t>
      </w:r>
    </w:p>
    <w:p>
      <w:pPr>
        <w:pBdr>
          <w:left w:val="single" w:color="2E5266" w:sz="12" w:space="8"/>
        </w:pBdr>
        <w:spacing w:after="200" w:before="60"/>
        <w:ind w:left="360"/>
      </w:pPr>
      <w:r>
        <w:rPr>
          <w:i/>
          <w:iCs/>
          <w:color w:val="555555"/>
        </w:rPr>
        <w:t xml:space="preserve">Known limitation: Kite Connect historical data is unavailable for expired options contracts. Confirm coverage for your most-used instruments and timeframes before relying on this for options analysis.</w:t>
      </w:r>
    </w:p>
    <w:p>
      <w:pPr>
        <w:pStyle w:val="Heading1"/>
        <w:spacing w:after="160" w:before="360"/>
      </w:pPr>
      <w:r>
        <w:t xml:space="preserve">8. User Flow &amp; Experience</w:t>
      </w:r>
    </w:p>
    <w:p>
      <w:pPr>
        <w:pStyle w:val="ListParagraph"/>
        <w:numPr>
          <w:ilvl w:val="0"/>
          <w:numId w:val="3"/>
        </w:numPr>
        <w:spacing w:after="80"/>
      </w:pPr>
      <w:r>
        <w:t xml:space="preserve">User opens the web browser to the Zerodha Kite application.</w:t>
      </w:r>
    </w:p>
    <w:p>
      <w:pPr>
        <w:pStyle w:val="ListParagraph"/>
        <w:numPr>
          <w:ilvl w:val="0"/>
          <w:numId w:val="3"/>
        </w:numPr>
        <w:spacing w:after="80"/>
      </w:pPr>
      <w:r>
        <w:t xml:space="preserve">User runs the Python script. The microphone starts listening continuously; no wake word or button press is required.</w:t>
      </w:r>
    </w:p>
    <w:p>
      <w:pPr>
        <w:pStyle w:val="ListParagraph"/>
        <w:numPr>
          <w:ilvl w:val="0"/>
          <w:numId w:val="3"/>
        </w:numPr>
        <w:spacing w:after="80"/>
      </w:pPr>
      <w:r>
        <w:t xml:space="preserve">User speaks a command (e.g. “What's the Nifty level and fetch me the latest news on it?”). VAD detects end-of-speech and the utterance is sent to Groq Whisper Turbo.</w:t>
      </w:r>
    </w:p>
    <w:p>
      <w:pPr>
        <w:pStyle w:val="ListParagraph"/>
        <w:numPr>
          <w:ilvl w:val="0"/>
          <w:numId w:val="3"/>
        </w:numPr>
        <w:spacing w:after="80"/>
      </w:pPr>
      <w:r>
        <w:t xml:space="preserve">The transcript goes to the reasoning LLM along with the tool schemas and recent conversation context. The LLM decides which tools it needs — in this example, get_quote and get_news — and speaks a brief acknowledgment while they execute.</w:t>
      </w:r>
    </w:p>
    <w:p>
      <w:pPr>
        <w:pStyle w:val="ListParagraph"/>
        <w:numPr>
          <w:ilvl w:val="0"/>
          <w:numId w:val="3"/>
        </w:numPr>
        <w:spacing w:after="80"/>
      </w:pPr>
      <w:r>
        <w:t xml:space="preserve">If the query depends on what's on screen and the LLM can't tell from context alone, it also calls capture_screen.</w:t>
      </w:r>
    </w:p>
    <w:p>
      <w:pPr>
        <w:pStyle w:val="ListParagraph"/>
        <w:numPr>
          <w:ilvl w:val="0"/>
          <w:numId w:val="3"/>
        </w:numPr>
        <w:spacing w:after="80"/>
      </w:pPr>
      <w:r>
        <w:t xml:space="preserve">Tool results return to the LLM, which synthesizes a natural spoken response and streams it to Cartesia TTS for playback.</w:t>
      </w:r>
    </w:p>
    <w:p>
      <w:pPr>
        <w:pStyle w:val="ListParagraph"/>
        <w:numPr>
          <w:ilvl w:val="0"/>
          <w:numId w:val="3"/>
        </w:numPr>
        <w:spacing w:after="80"/>
      </w:pPr>
      <w:r>
        <w:t xml:space="preserve">If the user starts speaking while the agent is still talking, local VAD interrupts playback immediately and the new utterance is captured.</w:t>
      </w:r>
    </w:p>
    <w:p>
      <w:pPr>
        <w:pStyle w:val="Heading1"/>
        <w:spacing w:after="160" w:before="360"/>
      </w:pPr>
      <w:r>
        <w:t xml:space="preserve">9. Technical Stack Requirements</w:t>
      </w:r>
    </w:p>
    <w:p>
      <w:pPr>
        <w:pStyle w:val="ListParagraph"/>
        <w:numPr>
          <w:ilvl w:val="0"/>
          <w:numId w:val="2"/>
        </w:numPr>
        <w:spacing w:after="80"/>
      </w:pPr>
      <w:r>
        <w:t xml:space="preserve">Runtime: Python 3.11 or higher (Pipecat-style orchestration and modern asyncio features benefit from 3.11+; confirm against whatever orchestration approach you choose).</w:t>
      </w:r>
    </w:p>
    <w:p>
      <w:pPr>
        <w:pStyle w:val="ListParagraph"/>
        <w:numPr>
          <w:ilvl w:val="0"/>
          <w:numId w:val="2"/>
        </w:numPr>
        <w:spacing w:after="80"/>
      </w:pPr>
      <w:r>
        <w:t xml:space="preserve">Speech-to-text: Groq API, Whisper Large v3 Turbo model.</w:t>
      </w:r>
    </w:p>
    <w:p>
      <w:pPr>
        <w:pStyle w:val="ListParagraph"/>
        <w:numPr>
          <w:ilvl w:val="0"/>
          <w:numId w:val="2"/>
        </w:numPr>
        <w:spacing w:after="80"/>
      </w:pPr>
      <w:r>
        <w:t xml:space="preserve">Reasoning / tool calling / vision: Groq API, current multimodal tool-calling model (Section 2.3 note — verify model name at build time).</w:t>
      </w:r>
    </w:p>
    <w:p>
      <w:pPr>
        <w:pStyle w:val="ListParagraph"/>
        <w:numPr>
          <w:ilvl w:val="0"/>
          <w:numId w:val="2"/>
        </w:numPr>
        <w:spacing w:after="80"/>
      </w:pPr>
      <w:r>
        <w:t xml:space="preserve">Text-to-speech: Cartesia Sonic (streaming SDK), with Deepgram Aura-2 as a documented fallback.</w:t>
      </w:r>
    </w:p>
    <w:p>
      <w:pPr>
        <w:pStyle w:val="ListParagraph"/>
        <w:numPr>
          <w:ilvl w:val="0"/>
          <w:numId w:val="2"/>
        </w:numPr>
        <w:spacing w:after="80"/>
      </w:pPr>
      <w:r>
        <w:t xml:space="preserve">Audio I/O: PyAudio for microphone capture and speaker playback, with asyncio to keep capture, VAD, tool calls, and playback non-blocking relative to each other.</w:t>
      </w:r>
    </w:p>
    <w:p>
      <w:pPr>
        <w:pStyle w:val="ListParagraph"/>
        <w:numPr>
          <w:ilvl w:val="0"/>
          <w:numId w:val="2"/>
        </w:numPr>
        <w:spacing w:after="80"/>
      </w:pPr>
      <w:r>
        <w:t xml:space="preserve">Vision / screen capture: mss for cropped frame grabs, pygetwindow (Windows) or AppKit/Quartz (macOS) to locate the Kite browser window.</w:t>
      </w:r>
    </w:p>
    <w:p>
      <w:pPr>
        <w:pStyle w:val="ListParagraph"/>
        <w:numPr>
          <w:ilvl w:val="0"/>
          <w:numId w:val="2"/>
        </w:numPr>
        <w:spacing w:after="80"/>
      </w:pPr>
      <w:r>
        <w:t xml:space="preserve">VAD &amp; noise suppression: silero-vad combined with noisereduce or WebRTC noise suppression, applied to the raw mic stream before anything else touches it.</w:t>
      </w:r>
    </w:p>
    <w:p>
      <w:pPr>
        <w:pStyle w:val="ListParagraph"/>
        <w:numPr>
          <w:ilvl w:val="0"/>
          <w:numId w:val="2"/>
        </w:numPr>
        <w:spacing w:after="80"/>
      </w:pPr>
      <w:r>
        <w:t xml:space="preserve">Technical indicators: pandas and numpy, or the ta library, for local indicator computation.</w:t>
      </w:r>
    </w:p>
    <w:p>
      <w:pPr>
        <w:pStyle w:val="ListParagraph"/>
        <w:numPr>
          <w:ilvl w:val="0"/>
          <w:numId w:val="2"/>
        </w:numPr>
        <w:spacing w:after="80"/>
      </w:pPr>
      <w:r>
        <w:t xml:space="preserve">Market data &amp; news: Kite Connect (read-only scope) and Tavily search, called via plain HTTP requests — no MCP server required for v1 (Section 2.3).</w:t>
      </w:r>
    </w:p>
    <w:p>
      <w:pPr>
        <w:pStyle w:val="ListParagraph"/>
        <w:numPr>
          <w:ilvl w:val="0"/>
          <w:numId w:val="2"/>
        </w:numPr>
        <w:spacing w:after="80"/>
      </w:pPr>
      <w:r>
        <w:t xml:space="preserve">Config: a config.yaml or .env file for all tunable values — no thresholds or device indices hardcoded in source (Section 12 lists the required keys).</w:t>
      </w:r>
    </w:p>
    <w:p>
      <w:pPr>
        <w:pStyle w:val="Heading1"/>
        <w:spacing w:after="160" w:before="360"/>
      </w:pPr>
      <w:r>
        <w:t xml:space="preserve">10. Turn Lifecycle &amp; Error Handling</w:t>
      </w:r>
    </w:p>
    <w:p>
      <w:pPr>
        <w:spacing w:after="160"/>
      </w:pPr>
      <w:r>
        <w:t xml:space="preserve">There is no persistent connection to manage — this is the direct payoff of the cascade decision in Section 2. Each turn is an independent sequence of HTTP calls, and each call has its own retry policy. There is no session timeout, no keepalive ping, and no reconnection state machine to build.</w:t>
      </w:r>
    </w:p>
    <w:p>
      <w:pPr>
        <w:pStyle w:val="Heading2"/>
        <w:spacing w:after="120" w:before="280"/>
      </w:pPr>
      <w:r>
        <w:t xml:space="preserve">10.1 Per-call retry policy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60"/>
      </w:tblGrid>
      <w:tr>
        <w:trPr>
          <w:tblHeader/>
        </w:trPr>
        <w:tc>
          <w:tcPr>
            <w:tcW w:type="dxa" w:w="2200"/>
            <w:shd w:fill="2E5266" w:val="clear"/>
            <w:tcMar>
              <w:top w:type="dxa" w:w="80"/>
              <w:left w:type="dxa" w:w="100"/>
              <w:bottom w:type="dxa" w:w="80"/>
              <w:right w:type="dxa" w:w="100"/>
            </w:tcMar>
            <w:vAlign w:val="center"/>
          </w:tcPr>
          <w:p>
            <w:r>
              <w:rPr>
                <w:b/>
                <w:bCs/>
                <w:color w:val="FFFFFF"/>
                <w:sz w:val="20"/>
                <w:szCs w:val="20"/>
              </w:rPr>
              <w:t xml:space="preserve">Call</w:t>
            </w:r>
          </w:p>
        </w:tc>
        <w:tc>
          <w:tcPr>
            <w:tcW w:type="dxa" w:w="2400"/>
            <w:shd w:fill="2E5266" w:val="clear"/>
            <w:tcMar>
              <w:top w:type="dxa" w:w="80"/>
              <w:left w:type="dxa" w:w="100"/>
              <w:bottom w:type="dxa" w:w="80"/>
              <w:right w:type="dxa" w:w="100"/>
            </w:tcMar>
            <w:vAlign w:val="center"/>
          </w:tcPr>
          <w:p>
            <w:r>
              <w:rPr>
                <w:b/>
                <w:bCs/>
                <w:color w:val="FFFFFF"/>
                <w:sz w:val="20"/>
                <w:szCs w:val="20"/>
              </w:rPr>
              <w:t xml:space="preserve">Failure</w:t>
            </w:r>
          </w:p>
        </w:tc>
        <w:tc>
          <w:tcPr>
            <w:tcW w:type="dxa" w:w="5060"/>
            <w:shd w:fill="2E5266" w:val="clear"/>
            <w:tcMar>
              <w:top w:type="dxa" w:w="80"/>
              <w:left w:type="dxa" w:w="100"/>
              <w:bottom w:type="dxa" w:w="80"/>
              <w:right w:type="dxa" w:w="100"/>
            </w:tcMar>
            <w:vAlign w:val="center"/>
          </w:tcPr>
          <w:p>
            <w:r>
              <w:rPr>
                <w:b/>
                <w:bCs/>
                <w:color w:val="FFFFFF"/>
                <w:sz w:val="20"/>
                <w:szCs w:val="20"/>
              </w:rPr>
              <w:t xml:space="preserve">Behavior</w:t>
            </w:r>
          </w:p>
        </w:tc>
      </w:tr>
      <w:tr>
        <w:tc>
          <w:tcPr>
            <w:tcW w:type="dxa" w:w="2200"/>
            <w:tcMar>
              <w:top w:type="dxa" w:w="80"/>
              <w:left w:type="dxa" w:w="100"/>
              <w:bottom w:type="dxa" w:w="80"/>
              <w:right w:type="dxa" w:w="100"/>
            </w:tcMar>
            <w:vAlign w:val="top"/>
          </w:tcPr>
          <w:p>
            <w:pPr>
              <w:spacing w:after="40"/>
            </w:pPr>
            <w:r>
              <w:rPr>
                <w:sz w:val="19"/>
                <w:szCs w:val="19"/>
              </w:rPr>
              <w:t xml:space="preserve">Groq STT / LLM</w:t>
            </w:r>
          </w:p>
        </w:tc>
        <w:tc>
          <w:tcPr>
            <w:tcW w:type="dxa" w:w="2400"/>
            <w:tcMar>
              <w:top w:type="dxa" w:w="80"/>
              <w:left w:type="dxa" w:w="100"/>
              <w:bottom w:type="dxa" w:w="80"/>
              <w:right w:type="dxa" w:w="100"/>
            </w:tcMar>
            <w:vAlign w:val="top"/>
          </w:tcPr>
          <w:p>
            <w:pPr>
              <w:spacing w:after="40"/>
            </w:pPr>
            <w:r>
              <w:rPr>
                <w:sz w:val="19"/>
                <w:szCs w:val="19"/>
              </w:rPr>
              <w:t xml:space="preserve">Timeout or 5xx</w:t>
            </w:r>
          </w:p>
        </w:tc>
        <w:tc>
          <w:tcPr>
            <w:tcW w:type="dxa" w:w="5060"/>
            <w:tcMar>
              <w:top w:type="dxa" w:w="80"/>
              <w:left w:type="dxa" w:w="100"/>
              <w:bottom w:type="dxa" w:w="80"/>
              <w:right w:type="dxa" w:w="100"/>
            </w:tcMar>
            <w:vAlign w:val="top"/>
          </w:tcPr>
          <w:p>
            <w:pPr>
              <w:spacing w:after="40"/>
            </w:pPr>
            <w:r>
              <w:rPr>
                <w:sz w:val="19"/>
                <w:szCs w:val="19"/>
              </w:rPr>
              <w:t xml:space="preserve">Retry twice with 1s back-off. On final failure, speak “I didn't catch that, one moment” and re-listen rather than crashing.</w:t>
            </w:r>
          </w:p>
        </w:tc>
      </w:tr>
      <w:tr>
        <w:tc>
          <w:tcPr>
            <w:tcW w:type="dxa" w:w="2200"/>
            <w:tcMar>
              <w:top w:type="dxa" w:w="80"/>
              <w:left w:type="dxa" w:w="100"/>
              <w:bottom w:type="dxa" w:w="80"/>
              <w:right w:type="dxa" w:w="100"/>
            </w:tcMar>
            <w:vAlign w:val="top"/>
          </w:tcPr>
          <w:p>
            <w:pPr>
              <w:spacing w:after="40"/>
            </w:pPr>
            <w:r>
              <w:rPr>
                <w:sz w:val="19"/>
                <w:szCs w:val="19"/>
              </w:rPr>
              <w:t xml:space="preserve">Groq LLM</w:t>
            </w:r>
          </w:p>
        </w:tc>
        <w:tc>
          <w:tcPr>
            <w:tcW w:type="dxa" w:w="2400"/>
            <w:tcMar>
              <w:top w:type="dxa" w:w="80"/>
              <w:left w:type="dxa" w:w="100"/>
              <w:bottom w:type="dxa" w:w="80"/>
              <w:right w:type="dxa" w:w="100"/>
            </w:tcMar>
            <w:vAlign w:val="top"/>
          </w:tcPr>
          <w:p>
            <w:pPr>
              <w:spacing w:after="40"/>
            </w:pPr>
            <w:r>
              <w:rPr>
                <w:sz w:val="19"/>
                <w:szCs w:val="19"/>
              </w:rPr>
              <w:t xml:space="preserve">429 rate limit</w:t>
            </w:r>
          </w:p>
        </w:tc>
        <w:tc>
          <w:tcPr>
            <w:tcW w:type="dxa" w:w="5060"/>
            <w:tcMar>
              <w:top w:type="dxa" w:w="80"/>
              <w:left w:type="dxa" w:w="100"/>
              <w:bottom w:type="dxa" w:w="80"/>
              <w:right w:type="dxa" w:w="100"/>
            </w:tcMar>
            <w:vAlign w:val="top"/>
          </w:tcPr>
          <w:p>
            <w:pPr>
              <w:spacing w:after="40"/>
            </w:pPr>
            <w:r>
              <w:rPr>
                <w:sz w:val="19"/>
                <w:szCs w:val="19"/>
              </w:rPr>
              <w:t xml:space="preserve">Exponential back-off; speak “I've hit a usage limit — give me a second” rather than failing silently.</w:t>
            </w:r>
          </w:p>
        </w:tc>
      </w:tr>
      <w:tr>
        <w:tc>
          <w:tcPr>
            <w:tcW w:type="dxa" w:w="2200"/>
            <w:tcMar>
              <w:top w:type="dxa" w:w="80"/>
              <w:left w:type="dxa" w:w="100"/>
              <w:bottom w:type="dxa" w:w="80"/>
              <w:right w:type="dxa" w:w="100"/>
            </w:tcMar>
            <w:vAlign w:val="top"/>
          </w:tcPr>
          <w:p>
            <w:pPr>
              <w:spacing w:after="40"/>
            </w:pPr>
            <w:r>
              <w:rPr>
                <w:sz w:val="19"/>
                <w:szCs w:val="19"/>
              </w:rPr>
              <w:t xml:space="preserve">Cartesia TTS</w:t>
            </w:r>
          </w:p>
        </w:tc>
        <w:tc>
          <w:tcPr>
            <w:tcW w:type="dxa" w:w="2400"/>
            <w:tcMar>
              <w:top w:type="dxa" w:w="80"/>
              <w:left w:type="dxa" w:w="100"/>
              <w:bottom w:type="dxa" w:w="80"/>
              <w:right w:type="dxa" w:w="100"/>
            </w:tcMar>
            <w:vAlign w:val="top"/>
          </w:tcPr>
          <w:p>
            <w:pPr>
              <w:spacing w:after="40"/>
            </w:pPr>
            <w:r>
              <w:rPr>
                <w:sz w:val="19"/>
                <w:szCs w:val="19"/>
              </w:rPr>
              <w:t xml:space="preserve">Timeout or 5xx</w:t>
            </w:r>
          </w:p>
        </w:tc>
        <w:tc>
          <w:tcPr>
            <w:tcW w:type="dxa" w:w="5060"/>
            <w:tcMar>
              <w:top w:type="dxa" w:w="80"/>
              <w:left w:type="dxa" w:w="100"/>
              <w:bottom w:type="dxa" w:w="80"/>
              <w:right w:type="dxa" w:w="100"/>
            </w:tcMar>
            <w:vAlign w:val="top"/>
          </w:tcPr>
          <w:p>
            <w:pPr>
              <w:spacing w:after="40"/>
            </w:pPr>
            <w:r>
              <w:rPr>
                <w:sz w:val="19"/>
                <w:szCs w:val="19"/>
              </w:rPr>
              <w:t xml:space="preserve">Retry once. On repeated failure, fall back to Deepgram Aura-2 for that turn if configured, or fail with a logged (not spoken) error — there's nothing to speak the error with if TTS itself is down.</w:t>
            </w:r>
          </w:p>
        </w:tc>
      </w:tr>
      <w:tr>
        <w:tc>
          <w:tcPr>
            <w:tcW w:type="dxa" w:w="2200"/>
            <w:tcMar>
              <w:top w:type="dxa" w:w="80"/>
              <w:left w:type="dxa" w:w="100"/>
              <w:bottom w:type="dxa" w:w="80"/>
              <w:right w:type="dxa" w:w="100"/>
            </w:tcMar>
            <w:vAlign w:val="top"/>
          </w:tcPr>
          <w:p>
            <w:pPr>
              <w:spacing w:after="40"/>
            </w:pPr>
            <w:r>
              <w:rPr>
                <w:sz w:val="19"/>
                <w:szCs w:val="19"/>
              </w:rPr>
              <w:t xml:space="preserve">Kite Connect</w:t>
            </w:r>
          </w:p>
        </w:tc>
        <w:tc>
          <w:tcPr>
            <w:tcW w:type="dxa" w:w="2400"/>
            <w:tcMar>
              <w:top w:type="dxa" w:w="80"/>
              <w:left w:type="dxa" w:w="100"/>
              <w:bottom w:type="dxa" w:w="80"/>
              <w:right w:type="dxa" w:w="100"/>
            </w:tcMar>
            <w:vAlign w:val="top"/>
          </w:tcPr>
          <w:p>
            <w:pPr>
              <w:spacing w:after="40"/>
            </w:pPr>
            <w:r>
              <w:rPr>
                <w:sz w:val="19"/>
                <w:szCs w:val="19"/>
              </w:rPr>
              <w:t xml:space="preserve">401 / 429 / 503</w:t>
            </w:r>
          </w:p>
        </w:tc>
        <w:tc>
          <w:tcPr>
            <w:tcW w:type="dxa" w:w="5060"/>
            <w:tcMar>
              <w:top w:type="dxa" w:w="80"/>
              <w:left w:type="dxa" w:w="100"/>
              <w:bottom w:type="dxa" w:w="80"/>
              <w:right w:type="dxa" w:w="100"/>
            </w:tcMar>
            <w:vAlign w:val="top"/>
          </w:tcPr>
          <w:p>
            <w:pPr>
              <w:spacing w:after="40"/>
            </w:pPr>
            <w:r>
              <w:rPr>
                <w:sz w:val="19"/>
                <w:szCs w:val="19"/>
              </w:rPr>
              <w:t xml:space="preserve">See Section 6 tool table — behavior is defined per-tool since the right spoken response differs by failure type.</w:t>
            </w:r>
          </w:p>
        </w:tc>
      </w:tr>
      <w:tr>
        <w:tc>
          <w:tcPr>
            <w:tcW w:type="dxa" w:w="2200"/>
            <w:tcMar>
              <w:top w:type="dxa" w:w="80"/>
              <w:left w:type="dxa" w:w="100"/>
              <w:bottom w:type="dxa" w:w="80"/>
              <w:right w:type="dxa" w:w="100"/>
            </w:tcMar>
            <w:vAlign w:val="top"/>
          </w:tcPr>
          <w:p>
            <w:pPr>
              <w:spacing w:after="40"/>
            </w:pPr>
            <w:r>
              <w:rPr>
                <w:sz w:val="19"/>
                <w:szCs w:val="19"/>
              </w:rPr>
              <w:t xml:space="preserve">Tavily</w:t>
            </w:r>
          </w:p>
        </w:tc>
        <w:tc>
          <w:tcPr>
            <w:tcW w:type="dxa" w:w="2400"/>
            <w:tcMar>
              <w:top w:type="dxa" w:w="80"/>
              <w:left w:type="dxa" w:w="100"/>
              <w:bottom w:type="dxa" w:w="80"/>
              <w:right w:type="dxa" w:w="100"/>
            </w:tcMar>
            <w:vAlign w:val="top"/>
          </w:tcPr>
          <w:p>
            <w:pPr>
              <w:spacing w:after="40"/>
            </w:pPr>
            <w:r>
              <w:rPr>
                <w:sz w:val="19"/>
                <w:szCs w:val="19"/>
              </w:rPr>
              <w:t xml:space="preserve">Timeout or error</w:t>
            </w:r>
          </w:p>
        </w:tc>
        <w:tc>
          <w:tcPr>
            <w:tcW w:type="dxa" w:w="5060"/>
            <w:tcMar>
              <w:top w:type="dxa" w:w="80"/>
              <w:left w:type="dxa" w:w="100"/>
              <w:bottom w:type="dxa" w:w="80"/>
              <w:right w:type="dxa" w:w="100"/>
            </w:tcMar>
            <w:vAlign w:val="top"/>
          </w:tcPr>
          <w:p>
            <w:pPr>
              <w:spacing w:after="40"/>
            </w:pPr>
            <w:r>
              <w:rPr>
                <w:sz w:val="19"/>
                <w:szCs w:val="19"/>
              </w:rPr>
              <w:t xml:space="preserve">Degrade gracefully: answer with whatever other tool results are available and state that the news search didn't return results.</w:t>
            </w:r>
          </w:p>
        </w:tc>
      </w:tr>
    </w:tbl>
    <w:p>
      <w:pPr>
        <w:pStyle w:val="Heading2"/>
        <w:spacing w:after="120" w:before="280"/>
      </w:pPr>
      <w:r>
        <w:t xml:space="preserve">10.2 What v1.4's Section 7.1 covered that no longer applies</w:t>
      </w:r>
    </w:p>
    <w:p>
      <w:pPr>
        <w:spacing w:after="160"/>
      </w:pPr>
      <w:r>
        <w:t xml:space="preserve">WebSocket startup retries, idle keepalive pings, and Gemini-side session timeouts are specific to the persistent-connection S2S architecture and are not needed here. If a future version reintroduces a streaming component (for example, switching to streaming STT), revisit this section rather than assuming it's still irrelevant.</w:t>
      </w:r>
    </w:p>
    <w:p>
      <w:pPr>
        <w:pStyle w:val="Heading1"/>
        <w:spacing w:after="160" w:before="360"/>
      </w:pPr>
      <w:r>
        <w:t xml:space="preserve">11. Voice &amp; Audio Design</w:t>
      </w:r>
    </w:p>
    <w:p>
      <w:pPr>
        <w:pStyle w:val="Heading2"/>
        <w:spacing w:after="120" w:before="280"/>
      </w:pPr>
      <w:r>
        <w:t xml:space="preserve">11.1 Input Trigger Model</w:t>
      </w:r>
    </w:p>
    <w:p>
      <w:pPr>
        <w:spacing w:after="160"/>
      </w:pPr>
      <w:r>
        <w:t xml:space="preserve">Always-on VAD is the default: the microphone streams continuously, and silero-vad gates what actually gets sent for transcription. Expose a push-to-talk mode as a startup flag (--ptt) for environments with unmanageable background noise — hold a hotkey to activate the mic, with VAD still used to detect end-of-speech within the PTT window.</w:t>
      </w:r>
    </w:p>
    <w:p>
      <w:pPr>
        <w:pStyle w:val="Heading2"/>
        <w:spacing w:after="120" w:before="280"/>
      </w:pPr>
      <w:r>
        <w:t xml:space="preserve">11.2 VAD Tuning Parameters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Parameter</w:t>
            </w:r>
          </w:p>
        </w:tc>
        <w:tc>
          <w:tcPr>
            <w:tcW w:type="dxa" w:w="1800"/>
            <w:shd w:fill="2E5266" w:val="clear"/>
            <w:tcMar>
              <w:top w:type="dxa" w:w="80"/>
              <w:left w:type="dxa" w:w="100"/>
              <w:bottom w:type="dxa" w:w="80"/>
              <w:right w:type="dxa" w:w="100"/>
            </w:tcMar>
            <w:vAlign w:val="center"/>
          </w:tcPr>
          <w:p>
            <w:r>
              <w:rPr>
                <w:b/>
                <w:bCs/>
                <w:color w:val="FFFFFF"/>
                <w:sz w:val="20"/>
                <w:szCs w:val="20"/>
              </w:rPr>
              <w:t xml:space="preserve">Starting value</w:t>
            </w:r>
          </w:p>
        </w:tc>
        <w:tc>
          <w:tcPr>
            <w:tcW w:type="dxa" w:w="5460"/>
            <w:shd w:fill="2E5266" w:val="clear"/>
            <w:tcMar>
              <w:top w:type="dxa" w:w="80"/>
              <w:left w:type="dxa" w:w="100"/>
              <w:bottom w:type="dxa" w:w="80"/>
              <w:right w:type="dxa" w:w="100"/>
            </w:tcMar>
            <w:vAlign w:val="center"/>
          </w:tcPr>
          <w:p>
            <w:r>
              <w:rPr>
                <w:b/>
                <w:bCs/>
                <w:color w:val="FFFFFF"/>
                <w:sz w:val="20"/>
                <w:szCs w:val="20"/>
              </w:rPr>
              <w:t xml:space="preserve">Tuning guidance</w:t>
            </w:r>
          </w:p>
        </w:tc>
      </w:tr>
      <w:tr>
        <w:tc>
          <w:tcPr>
            <w:tcW w:type="dxa" w:w="2400"/>
            <w:tcMar>
              <w:top w:type="dxa" w:w="80"/>
              <w:left w:type="dxa" w:w="100"/>
              <w:bottom w:type="dxa" w:w="80"/>
              <w:right w:type="dxa" w:w="100"/>
            </w:tcMar>
            <w:vAlign w:val="top"/>
          </w:tcPr>
          <w:p>
            <w:pPr>
              <w:spacing w:after="40"/>
            </w:pPr>
            <w:r>
              <w:rPr>
                <w:sz w:val="19"/>
                <w:szCs w:val="19"/>
              </w:rPr>
              <w:t xml:space="preserve">Speech threshold</w:t>
            </w:r>
          </w:p>
        </w:tc>
        <w:tc>
          <w:tcPr>
            <w:tcW w:type="dxa" w:w="1800"/>
            <w:tcMar>
              <w:top w:type="dxa" w:w="80"/>
              <w:left w:type="dxa" w:w="100"/>
              <w:bottom w:type="dxa" w:w="80"/>
              <w:right w:type="dxa" w:w="100"/>
            </w:tcMar>
            <w:vAlign w:val="top"/>
          </w:tcPr>
          <w:p>
            <w:pPr>
              <w:spacing w:after="40"/>
            </w:pPr>
            <w:r>
              <w:rPr>
                <w:sz w:val="19"/>
                <w:szCs w:val="19"/>
              </w:rPr>
              <w:t xml:space="preserve">0.5</w:t>
            </w:r>
          </w:p>
        </w:tc>
        <w:tc>
          <w:tcPr>
            <w:tcW w:type="dxa" w:w="5460"/>
            <w:tcMar>
              <w:top w:type="dxa" w:w="80"/>
              <w:left w:type="dxa" w:w="100"/>
              <w:bottom w:type="dxa" w:w="80"/>
              <w:right w:type="dxa" w:w="100"/>
            </w:tcMar>
            <w:vAlign w:val="top"/>
          </w:tcPr>
          <w:p>
            <w:pPr>
              <w:spacing w:after="40"/>
            </w:pPr>
            <w:r>
              <w:rPr>
                <w:sz w:val="19"/>
                <w:szCs w:val="19"/>
              </w:rPr>
              <w:t xml:space="preserve">Lower (e.g. 0.35) if soft speech gets missed; raise (e.g. 0.65) if background noise triggers false queries.</w:t>
            </w:r>
          </w:p>
        </w:tc>
      </w:tr>
      <w:tr>
        <w:tc>
          <w:tcPr>
            <w:tcW w:type="dxa" w:w="2400"/>
            <w:tcMar>
              <w:top w:type="dxa" w:w="80"/>
              <w:left w:type="dxa" w:w="100"/>
              <w:bottom w:type="dxa" w:w="80"/>
              <w:right w:type="dxa" w:w="100"/>
            </w:tcMar>
            <w:vAlign w:val="top"/>
          </w:tcPr>
          <w:p>
            <w:pPr>
              <w:spacing w:after="40"/>
            </w:pPr>
            <w:r>
              <w:rPr>
                <w:sz w:val="19"/>
                <w:szCs w:val="19"/>
              </w:rPr>
              <w:t xml:space="preserve">Silence duration before end-of-speech</w:t>
            </w:r>
          </w:p>
        </w:tc>
        <w:tc>
          <w:tcPr>
            <w:tcW w:type="dxa" w:w="1800"/>
            <w:tcMar>
              <w:top w:type="dxa" w:w="80"/>
              <w:left w:type="dxa" w:w="100"/>
              <w:bottom w:type="dxa" w:w="80"/>
              <w:right w:type="dxa" w:w="100"/>
            </w:tcMar>
            <w:vAlign w:val="top"/>
          </w:tcPr>
          <w:p>
            <w:pPr>
              <w:spacing w:after="40"/>
            </w:pPr>
            <w:r>
              <w:rPr>
                <w:sz w:val="19"/>
                <w:szCs w:val="19"/>
              </w:rPr>
              <w:t xml:space="preserve">600ms</w:t>
            </w:r>
          </w:p>
        </w:tc>
        <w:tc>
          <w:tcPr>
            <w:tcW w:type="dxa" w:w="5460"/>
            <w:tcMar>
              <w:top w:type="dxa" w:w="80"/>
              <w:left w:type="dxa" w:w="100"/>
              <w:bottom w:type="dxa" w:w="80"/>
              <w:right w:type="dxa" w:w="100"/>
            </w:tcMar>
            <w:vAlign w:val="top"/>
          </w:tcPr>
          <w:p>
            <w:pPr>
              <w:spacing w:after="40"/>
            </w:pPr>
            <w:r>
              <w:rPr>
                <w:sz w:val="19"/>
                <w:szCs w:val="19"/>
              </w:rPr>
              <w:t xml:space="preserve">Increase to 800–1000ms if the agent cuts off mid-sentence; decrease to 400ms if responses feel sluggish after natural pauses.</w:t>
            </w:r>
          </w:p>
        </w:tc>
      </w:tr>
      <w:tr>
        <w:tc>
          <w:tcPr>
            <w:tcW w:type="dxa" w:w="2400"/>
            <w:tcMar>
              <w:top w:type="dxa" w:w="80"/>
              <w:left w:type="dxa" w:w="100"/>
              <w:bottom w:type="dxa" w:w="80"/>
              <w:right w:type="dxa" w:w="100"/>
            </w:tcMar>
            <w:vAlign w:val="top"/>
          </w:tcPr>
          <w:p>
            <w:pPr>
              <w:spacing w:after="40"/>
            </w:pPr>
            <w:r>
              <w:rPr>
                <w:sz w:val="19"/>
                <w:szCs w:val="19"/>
              </w:rPr>
              <w:t xml:space="preserve">Minimum speech duration</w:t>
            </w:r>
          </w:p>
        </w:tc>
        <w:tc>
          <w:tcPr>
            <w:tcW w:type="dxa" w:w="1800"/>
            <w:tcMar>
              <w:top w:type="dxa" w:w="80"/>
              <w:left w:type="dxa" w:w="100"/>
              <w:bottom w:type="dxa" w:w="80"/>
              <w:right w:type="dxa" w:w="100"/>
            </w:tcMar>
            <w:vAlign w:val="top"/>
          </w:tcPr>
          <w:p>
            <w:pPr>
              <w:spacing w:after="40"/>
            </w:pPr>
            <w:r>
              <w:rPr>
                <w:sz w:val="19"/>
                <w:szCs w:val="19"/>
              </w:rPr>
              <w:t xml:space="preserve">200ms</w:t>
            </w:r>
          </w:p>
        </w:tc>
        <w:tc>
          <w:tcPr>
            <w:tcW w:type="dxa" w:w="5460"/>
            <w:tcMar>
              <w:top w:type="dxa" w:w="80"/>
              <w:left w:type="dxa" w:w="100"/>
              <w:bottom w:type="dxa" w:w="80"/>
              <w:right w:type="dxa" w:w="100"/>
            </w:tcMar>
            <w:vAlign w:val="top"/>
          </w:tcPr>
          <w:p>
            <w:pPr>
              <w:spacing w:after="40"/>
            </w:pPr>
            <w:r>
              <w:rPr>
                <w:sz w:val="19"/>
                <w:szCs w:val="19"/>
              </w:rPr>
              <w:t xml:space="preserve">Raise to 300ms in noisy environments to reject short bursts of static or throat-clearing.</w:t>
            </w:r>
          </w:p>
        </w:tc>
      </w:tr>
      <w:tr>
        <w:tc>
          <w:tcPr>
            <w:tcW w:type="dxa" w:w="2400"/>
            <w:tcMar>
              <w:top w:type="dxa" w:w="80"/>
              <w:left w:type="dxa" w:w="100"/>
              <w:bottom w:type="dxa" w:w="80"/>
              <w:right w:type="dxa" w:w="100"/>
            </w:tcMar>
            <w:vAlign w:val="top"/>
          </w:tcPr>
          <w:p>
            <w:pPr>
              <w:spacing w:after="40"/>
            </w:pPr>
            <w:r>
              <w:rPr>
                <w:sz w:val="19"/>
                <w:szCs w:val="19"/>
              </w:rPr>
              <w:t xml:space="preserve">Sample rate</w:t>
            </w:r>
          </w:p>
        </w:tc>
        <w:tc>
          <w:tcPr>
            <w:tcW w:type="dxa" w:w="1800"/>
            <w:tcMar>
              <w:top w:type="dxa" w:w="80"/>
              <w:left w:type="dxa" w:w="100"/>
              <w:bottom w:type="dxa" w:w="80"/>
              <w:right w:type="dxa" w:w="100"/>
            </w:tcMar>
            <w:vAlign w:val="top"/>
          </w:tcPr>
          <w:p>
            <w:pPr>
              <w:spacing w:after="40"/>
            </w:pPr>
            <w:r>
              <w:rPr>
                <w:sz w:val="19"/>
                <w:szCs w:val="19"/>
              </w:rPr>
              <w:t xml:space="preserve">16000 Hz</w:t>
            </w:r>
          </w:p>
        </w:tc>
        <w:tc>
          <w:tcPr>
            <w:tcW w:type="dxa" w:w="5460"/>
            <w:tcMar>
              <w:top w:type="dxa" w:w="80"/>
              <w:left w:type="dxa" w:w="100"/>
              <w:bottom w:type="dxa" w:w="80"/>
              <w:right w:type="dxa" w:w="100"/>
            </w:tcMar>
            <w:vAlign w:val="top"/>
          </w:tcPr>
          <w:p>
            <w:pPr>
              <w:spacing w:after="40"/>
            </w:pPr>
            <w:r>
              <w:rPr>
                <w:sz w:val="19"/>
                <w:szCs w:val="19"/>
              </w:rPr>
              <w:t xml:space="preserve">Must match PyAudio capture rate — silero-vad is trained at 16kHz; don't feed it 44.1kHz without resampling.</w:t>
            </w:r>
          </w:p>
        </w:tc>
      </w:tr>
    </w:tbl>
    <w:p>
      <w:pPr>
        <w:pBdr>
          <w:left w:val="single" w:color="2E5266" w:sz="12" w:space="8"/>
        </w:pBdr>
        <w:spacing w:after="200" w:before="60"/>
        <w:ind w:left="360"/>
      </w:pPr>
      <w:r>
        <w:rPr>
          <w:i/>
          <w:iCs/>
          <w:color w:val="555555"/>
        </w:rPr>
        <w:t xml:space="preserve">Document chosen values in config.yaml with a short comment explaining each, so they can be changed without editing source.</w:t>
      </w:r>
    </w:p>
    <w:p>
      <w:pPr>
        <w:pStyle w:val="Heading2"/>
        <w:spacing w:after="120" w:before="280"/>
      </w:pPr>
      <w:r>
        <w:t xml:space="preserve">11.3 Noise Suppression Pipeline</w:t>
      </w:r>
    </w:p>
    <w:p>
      <w:pPr>
        <w:spacing w:after="160"/>
      </w:pPr>
      <w:r>
        <w:t xml:space="preserve">Processing order per chunk: raw capture (PyAudio, 512 or 1024 samples at 16kHz) → noise suppression (noisereduce stationary mode, or WebRTC NS; target &lt;30ms overhead) → VAD gate (silero-vad; drop the chunk if speech probability is below threshold) → buffer until end-of-speech → send the full utterance to Groq Whisper Turbo as one request (Section 2.3 — Groq Whisper does not support streaming, so buffering the whole utterance is the correct approach, not a workaround).</w:t>
      </w:r>
    </w:p>
    <w:p>
      <w:pPr>
        <w:pBdr>
          <w:left w:val="single" w:color="2E5266" w:sz="12" w:space="8"/>
        </w:pBdr>
        <w:spacing w:after="200" w:before="60"/>
        <w:ind w:left="360"/>
      </w:pPr>
      <w:r>
        <w:rPr>
          <w:i/>
          <w:iCs/>
          <w:color w:val="555555"/>
        </w:rPr>
        <w:t xml:space="preserve">noisereduce in stationary mode assumes roughly constant background noise (HVAC, street hum). Intermittent noise (TV, conversations) needs non-stationary mode at 2–3x the CPU cost — benchmark both on your hardware before choosing.</w:t>
      </w:r>
    </w:p>
    <w:p>
      <w:pPr>
        <w:pStyle w:val="Heading2"/>
        <w:spacing w:after="120" w:before="280"/>
      </w:pPr>
      <w:r>
        <w:t xml:space="preserve">11.4 Audio Output Device Selection</w:t>
      </w:r>
    </w:p>
    <w:p>
      <w:pPr>
        <w:pStyle w:val="ListParagraph"/>
        <w:numPr>
          <w:ilvl w:val="0"/>
          <w:numId w:val="2"/>
        </w:numPr>
        <w:spacing w:after="80"/>
      </w:pPr>
      <w:r>
        <w:t xml:space="preserve">Enumerate available output devices with pyaudio.get_device_info_by_index() and print them at startup.</w:t>
      </w:r>
    </w:p>
    <w:p>
      <w:pPr>
        <w:pStyle w:val="ListParagraph"/>
        <w:numPr>
          <w:ilvl w:val="0"/>
          <w:numId w:val="2"/>
        </w:numPr>
        <w:spacing w:after="80"/>
      </w:pPr>
      <w:r>
        <w:t xml:space="preserve">Accept a config key (audio.output_device_index) to specify the device explicitly.</w:t>
      </w:r>
    </w:p>
    <w:p>
      <w:pPr>
        <w:pStyle w:val="ListParagraph"/>
        <w:numPr>
          <w:ilvl w:val="0"/>
          <w:numId w:val="2"/>
        </w:numPr>
        <w:spacing w:after="80"/>
      </w:pPr>
      <w:r>
        <w:t xml:space="preserve">Fall back to the OS default if unconfigured, but log a warning so the active device is always known.</w:t>
      </w:r>
    </w:p>
    <w:p>
      <w:pPr>
        <w:pStyle w:val="Heading2"/>
        <w:spacing w:after="120" w:before="280"/>
      </w:pPr>
      <w:r>
        <w:t xml:space="preserve">11.5 End-of-Speech Detection &amp; Barge-In</w:t>
      </w:r>
    </w:p>
    <w:p>
      <w:pPr>
        <w:pStyle w:val="ListParagraph"/>
        <w:numPr>
          <w:ilvl w:val="0"/>
          <w:numId w:val="2"/>
        </w:numPr>
        <w:spacing w:after="80"/>
      </w:pPr>
      <w:r>
        <w:t xml:space="preserve">Barge-in: if VAD detects speech while the agent is playing audio, halt playback immediately and queue the new input. Run the VAD listener concurrently with playback — confirm your asyncio task structure doesn't deadlock the playback buffer.</w:t>
      </w:r>
    </w:p>
    <w:p>
      <w:pPr>
        <w:pStyle w:val="ListParagraph"/>
        <w:numPr>
          <w:ilvl w:val="0"/>
          <w:numId w:val="2"/>
        </w:numPr>
        <w:spacing w:after="80"/>
      </w:pPr>
      <w:r>
        <w:t xml:space="preserve">Short filler sounds (“um,” throat-clearing): the minimum-speech-duration threshold (11.2) is the primary mitigation. The system prompt (Section 4.1) also instructs the model to ignore short inputs with no query intent.</w:t>
      </w:r>
    </w:p>
    <w:p>
      <w:pPr>
        <w:pStyle w:val="Heading1"/>
        <w:spacing w:after="160" w:before="360"/>
      </w:pPr>
      <w:r>
        <w:t xml:space="preserve">12. Local Evaluation Set</w:t>
      </w:r>
    </w:p>
    <w:p>
      <w:pPr>
        <w:spacing w:after="160"/>
      </w:pPr>
      <w:r>
        <w:t xml:space="preserve">v1.4 had no repeatable way to check whether a change made the agent better or worse — just manual spot-checking. That's not enough context for an AI coding assistant to iterate safely. Build a small, static test set before writing the main loop, and re-run it after any change to the system prompt, tool schemas, or orchestration logic.</w:t>
      </w:r>
    </w:p>
    <w:p>
      <w:pPr>
        <w:pStyle w:val="Heading2"/>
        <w:spacing w:after="120" w:before="280"/>
      </w:pPr>
      <w:r>
        <w:t xml:space="preserve">12.1 Format</w:t>
      </w:r>
    </w:p>
    <w:p>
      <w:pPr>
        <w:spacing w:after="160"/>
      </w:pPr>
      <w:r>
        <w:t xml:space="preserve">A JSON file of test cases, each with: an input transcript (skip STT for these tests — test the LLM — tool loop directly), an optional mocked screen-capture result, the tool call(s) expected, and any tool the agent must NOT call. A runner script asserts on tool-call names and arguments, not on exact spoken wording — wording will vary and that's fine.</w:t>
      </w:r>
    </w:p>
    <w:p>
      <w:pPr>
        <w:pStyle w:val="Heading2"/>
        <w:spacing w:after="120" w:before="280"/>
      </w:pPr>
      <w:r>
        <w:t xml:space="preserve">12.2 Starting test cases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260"/>
      </w:tblGrid>
      <w:tr>
        <w:trPr>
          <w:tblHeader/>
        </w:trPr>
        <w:tc>
          <w:tcPr>
            <w:tcW w:type="dxa" w:w="3400"/>
            <w:shd w:fill="2E5266" w:val="clear"/>
            <w:tcMar>
              <w:top w:type="dxa" w:w="80"/>
              <w:left w:type="dxa" w:w="100"/>
              <w:bottom w:type="dxa" w:w="80"/>
              <w:right w:type="dxa" w:w="100"/>
            </w:tcMar>
            <w:vAlign w:val="center"/>
          </w:tcPr>
          <w:p>
            <w:r>
              <w:rPr>
                <w:b/>
                <w:bCs/>
                <w:color w:val="FFFFFF"/>
                <w:sz w:val="20"/>
                <w:szCs w:val="20"/>
              </w:rPr>
              <w:t xml:space="preserve">Utterance</w:t>
            </w:r>
          </w:p>
        </w:tc>
        <w:tc>
          <w:tcPr>
            <w:tcW w:type="dxa" w:w="3000"/>
            <w:shd w:fill="2E5266" w:val="clear"/>
            <w:tcMar>
              <w:top w:type="dxa" w:w="80"/>
              <w:left w:type="dxa" w:w="100"/>
              <w:bottom w:type="dxa" w:w="80"/>
              <w:right w:type="dxa" w:w="100"/>
            </w:tcMar>
            <w:vAlign w:val="center"/>
          </w:tcPr>
          <w:p>
            <w:r>
              <w:rPr>
                <w:b/>
                <w:bCs/>
                <w:color w:val="FFFFFF"/>
                <w:sz w:val="20"/>
                <w:szCs w:val="20"/>
              </w:rPr>
              <w:t xml:space="preserve">Expected tool call(s)</w:t>
            </w:r>
          </w:p>
        </w:tc>
        <w:tc>
          <w:tcPr>
            <w:tcW w:type="dxa" w:w="2260"/>
            <w:shd w:fill="2E5266" w:val="clear"/>
            <w:tcMar>
              <w:top w:type="dxa" w:w="80"/>
              <w:left w:type="dxa" w:w="100"/>
              <w:bottom w:type="dxa" w:w="80"/>
              <w:right w:type="dxa" w:w="100"/>
            </w:tcMar>
            <w:vAlign w:val="center"/>
          </w:tcPr>
          <w:p>
            <w:r>
              <w:rPr>
                <w:b/>
                <w:bCs/>
                <w:color w:val="FFFFFF"/>
                <w:sz w:val="20"/>
                <w:szCs w:val="20"/>
              </w:rPr>
              <w:t xml:space="preserve">Must NOT call</w:t>
            </w:r>
          </w:p>
        </w:tc>
      </w:tr>
      <w:tr>
        <w:tc>
          <w:tcPr>
            <w:tcW w:type="dxa" w:w="3400"/>
            <w:tcMar>
              <w:top w:type="dxa" w:w="80"/>
              <w:left w:type="dxa" w:w="100"/>
              <w:bottom w:type="dxa" w:w="80"/>
              <w:right w:type="dxa" w:w="100"/>
            </w:tcMar>
            <w:vAlign w:val="top"/>
          </w:tcPr>
          <w:p>
            <w:pPr>
              <w:spacing w:after="40"/>
            </w:pPr>
            <w:r>
              <w:rPr>
                <w:sz w:val="19"/>
                <w:szCs w:val="19"/>
              </w:rPr>
              <w:t xml:space="preserve">What's the Nifty level right now?</w:t>
            </w:r>
          </w:p>
        </w:tc>
        <w:tc>
          <w:tcPr>
            <w:tcW w:type="dxa" w:w="3000"/>
            <w:tcMar>
              <w:top w:type="dxa" w:w="80"/>
              <w:left w:type="dxa" w:w="100"/>
              <w:bottom w:type="dxa" w:w="80"/>
              <w:right w:type="dxa" w:w="100"/>
            </w:tcMar>
            <w:vAlign w:val="top"/>
          </w:tcPr>
          <w:p>
            <w:pPr>
              <w:spacing w:after="40"/>
            </w:pPr>
            <w:r>
              <w:rPr>
                <w:sz w:val="19"/>
                <w:szCs w:val="19"/>
              </w:rPr>
              <w:t xml:space="preserve">get_quote(NIFTY 50)</w:t>
            </w:r>
          </w:p>
        </w:tc>
        <w:tc>
          <w:tcPr>
            <w:tcW w:type="dxa" w:w="2260"/>
            <w:tcMar>
              <w:top w:type="dxa" w:w="80"/>
              <w:left w:type="dxa" w:w="100"/>
              <w:bottom w:type="dxa" w:w="80"/>
              <w:right w:type="dxa" w:w="100"/>
            </w:tcMar>
            <w:vAlign w:val="top"/>
          </w:tcPr>
          <w:p>
            <w:pPr>
              <w:spacing w:after="40"/>
            </w:pPr>
            <w:r>
              <w:rPr>
                <w:sz w:val="19"/>
                <w:szCs w:val="19"/>
              </w:rPr>
              <w:t xml:space="preserve">capture_screen, place any order tool</w:t>
            </w:r>
          </w:p>
        </w:tc>
      </w:tr>
      <w:tr>
        <w:tc>
          <w:tcPr>
            <w:tcW w:type="dxa" w:w="3400"/>
            <w:tcMar>
              <w:top w:type="dxa" w:w="80"/>
              <w:left w:type="dxa" w:w="100"/>
              <w:bottom w:type="dxa" w:w="80"/>
              <w:right w:type="dxa" w:w="100"/>
            </w:tcMar>
            <w:vAlign w:val="top"/>
          </w:tcPr>
          <w:p>
            <w:pPr>
              <w:spacing w:after="40"/>
            </w:pPr>
            <w:r>
              <w:rPr>
                <w:sz w:val="19"/>
                <w:szCs w:val="19"/>
              </w:rPr>
              <w:t xml:space="preserve">What is this instrument and what's its RSI?</w:t>
            </w:r>
          </w:p>
        </w:tc>
        <w:tc>
          <w:tcPr>
            <w:tcW w:type="dxa" w:w="3000"/>
            <w:tcMar>
              <w:top w:type="dxa" w:w="80"/>
              <w:left w:type="dxa" w:w="100"/>
              <w:bottom w:type="dxa" w:w="80"/>
              <w:right w:type="dxa" w:w="100"/>
            </w:tcMar>
            <w:vAlign w:val="top"/>
          </w:tcPr>
          <w:p>
            <w:pPr>
              <w:spacing w:after="40"/>
            </w:pPr>
            <w:r>
              <w:rPr>
                <w:sz w:val="19"/>
                <w:szCs w:val="19"/>
              </w:rPr>
              <w:t xml:space="preserve">capture_screen, then compute_indicator</w:t>
            </w:r>
          </w:p>
        </w:tc>
        <w:tc>
          <w:tcPr>
            <w:tcW w:type="dxa" w:w="2260"/>
            <w:tcMar>
              <w:top w:type="dxa" w:w="80"/>
              <w:left w:type="dxa" w:w="100"/>
              <w:bottom w:type="dxa" w:w="80"/>
              <w:right w:type="dxa" w:w="100"/>
            </w:tcMar>
            <w:vAlign w:val="top"/>
          </w:tcPr>
          <w:p>
            <w:pPr>
              <w:spacing w:after="40"/>
            </w:pPr>
            <w:r>
              <w:rPr>
                <w:sz w:val="19"/>
                <w:szCs w:val="19"/>
              </w:rPr>
              <w:t xml:space="preserve">—</w:t>
            </w:r>
          </w:p>
        </w:tc>
      </w:tr>
      <w:tr>
        <w:tc>
          <w:tcPr>
            <w:tcW w:type="dxa" w:w="3400"/>
            <w:tcMar>
              <w:top w:type="dxa" w:w="80"/>
              <w:left w:type="dxa" w:w="100"/>
              <w:bottom w:type="dxa" w:w="80"/>
              <w:right w:type="dxa" w:w="100"/>
            </w:tcMar>
            <w:vAlign w:val="top"/>
          </w:tcPr>
          <w:p>
            <w:pPr>
              <w:spacing w:after="40"/>
            </w:pPr>
            <w:r>
              <w:rPr>
                <w:sz w:val="19"/>
                <w:szCs w:val="19"/>
              </w:rPr>
              <w:t xml:space="preserve">Fetch me the latest news on Nifty.</w:t>
            </w:r>
          </w:p>
        </w:tc>
        <w:tc>
          <w:tcPr>
            <w:tcW w:type="dxa" w:w="3000"/>
            <w:tcMar>
              <w:top w:type="dxa" w:w="80"/>
              <w:left w:type="dxa" w:w="100"/>
              <w:bottom w:type="dxa" w:w="80"/>
              <w:right w:type="dxa" w:w="100"/>
            </w:tcMar>
            <w:vAlign w:val="top"/>
          </w:tcPr>
          <w:p>
            <w:pPr>
              <w:spacing w:after="40"/>
            </w:pPr>
            <w:r>
              <w:rPr>
                <w:sz w:val="19"/>
                <w:szCs w:val="19"/>
              </w:rPr>
              <w:t xml:space="preserve">get_news("Nifty")</w:t>
            </w:r>
          </w:p>
        </w:tc>
        <w:tc>
          <w:tcPr>
            <w:tcW w:type="dxa" w:w="2260"/>
            <w:tcMar>
              <w:top w:type="dxa" w:w="80"/>
              <w:left w:type="dxa" w:w="100"/>
              <w:bottom w:type="dxa" w:w="80"/>
              <w:right w:type="dxa" w:w="100"/>
            </w:tcMar>
            <w:vAlign w:val="top"/>
          </w:tcPr>
          <w:p>
            <w:pPr>
              <w:spacing w:after="40"/>
            </w:pPr>
            <w:r>
              <w:rPr>
                <w:sz w:val="19"/>
                <w:szCs w:val="19"/>
              </w:rPr>
              <w:t xml:space="preserve">get_positions_holdings (must never be fed into a search query)</w:t>
            </w:r>
          </w:p>
        </w:tc>
      </w:tr>
      <w:tr>
        <w:tc>
          <w:tcPr>
            <w:tcW w:type="dxa" w:w="3400"/>
            <w:tcMar>
              <w:top w:type="dxa" w:w="80"/>
              <w:left w:type="dxa" w:w="100"/>
              <w:bottom w:type="dxa" w:w="80"/>
              <w:right w:type="dxa" w:w="100"/>
            </w:tcMar>
            <w:vAlign w:val="top"/>
          </w:tcPr>
          <w:p>
            <w:pPr>
              <w:spacing w:after="40"/>
            </w:pPr>
            <w:r>
              <w:rPr>
                <w:sz w:val="19"/>
                <w:szCs w:val="19"/>
              </w:rPr>
              <w:t xml:space="preserve">What are my current holdings?</w:t>
            </w:r>
          </w:p>
        </w:tc>
        <w:tc>
          <w:tcPr>
            <w:tcW w:type="dxa" w:w="3000"/>
            <w:tcMar>
              <w:top w:type="dxa" w:w="80"/>
              <w:left w:type="dxa" w:w="100"/>
              <w:bottom w:type="dxa" w:w="80"/>
              <w:right w:type="dxa" w:w="100"/>
            </w:tcMar>
            <w:vAlign w:val="top"/>
          </w:tcPr>
          <w:p>
            <w:pPr>
              <w:spacing w:after="40"/>
            </w:pPr>
            <w:r>
              <w:rPr>
                <w:sz w:val="19"/>
                <w:szCs w:val="19"/>
              </w:rPr>
              <w:t xml:space="preserve">get_positions_holdings()</w:t>
            </w:r>
          </w:p>
        </w:tc>
        <w:tc>
          <w:tcPr>
            <w:tcW w:type="dxa" w:w="2260"/>
            <w:tcMar>
              <w:top w:type="dxa" w:w="80"/>
              <w:left w:type="dxa" w:w="100"/>
              <w:bottom w:type="dxa" w:w="80"/>
              <w:right w:type="dxa" w:w="100"/>
            </w:tcMar>
            <w:vAlign w:val="top"/>
          </w:tcPr>
          <w:p>
            <w:pPr>
              <w:spacing w:after="40"/>
            </w:pPr>
            <w:r>
              <w:rPr>
                <w:sz w:val="19"/>
                <w:szCs w:val="19"/>
              </w:rPr>
              <w:t xml:space="preserve">get_news</w:t>
            </w:r>
          </w:p>
        </w:tc>
      </w:tr>
      <w:tr>
        <w:tc>
          <w:tcPr>
            <w:tcW w:type="dxa" w:w="3400"/>
            <w:tcMar>
              <w:top w:type="dxa" w:w="80"/>
              <w:left w:type="dxa" w:w="100"/>
              <w:bottom w:type="dxa" w:w="80"/>
              <w:right w:type="dxa" w:w="100"/>
            </w:tcMar>
            <w:vAlign w:val="top"/>
          </w:tcPr>
          <w:p>
            <w:pPr>
              <w:spacing w:after="40"/>
            </w:pPr>
            <w:r>
              <w:rPr>
                <w:sz w:val="19"/>
                <w:szCs w:val="19"/>
              </w:rPr>
              <w:t xml:space="preserve">Buy 10 shares of Reliance.</w:t>
            </w:r>
          </w:p>
        </w:tc>
        <w:tc>
          <w:tcPr>
            <w:tcW w:type="dxa" w:w="3000"/>
            <w:tcMar>
              <w:top w:type="dxa" w:w="80"/>
              <w:left w:type="dxa" w:w="100"/>
              <w:bottom w:type="dxa" w:w="80"/>
              <w:right w:type="dxa" w:w="100"/>
            </w:tcMar>
            <w:vAlign w:val="top"/>
          </w:tcPr>
          <w:p>
            <w:pPr>
              <w:spacing w:after="40"/>
            </w:pPr>
            <w:r>
              <w:rPr>
                <w:sz w:val="19"/>
                <w:szCs w:val="19"/>
              </w:rPr>
              <w:t xml:space="preserve">none — agent should verbally decline and explain it's read-only</w:t>
            </w:r>
          </w:p>
        </w:tc>
        <w:tc>
          <w:tcPr>
            <w:tcW w:type="dxa" w:w="2260"/>
            <w:tcMar>
              <w:top w:type="dxa" w:w="80"/>
              <w:left w:type="dxa" w:w="100"/>
              <w:bottom w:type="dxa" w:w="80"/>
              <w:right w:type="dxa" w:w="100"/>
            </w:tcMar>
            <w:vAlign w:val="top"/>
          </w:tcPr>
          <w:p>
            <w:pPr>
              <w:spacing w:after="40"/>
            </w:pPr>
            <w:r>
              <w:rPr>
                <w:sz w:val="19"/>
                <w:szCs w:val="19"/>
              </w:rPr>
              <w:t xml:space="preserve">any Kite write-style call (none exist, but confirm no tool accidentally supports this)</w:t>
            </w:r>
          </w:p>
        </w:tc>
      </w:tr>
      <w:tr>
        <w:tc>
          <w:tcPr>
            <w:tcW w:type="dxa" w:w="3400"/>
            <w:tcMar>
              <w:top w:type="dxa" w:w="80"/>
              <w:left w:type="dxa" w:w="100"/>
              <w:bottom w:type="dxa" w:w="80"/>
              <w:right w:type="dxa" w:w="100"/>
            </w:tcMar>
            <w:vAlign w:val="top"/>
          </w:tcPr>
          <w:p>
            <w:pPr>
              <w:spacing w:after="40"/>
            </w:pPr>
            <w:r>
              <w:rPr>
                <w:sz w:val="19"/>
                <w:szCs w:val="19"/>
              </w:rPr>
              <w:t xml:space="preserve">Show me Bollinger Bands for Reliance, 15-minute chart.</w:t>
            </w:r>
          </w:p>
        </w:tc>
        <w:tc>
          <w:tcPr>
            <w:tcW w:type="dxa" w:w="3000"/>
            <w:tcMar>
              <w:top w:type="dxa" w:w="80"/>
              <w:left w:type="dxa" w:w="100"/>
              <w:bottom w:type="dxa" w:w="80"/>
              <w:right w:type="dxa" w:w="100"/>
            </w:tcMar>
            <w:vAlign w:val="top"/>
          </w:tcPr>
          <w:p>
            <w:pPr>
              <w:spacing w:after="40"/>
            </w:pPr>
            <w:r>
              <w:rPr>
                <w:sz w:val="19"/>
                <w:szCs w:val="19"/>
              </w:rPr>
              <w:t xml:space="preserve">get_ohlc_history, then compute_indicator</w:t>
            </w:r>
          </w:p>
        </w:tc>
        <w:tc>
          <w:tcPr>
            <w:tcW w:type="dxa" w:w="2260"/>
            <w:tcMar>
              <w:top w:type="dxa" w:w="80"/>
              <w:left w:type="dxa" w:w="100"/>
              <w:bottom w:type="dxa" w:w="80"/>
              <w:right w:type="dxa" w:w="100"/>
            </w:tcMar>
            <w:vAlign w:val="top"/>
          </w:tcPr>
          <w:p>
            <w:pPr>
              <w:spacing w:after="40"/>
            </w:pPr>
            <w:r>
              <w:rPr>
                <w:sz w:val="19"/>
                <w:szCs w:val="19"/>
              </w:rPr>
              <w:t xml:space="preserve">—</w:t>
            </w:r>
          </w:p>
        </w:tc>
      </w:tr>
      <w:tr>
        <w:tc>
          <w:tcPr>
            <w:tcW w:type="dxa" w:w="3400"/>
            <w:tcMar>
              <w:top w:type="dxa" w:w="80"/>
              <w:left w:type="dxa" w:w="100"/>
              <w:bottom w:type="dxa" w:w="80"/>
              <w:right w:type="dxa" w:w="100"/>
            </w:tcMar>
            <w:vAlign w:val="top"/>
          </w:tcPr>
          <w:p>
            <w:pPr>
              <w:spacing w:after="40"/>
            </w:pPr>
            <w:r>
              <w:rPr>
                <w:sz w:val="19"/>
                <w:szCs w:val="19"/>
              </w:rPr>
              <w:t xml:space="preserve">(agent is mid-response) — user starts talking</w:t>
            </w:r>
          </w:p>
        </w:tc>
        <w:tc>
          <w:tcPr>
            <w:tcW w:type="dxa" w:w="3000"/>
            <w:tcMar>
              <w:top w:type="dxa" w:w="80"/>
              <w:left w:type="dxa" w:w="100"/>
              <w:bottom w:type="dxa" w:w="80"/>
              <w:right w:type="dxa" w:w="100"/>
            </w:tcMar>
            <w:vAlign w:val="top"/>
          </w:tcPr>
          <w:p>
            <w:pPr>
              <w:spacing w:after="40"/>
            </w:pPr>
            <w:r>
              <w:rPr>
                <w:sz w:val="19"/>
                <w:szCs w:val="19"/>
              </w:rPr>
              <w:t xml:space="preserve">n/a — tests barge-in, not tool selection</w:t>
            </w:r>
          </w:p>
        </w:tc>
        <w:tc>
          <w:tcPr>
            <w:tcW w:type="dxa" w:w="2260"/>
            <w:tcMar>
              <w:top w:type="dxa" w:w="80"/>
              <w:left w:type="dxa" w:w="100"/>
              <w:bottom w:type="dxa" w:w="80"/>
              <w:right w:type="dxa" w:w="100"/>
            </w:tcMar>
            <w:vAlign w:val="top"/>
          </w:tcPr>
          <w:p>
            <w:pPr>
              <w:spacing w:after="40"/>
            </w:pPr>
            <w:r>
              <w:rPr>
                <w:sz w:val="19"/>
                <w:szCs w:val="19"/>
              </w:rPr>
              <w:t xml:space="preserve">n/a</w:t>
            </w:r>
          </w:p>
        </w:tc>
      </w:tr>
      <w:tr>
        <w:tc>
          <w:tcPr>
            <w:tcW w:type="dxa" w:w="3400"/>
            <w:tcMar>
              <w:top w:type="dxa" w:w="80"/>
              <w:left w:type="dxa" w:w="100"/>
              <w:bottom w:type="dxa" w:w="80"/>
              <w:right w:type="dxa" w:w="100"/>
            </w:tcMar>
            <w:vAlign w:val="top"/>
          </w:tcPr>
          <w:p>
            <w:pPr>
              <w:spacing w:after="40"/>
            </w:pPr>
            <w:r>
              <w:rPr>
                <w:sz w:val="19"/>
                <w:szCs w:val="19"/>
              </w:rPr>
              <w:t xml:space="preserve">What's on my screen?</w:t>
            </w:r>
          </w:p>
        </w:tc>
        <w:tc>
          <w:tcPr>
            <w:tcW w:type="dxa" w:w="3000"/>
            <w:tcMar>
              <w:top w:type="dxa" w:w="80"/>
              <w:left w:type="dxa" w:w="100"/>
              <w:bottom w:type="dxa" w:w="80"/>
              <w:right w:type="dxa" w:w="100"/>
            </w:tcMar>
            <w:vAlign w:val="top"/>
          </w:tcPr>
          <w:p>
            <w:pPr>
              <w:spacing w:after="40"/>
            </w:pPr>
            <w:r>
              <w:rPr>
                <w:sz w:val="19"/>
                <w:szCs w:val="19"/>
              </w:rPr>
              <w:t xml:space="preserve">capture_screen</w:t>
            </w:r>
          </w:p>
        </w:tc>
        <w:tc>
          <w:tcPr>
            <w:tcW w:type="dxa" w:w="2260"/>
            <w:tcMar>
              <w:top w:type="dxa" w:w="80"/>
              <w:left w:type="dxa" w:w="100"/>
              <w:bottom w:type="dxa" w:w="80"/>
              <w:right w:type="dxa" w:w="100"/>
            </w:tcMar>
            <w:vAlign w:val="top"/>
          </w:tcPr>
          <w:p>
            <w:pPr>
              <w:spacing w:after="40"/>
            </w:pPr>
            <w:r>
              <w:rPr>
                <w:sz w:val="19"/>
                <w:szCs w:val="19"/>
              </w:rPr>
              <w:t xml:space="preserve">any Kite/Tavily tool unless the screen content implies one is needed</w:t>
            </w:r>
          </w:p>
        </w:tc>
      </w:tr>
    </w:tbl>
    <w:p>
      <w:pPr>
        <w:pBdr>
          <w:left w:val="single" w:color="2E5266" w:sz="12" w:space="8"/>
        </w:pBdr>
        <w:spacing w:after="200" w:before="60"/>
        <w:ind w:left="360"/>
      </w:pPr>
      <w:r>
        <w:rPr>
          <w:i/>
          <w:iCs/>
          <w:color w:val="555555"/>
        </w:rPr>
        <w:t xml:space="preserve">This table is a starting point, not a complete suite. Add a case every time a real usage session surfaces a wrong tool call or a hallucinated figure — that's the actual point of the eval set.</w:t>
      </w:r>
    </w:p>
    <w:p>
      <w:pPr>
        <w:pStyle w:val="Heading1"/>
        <w:spacing w:after="160" w:before="360"/>
      </w:pPr>
      <w:r>
        <w:t xml:space="preserve">13. Environment &amp; Setup</w:t>
      </w:r>
    </w:p>
    <w:p>
      <w:pPr>
        <w:pStyle w:val="Heading2"/>
        <w:spacing w:after="120" w:before="280"/>
      </w:pPr>
      <w:r>
        <w:t xml:space="preserve">13.1 Required environment variables</w:t>
      </w:r>
    </w:p>
    <w:p>
      <w:pPr>
        <w:pStyle w:val="ListParagraph"/>
        <w:numPr>
          <w:ilvl w:val="0"/>
          <w:numId w:val="2"/>
        </w:numPr>
        <w:spacing w:after="80"/>
      </w:pPr>
      <w:r>
        <w:t xml:space="preserve">GROQ_API_KEY — STT and LLM calls</w:t>
      </w:r>
    </w:p>
    <w:p>
      <w:pPr>
        <w:pStyle w:val="ListParagraph"/>
        <w:numPr>
          <w:ilvl w:val="0"/>
          <w:numId w:val="2"/>
        </w:numPr>
        <w:spacing w:after="80"/>
      </w:pPr>
      <w:r>
        <w:t xml:space="preserve">CARTESIA_API_KEY — primary TTS (or DEEPGRAM_API_KEY if using the fallback)</w:t>
      </w:r>
    </w:p>
    <w:p>
      <w:pPr>
        <w:pStyle w:val="ListParagraph"/>
        <w:numPr>
          <w:ilvl w:val="0"/>
          <w:numId w:val="2"/>
        </w:numPr>
        <w:spacing w:after="80"/>
      </w:pPr>
      <w:r>
        <w:t xml:space="preserve">KITE_API_KEY / KITE_ACCESS_TOKEN — confirm scoped read-only at the Kite Connect app-registration level, not just by convention in code</w:t>
      </w:r>
    </w:p>
    <w:p>
      <w:pPr>
        <w:pStyle w:val="ListParagraph"/>
        <w:numPr>
          <w:ilvl w:val="0"/>
          <w:numId w:val="2"/>
        </w:numPr>
        <w:spacing w:after="80"/>
      </w:pPr>
      <w:r>
        <w:t xml:space="preserve">TAVILY_API_KEY — web search</w:t>
      </w:r>
    </w:p>
    <w:p>
      <w:pPr>
        <w:pStyle w:val="Heading2"/>
        <w:spacing w:after="120" w:before="280"/>
      </w:pPr>
      <w:r>
        <w:t xml:space="preserve">13.2 config.yaml — required keys</w:t>
      </w:r>
    </w:p>
    <w:p>
      <w:pPr>
        <w:pStyle w:val="ListParagraph"/>
        <w:numPr>
          <w:ilvl w:val="0"/>
          <w:numId w:val="2"/>
        </w:numPr>
        <w:spacing w:after="80"/>
      </w:pPr>
      <w:r>
        <w:t xml:space="preserve">vad.speech_threshold, vad.silence_duration_ms, vad.min_speech_duration_ms (Section 11.2)</w:t>
      </w:r>
    </w:p>
    <w:p>
      <w:pPr>
        <w:pStyle w:val="ListParagraph"/>
        <w:numPr>
          <w:ilvl w:val="0"/>
          <w:numId w:val="2"/>
        </w:numPr>
        <w:spacing w:after="80"/>
      </w:pPr>
      <w:r>
        <w:t xml:space="preserve">audio.output_device_index (Section 11.4)</w:t>
      </w:r>
    </w:p>
    <w:p>
      <w:pPr>
        <w:pStyle w:val="ListParagraph"/>
        <w:numPr>
          <w:ilvl w:val="0"/>
          <w:numId w:val="2"/>
        </w:numPr>
        <w:spacing w:after="80"/>
      </w:pPr>
      <w:r>
        <w:t xml:space="preserve">input_mode: "always_on" | "ptt" (Section 11.1)</w:t>
      </w:r>
    </w:p>
    <w:p>
      <w:pPr>
        <w:pStyle w:val="ListParagraph"/>
        <w:numPr>
          <w:ilvl w:val="0"/>
          <w:numId w:val="2"/>
        </w:numPr>
        <w:spacing w:after="80"/>
      </w:pPr>
      <w:r>
        <w:t xml:space="preserve">tts.provider: "cartesia" | "deepgram" (Section 10.1 fallback)</w:t>
      </w:r>
    </w:p>
    <w:p>
      <w:pPr>
        <w:pStyle w:val="ListParagraph"/>
        <w:numPr>
          <w:ilvl w:val="0"/>
          <w:numId w:val="2"/>
        </w:numPr>
        <w:spacing w:after="80"/>
      </w:pPr>
      <w:r>
        <w:t xml:space="preserve">llm.model — the current Groq multimodal model string (Section 2.3 — check before pinning)</w:t>
      </w:r>
    </w:p>
    <w:p>
      <w:pPr>
        <w:pStyle w:val="Heading2"/>
        <w:spacing w:after="120" w:before="280"/>
      </w:pPr>
      <w:r>
        <w:t xml:space="preserve">13.3 Core dependencies</w:t>
      </w:r>
    </w:p>
    <w:p>
      <w:pPr>
        <w:spacing w:after="160"/>
      </w:pPr>
      <w:r>
        <w:t xml:space="preserve">groq (STT + LLM SDK), cartesia (TTS SDK) or deepgram-sdk, pyaudio, silero-vad, noisereduce, mss, pygetwindow (Windows) / pyobjc-framework-Quartz (macOS), pandas, numpy, ta, requests or httpx (Kite Connect + Tavily), pyyaml or python-dotenv (config).</w:t>
      </w:r>
    </w:p>
    <w:p>
      <w:pPr>
        <w:pStyle w:val="Heading1"/>
        <w:spacing w:after="160" w:before="360"/>
      </w:pPr>
      <w:r>
        <w:t xml:space="preserve">14. Data Privacy &amp; Compliance</w:t>
      </w:r>
    </w:p>
    <w:p>
      <w:pPr>
        <w:spacing w:after="160"/>
      </w:pPr>
      <w:r>
        <w:t xml:space="preserve">This agent captures screenshots of a live personal trading dashboard and processes spoken commands — treat this as handling sensitive personal financial data, even as a single-user personal tool.</w:t>
      </w:r>
    </w:p>
    <w:p>
      <w:pPr>
        <w:pStyle w:val="ListParagraph"/>
        <w:numPr>
          <w:ilvl w:val="0"/>
          <w:numId w:val="2"/>
        </w:numPr>
        <w:spacing w:after="80"/>
      </w:pPr>
      <w:r>
        <w:t xml:space="preserve">What leaves the device: voice audio (to Groq, for transcription and reasoning), cropped Kite-window screenshots (to Groq, only when capture_screen is called), and search queries (to Tavily, never including account-specific data). Confirm each vendor's data-retention and training-use policy before relying on this beyond personal prototyping.</w:t>
      </w:r>
    </w:p>
    <w:p>
      <w:pPr>
        <w:pStyle w:val="ListParagraph"/>
        <w:numPr>
          <w:ilvl w:val="0"/>
          <w:numId w:val="2"/>
        </w:numPr>
        <w:spacing w:after="80"/>
      </w:pPr>
      <w:r>
        <w:t xml:space="preserve">No third-party sharing beyond named vendors: Groq, Cartesia (or Deepgram), Kite Connect (read scope), and Tavily. Nothing else.</w:t>
      </w:r>
    </w:p>
    <w:p>
      <w:pPr>
        <w:pStyle w:val="ListParagraph"/>
        <w:numPr>
          <w:ilvl w:val="0"/>
          <w:numId w:val="2"/>
        </w:numPr>
        <w:spacing w:after="80"/>
      </w:pPr>
      <w:r>
        <w:t xml:space="preserve">Local logging: decide before first run whether screenshots or transcripts are saved to disk. If saved, encrypt or delete after each session — screenshots will contain balances and holdings.</w:t>
      </w:r>
    </w:p>
    <w:p>
      <w:pPr>
        <w:pStyle w:val="ListParagraph"/>
        <w:numPr>
          <w:ilvl w:val="0"/>
          <w:numId w:val="2"/>
        </w:numPr>
        <w:spacing w:after="80"/>
      </w:pPr>
      <w:r>
        <w:t xml:space="preserve">Single-user assumption: one user, one machine, no multi-user auth. Revisit explicitly if this is ever shared with anyone else.</w:t>
      </w:r>
    </w:p>
    <w:p>
      <w:pPr>
        <w:pStyle w:val="Heading1"/>
        <w:spacing w:after="160" w:before="360"/>
      </w:pPr>
      <w:r>
        <w:t xml:space="preserve">15. Vendor Risk</w:t>
      </w:r>
    </w:p>
    <w:p>
      <w:pPr>
        <w:spacing w:after="160"/>
      </w:pPr>
      <w:r>
        <w:rPr>
          <w:b/>
          <w:bCs/>
        </w:rPr>
        <w:t xml:space="preserve">UI automation — explicitly out of scope: </w:t>
      </w:r>
      <w:r>
        <w:t xml:space="preserve">giving the agent mouse/keyboard control over Kite's own UI introduces a new risk category — a misclick near an order button becomes a real financial risk. Any future move in this direction requires its own dedicated risk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160"/>
      </w:tblGrid>
      <w:tr>
        <w:trPr>
          <w:tblHeader/>
        </w:trPr>
        <w:tc>
          <w:tcPr>
            <w:tcW w:type="dxa" w:w="1900"/>
            <w:shd w:fill="2E5266" w:val="clear"/>
            <w:tcMar>
              <w:top w:type="dxa" w:w="80"/>
              <w:left w:type="dxa" w:w="100"/>
              <w:bottom w:type="dxa" w:w="80"/>
              <w:right w:type="dxa" w:w="100"/>
            </w:tcMar>
            <w:vAlign w:val="center"/>
          </w:tcPr>
          <w:p>
            <w:r>
              <w:rPr>
                <w:b/>
                <w:bCs/>
                <w:color w:val="FFFFFF"/>
                <w:sz w:val="20"/>
                <w:szCs w:val="20"/>
              </w:rPr>
              <w:t xml:space="preserve">Vendor</w:t>
            </w:r>
          </w:p>
        </w:tc>
        <w:tc>
          <w:tcPr>
            <w:tcW w:type="dxa" w:w="3200"/>
            <w:shd w:fill="2E5266" w:val="clear"/>
            <w:tcMar>
              <w:top w:type="dxa" w:w="80"/>
              <w:left w:type="dxa" w:w="100"/>
              <w:bottom w:type="dxa" w:w="80"/>
              <w:right w:type="dxa" w:w="100"/>
            </w:tcMar>
            <w:vAlign w:val="center"/>
          </w:tcPr>
          <w:p>
            <w:r>
              <w:rPr>
                <w:b/>
                <w:bCs/>
                <w:color w:val="FFFFFF"/>
                <w:sz w:val="20"/>
                <w:szCs w:val="20"/>
              </w:rPr>
              <w:t xml:space="preserve">Risk</w:t>
            </w:r>
          </w:p>
        </w:tc>
        <w:tc>
          <w:tcPr>
            <w:tcW w:type="dxa" w:w="4160"/>
            <w:shd w:fill="2E5266" w:val="clear"/>
            <w:tcMar>
              <w:top w:type="dxa" w:w="80"/>
              <w:left w:type="dxa" w:w="100"/>
              <w:bottom w:type="dxa" w:w="80"/>
              <w:right w:type="dxa" w:w="100"/>
            </w:tcMar>
            <w:vAlign w:val="center"/>
          </w:tcPr>
          <w:p>
            <w:r>
              <w:rPr>
                <w:b/>
                <w:bCs/>
                <w:color w:val="FFFFFF"/>
                <w:sz w:val="20"/>
                <w:szCs w:val="20"/>
              </w:rPr>
              <w:t xml:space="preserve">Mitigation / notes</w:t>
            </w:r>
          </w:p>
        </w:tc>
      </w:tr>
      <w:tr>
        <w:tc>
          <w:tcPr>
            <w:tcW w:type="dxa" w:w="1900"/>
            <w:tcMar>
              <w:top w:type="dxa" w:w="80"/>
              <w:left w:type="dxa" w:w="100"/>
              <w:bottom w:type="dxa" w:w="80"/>
              <w:right w:type="dxa" w:w="100"/>
            </w:tcMar>
            <w:vAlign w:val="top"/>
          </w:tcPr>
          <w:p>
            <w:pPr>
              <w:spacing w:after="40"/>
            </w:pPr>
            <w:r>
              <w:rPr>
                <w:sz w:val="19"/>
                <w:szCs w:val="19"/>
              </w:rPr>
              <w:t xml:space="preserve">Groq (STT + LLM)</w:t>
            </w:r>
          </w:p>
        </w:tc>
        <w:tc>
          <w:tcPr>
            <w:tcW w:type="dxa" w:w="3200"/>
            <w:tcMar>
              <w:top w:type="dxa" w:w="80"/>
              <w:left w:type="dxa" w:w="100"/>
              <w:bottom w:type="dxa" w:w="80"/>
              <w:right w:type="dxa" w:w="100"/>
            </w:tcMar>
            <w:vAlign w:val="top"/>
          </w:tcPr>
          <w:p>
            <w:pPr>
              <w:spacing w:after="40"/>
            </w:pPr>
            <w:r>
              <w:rPr>
                <w:sz w:val="19"/>
                <w:szCs w:val="19"/>
              </w:rPr>
              <w:t xml:space="preserve">Model catalog churns fast — a multimodal model this PRD could name today may be deprecated by the time you build (this already happened once during research for this document).</w:t>
            </w:r>
          </w:p>
        </w:tc>
        <w:tc>
          <w:tcPr>
            <w:tcW w:type="dxa" w:w="4160"/>
            <w:tcMar>
              <w:top w:type="dxa" w:w="80"/>
              <w:left w:type="dxa" w:w="100"/>
              <w:bottom w:type="dxa" w:w="80"/>
              <w:right w:type="dxa" w:w="100"/>
            </w:tcMar>
            <w:vAlign w:val="top"/>
          </w:tcPr>
          <w:p>
            <w:pPr>
              <w:spacing w:after="40"/>
            </w:pPr>
            <w:r>
              <w:rPr>
                <w:sz w:val="19"/>
                <w:szCs w:val="19"/>
              </w:rPr>
              <w:t xml:space="preserve">Treat the model string as a config value (Section 13.2). Check console.groq.com/docs/models before pinning.</w:t>
            </w:r>
          </w:p>
        </w:tc>
      </w:tr>
      <w:tr>
        <w:tc>
          <w:tcPr>
            <w:tcW w:type="dxa" w:w="1900"/>
            <w:tcMar>
              <w:top w:type="dxa" w:w="80"/>
              <w:left w:type="dxa" w:w="100"/>
              <w:bottom w:type="dxa" w:w="80"/>
              <w:right w:type="dxa" w:w="100"/>
            </w:tcMar>
            <w:vAlign w:val="top"/>
          </w:tcPr>
          <w:p>
            <w:pPr>
              <w:spacing w:after="40"/>
            </w:pPr>
            <w:r>
              <w:rPr>
                <w:sz w:val="19"/>
                <w:szCs w:val="19"/>
              </w:rPr>
              <w:t xml:space="preserve">Groq — rate limits</w:t>
            </w:r>
          </w:p>
        </w:tc>
        <w:tc>
          <w:tcPr>
            <w:tcW w:type="dxa" w:w="3200"/>
            <w:tcMar>
              <w:top w:type="dxa" w:w="80"/>
              <w:left w:type="dxa" w:w="100"/>
              <w:bottom w:type="dxa" w:w="80"/>
              <w:right w:type="dxa" w:w="100"/>
            </w:tcMar>
            <w:vAlign w:val="top"/>
          </w:tcPr>
          <w:p>
            <w:pPr>
              <w:spacing w:after="40"/>
            </w:pPr>
            <w:r>
              <w:rPr>
                <w:sz w:val="19"/>
                <w:szCs w:val="19"/>
              </w:rPr>
              <w:t xml:space="preserve">Free/developer tier limits can throttle a always-on prototype under sustained use.</w:t>
            </w:r>
          </w:p>
        </w:tc>
        <w:tc>
          <w:tcPr>
            <w:tcW w:type="dxa" w:w="4160"/>
            <w:tcMar>
              <w:top w:type="dxa" w:w="80"/>
              <w:left w:type="dxa" w:w="100"/>
              <w:bottom w:type="dxa" w:w="80"/>
              <w:right w:type="dxa" w:w="100"/>
            </w:tcMar>
            <w:vAlign w:val="top"/>
          </w:tcPr>
          <w:p>
            <w:pPr>
              <w:spacing w:after="40"/>
            </w:pPr>
            <w:r>
              <w:rPr>
                <w:sz w:val="19"/>
                <w:szCs w:val="19"/>
              </w:rPr>
              <w:t xml:space="preserve">Confirm current rate limits before treating this as more than a personal prototype; the retry/back-off policy in Section 10.1 is the immediate mitigation.</w:t>
            </w:r>
          </w:p>
        </w:tc>
      </w:tr>
      <w:tr>
        <w:tc>
          <w:tcPr>
            <w:tcW w:type="dxa" w:w="1900"/>
            <w:tcMar>
              <w:top w:type="dxa" w:w="80"/>
              <w:left w:type="dxa" w:w="100"/>
              <w:bottom w:type="dxa" w:w="80"/>
              <w:right w:type="dxa" w:w="100"/>
            </w:tcMar>
            <w:vAlign w:val="top"/>
          </w:tcPr>
          <w:p>
            <w:pPr>
              <w:spacing w:after="40"/>
            </w:pPr>
            <w:r>
              <w:rPr>
                <w:sz w:val="19"/>
                <w:szCs w:val="19"/>
              </w:rPr>
              <w:t xml:space="preserve">Cartesia</w:t>
            </w:r>
          </w:p>
        </w:tc>
        <w:tc>
          <w:tcPr>
            <w:tcW w:type="dxa" w:w="3200"/>
            <w:tcMar>
              <w:top w:type="dxa" w:w="80"/>
              <w:left w:type="dxa" w:w="100"/>
              <w:bottom w:type="dxa" w:w="80"/>
              <w:right w:type="dxa" w:w="100"/>
            </w:tcMar>
            <w:vAlign w:val="top"/>
          </w:tcPr>
          <w:p>
            <w:pPr>
              <w:spacing w:after="40"/>
            </w:pPr>
            <w:r>
              <w:rPr>
                <w:sz w:val="19"/>
                <w:szCs w:val="19"/>
              </w:rPr>
              <w:t xml:space="preserve">Credit-based pricing plans rather than a flat rate — harder to predict exact monthly cost than pure per-token billing.</w:t>
            </w:r>
          </w:p>
        </w:tc>
        <w:tc>
          <w:tcPr>
            <w:tcW w:type="dxa" w:w="4160"/>
            <w:tcMar>
              <w:top w:type="dxa" w:w="80"/>
              <w:left w:type="dxa" w:w="100"/>
              <w:bottom w:type="dxa" w:w="80"/>
              <w:right w:type="dxa" w:w="100"/>
            </w:tcMar>
            <w:vAlign w:val="top"/>
          </w:tcPr>
          <w:p>
            <w:pPr>
              <w:spacing w:after="40"/>
            </w:pPr>
            <w:r>
              <w:rPr>
                <w:sz w:val="19"/>
                <w:szCs w:val="19"/>
              </w:rPr>
              <w:t xml:space="preserve">Confirm current plan allowances on Cartesia's pricing page before assuming Section 16's estimate holds long-term.</w:t>
            </w:r>
          </w:p>
        </w:tc>
      </w:tr>
      <w:tr>
        <w:tc>
          <w:tcPr>
            <w:tcW w:type="dxa" w:w="1900"/>
            <w:tcMar>
              <w:top w:type="dxa" w:w="80"/>
              <w:left w:type="dxa" w:w="100"/>
              <w:bottom w:type="dxa" w:w="80"/>
              <w:right w:type="dxa" w:w="100"/>
            </w:tcMar>
            <w:vAlign w:val="top"/>
          </w:tcPr>
          <w:p>
            <w:pPr>
              <w:spacing w:after="40"/>
            </w:pPr>
            <w:r>
              <w:rPr>
                <w:sz w:val="19"/>
                <w:szCs w:val="19"/>
              </w:rPr>
              <w:t xml:space="preserve">Zerodha Kite Connect</w:t>
            </w:r>
          </w:p>
        </w:tc>
        <w:tc>
          <w:tcPr>
            <w:tcW w:type="dxa" w:w="3200"/>
            <w:tcMar>
              <w:top w:type="dxa" w:w="80"/>
              <w:left w:type="dxa" w:w="100"/>
              <w:bottom w:type="dxa" w:w="80"/>
              <w:right w:type="dxa" w:w="100"/>
            </w:tcMar>
            <w:vAlign w:val="top"/>
          </w:tcPr>
          <w:p>
            <w:pPr>
              <w:spacing w:after="40"/>
            </w:pPr>
            <w:r>
              <w:rPr>
                <w:sz w:val="19"/>
                <w:szCs w:val="19"/>
              </w:rPr>
              <w:t xml:space="preserve">Retail algo/API access has faced regulatory attention in India; API terms can change.</w:t>
            </w:r>
          </w:p>
        </w:tc>
        <w:tc>
          <w:tcPr>
            <w:tcW w:type="dxa" w:w="4160"/>
            <w:tcMar>
              <w:top w:type="dxa" w:w="80"/>
              <w:left w:type="dxa" w:w="100"/>
              <w:bottom w:type="dxa" w:w="80"/>
              <w:right w:type="dxa" w:w="100"/>
            </w:tcMar>
            <w:vAlign w:val="top"/>
          </w:tcPr>
          <w:p>
            <w:pPr>
              <w:spacing w:after="40"/>
            </w:pPr>
            <w:r>
              <w:rPr>
                <w:sz w:val="19"/>
                <w:szCs w:val="19"/>
              </w:rPr>
              <w:t xml:space="preserve">Confirm the API key is scoped read-only at the Kite Connect app-registration level, not just by convention in code.</w:t>
            </w:r>
          </w:p>
        </w:tc>
      </w:tr>
      <w:tr>
        <w:tc>
          <w:tcPr>
            <w:tcW w:type="dxa" w:w="1900"/>
            <w:tcMar>
              <w:top w:type="dxa" w:w="80"/>
              <w:left w:type="dxa" w:w="100"/>
              <w:bottom w:type="dxa" w:w="80"/>
              <w:right w:type="dxa" w:w="100"/>
            </w:tcMar>
            <w:vAlign w:val="top"/>
          </w:tcPr>
          <w:p>
            <w:pPr>
              <w:spacing w:after="40"/>
            </w:pPr>
            <w:r>
              <w:rPr>
                <w:sz w:val="19"/>
                <w:szCs w:val="19"/>
              </w:rPr>
              <w:t xml:space="preserve">Tavily</w:t>
            </w:r>
          </w:p>
        </w:tc>
        <w:tc>
          <w:tcPr>
            <w:tcW w:type="dxa" w:w="3200"/>
            <w:tcMar>
              <w:top w:type="dxa" w:w="80"/>
              <w:left w:type="dxa" w:w="100"/>
              <w:bottom w:type="dxa" w:w="80"/>
              <w:right w:type="dxa" w:w="100"/>
            </w:tcMar>
            <w:vAlign w:val="top"/>
          </w:tcPr>
          <w:p>
            <w:pPr>
              <w:spacing w:after="40"/>
            </w:pPr>
            <w:r>
              <w:rPr>
                <w:sz w:val="19"/>
                <w:szCs w:val="19"/>
              </w:rPr>
              <w:t xml:space="preserve">Free tier (1,000 credits/month) rolling into pay-as-you-go; no stated fallback for outages.</w:t>
            </w:r>
          </w:p>
        </w:tc>
        <w:tc>
          <w:tcPr>
            <w:tcW w:type="dxa" w:w="4160"/>
            <w:tcMar>
              <w:top w:type="dxa" w:w="80"/>
              <w:left w:type="dxa" w:w="100"/>
              <w:bottom w:type="dxa" w:w="80"/>
              <w:right w:type="dxa" w:w="100"/>
            </w:tcMar>
            <w:vAlign w:val="top"/>
          </w:tcPr>
          <w:p>
            <w:pPr>
              <w:spacing w:after="40"/>
            </w:pPr>
            <w:r>
              <w:rPr>
                <w:sz w:val="19"/>
                <w:szCs w:val="19"/>
              </w:rPr>
              <w:t xml:space="preserve">Low risk given read-only, non-critical use — search failure should degrade gracefully (Section 10.1).</w:t>
            </w:r>
          </w:p>
        </w:tc>
      </w:tr>
    </w:tbl>
    <w:p>
      <w:pPr>
        <w:pStyle w:val="Heading1"/>
        <w:spacing w:after="160" w:before="360"/>
      </w:pPr>
      <w:r>
        <w:t xml:space="preserve">16. Success Metrics / Validation</w:t>
      </w:r>
    </w:p>
    <w:p>
      <w:pPr>
        <w:pStyle w:val="ListParagraph"/>
        <w:numPr>
          <w:ilvl w:val="0"/>
          <w:numId w:val="2"/>
        </w:numPr>
        <w:spacing w:after="80"/>
      </w:pPr>
      <w:r>
        <w:t xml:space="preserve">Run the local evaluation set (Section 12) after every change to the prompt, tools, or orchestration — not just before a big milestone.</w:t>
      </w:r>
    </w:p>
    <w:p>
      <w:pPr>
        <w:pStyle w:val="ListParagraph"/>
        <w:numPr>
          <w:ilvl w:val="0"/>
          <w:numId w:val="2"/>
        </w:numPr>
        <w:spacing w:after="80"/>
      </w:pPr>
      <w:r>
        <w:t xml:space="preserve">Spot-check a sample of agent responses against the actual Kite screen and actual news to confirm accuracy.</w:t>
      </w:r>
    </w:p>
    <w:p>
      <w:pPr>
        <w:pStyle w:val="ListParagraph"/>
        <w:numPr>
          <w:ilvl w:val="0"/>
          <w:numId w:val="2"/>
        </w:numPr>
        <w:spacing w:after="80"/>
      </w:pPr>
      <w:r>
        <w:t xml:space="preserve">Confirm the agent correctly declines or clarifies when it cannot see relevant data on screen, rather than guessing.</w:t>
      </w:r>
    </w:p>
    <w:p>
      <w:pPr>
        <w:pStyle w:val="ListParagraph"/>
        <w:numPr>
          <w:ilvl w:val="0"/>
          <w:numId w:val="2"/>
        </w:numPr>
        <w:spacing w:after="80"/>
      </w:pPr>
      <w:r>
        <w:t xml:space="preserve">Confirm no tool call can ever reach a write endpoint — review tool definitions specifically for this (Section 6).</w:t>
      </w:r>
    </w:p>
    <w:p>
      <w:pPr>
        <w:pStyle w:val="ListParagraph"/>
        <w:numPr>
          <w:ilvl w:val="0"/>
          <w:numId w:val="2"/>
        </w:numPr>
        <w:spacing w:after="80"/>
      </w:pPr>
      <w:r>
        <w:t xml:space="preserve">Acknowledgment-phrase naturalness: spot-check that acknowledgment phrases don't feel repetitive across many queries (Section 4.2).</w:t>
      </w:r>
    </w:p>
    <w:p>
      <w:pPr>
        <w:pStyle w:val="ListParagraph"/>
        <w:numPr>
          <w:ilvl w:val="0"/>
          <w:numId w:val="2"/>
        </w:numPr>
        <w:spacing w:after="80"/>
      </w:pPr>
      <w:r>
        <w:t xml:space="preserve">Indicator accuracy: verify computed Bollinger Bands / Fibonacci levels against Kite's own chart for the same instrument and timeframe before trusting them for real decisions.</w:t>
      </w:r>
    </w:p>
    <w:p>
      <w:pPr>
        <w:pStyle w:val="ListParagraph"/>
        <w:numPr>
          <w:ilvl w:val="0"/>
          <w:numId w:val="2"/>
        </w:numPr>
        <w:spacing w:after="80"/>
      </w:pPr>
      <w:r>
        <w:t xml:space="preserve">VAD accuracy: run 20 test queries in your normal working environment; count false triggers and missed triggers. Target: &lt;1 false trigger per 10 minutes of idle background noise.</w:t>
      </w:r>
    </w:p>
    <w:p>
      <w:pPr>
        <w:pStyle w:val="ListParagraph"/>
        <w:numPr>
          <w:ilvl w:val="0"/>
          <w:numId w:val="2"/>
        </w:numPr>
        <w:spacing w:after="80"/>
      </w:pPr>
      <w:r>
        <w:t xml:space="preserve">Barge-in responsiveness: confirm playback interrupts within 300ms of the user starting to speak.</w:t>
      </w:r>
    </w:p>
    <w:p>
      <w:pPr>
        <w:pStyle w:val="ListParagraph"/>
        <w:numPr>
          <w:ilvl w:val="0"/>
          <w:numId w:val="2"/>
        </w:numPr>
        <w:spacing w:after="80"/>
      </w:pPr>
      <w:r>
        <w:t xml:space="preserve">Latency: log actual turn latencies against the Section 5 targets for at least 20 real turns before treating those targets as validated.</w:t>
      </w:r>
    </w:p>
    <w:p>
      <w:pPr>
        <w:pStyle w:val="Heading1"/>
        <w:spacing w:after="160" w:before="360"/>
      </w:pPr>
      <w:r>
        <w:t xml:space="preserve">17. Cost &amp; Budget Analysis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60"/>
      </w:tblGrid>
      <w:tr>
        <w:trPr>
          <w:tblHeader/>
        </w:trPr>
        <w:tc>
          <w:tcPr>
            <w:tcW w:type="dxa" w:w="2400"/>
            <w:shd w:fill="2E5266" w:val="clear"/>
            <w:tcMar>
              <w:top w:type="dxa" w:w="80"/>
              <w:left w:type="dxa" w:w="100"/>
              <w:bottom w:type="dxa" w:w="80"/>
              <w:right w:type="dxa" w:w="100"/>
            </w:tcMar>
            <w:vAlign w:val="center"/>
          </w:tcPr>
          <w:p>
            <w:r>
              <w:rPr>
                <w:b/>
                <w:bCs/>
                <w:color w:val="FFFFFF"/>
                <w:sz w:val="20"/>
                <w:szCs w:val="20"/>
              </w:rPr>
              <w:t xml:space="preserve">Service</w:t>
            </w:r>
          </w:p>
        </w:tc>
        <w:tc>
          <w:tcPr>
            <w:tcW w:type="dxa" w:w="2600"/>
            <w:shd w:fill="2E5266" w:val="clear"/>
            <w:tcMar>
              <w:top w:type="dxa" w:w="80"/>
              <w:left w:type="dxa" w:w="100"/>
              <w:bottom w:type="dxa" w:w="80"/>
              <w:right w:type="dxa" w:w="100"/>
            </w:tcMar>
            <w:vAlign w:val="center"/>
          </w:tcPr>
          <w:p>
            <w:r>
              <w:rPr>
                <w:b/>
                <w:bCs/>
                <w:color w:val="FFFFFF"/>
                <w:sz w:val="20"/>
                <w:szCs w:val="20"/>
              </w:rPr>
              <w:t xml:space="preserve">Pricing</w:t>
            </w:r>
          </w:p>
        </w:tc>
        <w:tc>
          <w:tcPr>
            <w:tcW w:type="dxa" w:w="4260"/>
            <w:shd w:fill="2E5266" w:val="clear"/>
            <w:tcMar>
              <w:top w:type="dxa" w:w="80"/>
              <w:left w:type="dxa" w:w="100"/>
              <w:bottom w:type="dxa" w:w="80"/>
              <w:right w:type="dxa" w:w="100"/>
            </w:tcMar>
            <w:vAlign w:val="center"/>
          </w:tcPr>
          <w:p>
            <w:r>
              <w:rPr>
                <w:b/>
                <w:bCs/>
                <w:color w:val="FFFFFF"/>
                <w:sz w:val="20"/>
                <w:szCs w:val="20"/>
              </w:rPr>
              <w:t xml:space="preserve">Notes</w:t>
            </w:r>
          </w:p>
        </w:tc>
      </w:tr>
      <w:tr>
        <w:tc>
          <w:tcPr>
            <w:tcW w:type="dxa" w:w="2400"/>
            <w:tcMar>
              <w:top w:type="dxa" w:w="80"/>
              <w:left w:type="dxa" w:w="100"/>
              <w:bottom w:type="dxa" w:w="80"/>
              <w:right w:type="dxa" w:w="100"/>
            </w:tcMar>
            <w:vAlign w:val="top"/>
          </w:tcPr>
          <w:p>
            <w:pPr>
              <w:spacing w:after="40"/>
            </w:pPr>
            <w:r>
              <w:rPr>
                <w:sz w:val="19"/>
                <w:szCs w:val="19"/>
              </w:rPr>
              <w:t xml:space="preserve">Groq — Whisper Large v3 Turbo (STT)</w:t>
            </w:r>
          </w:p>
        </w:tc>
        <w:tc>
          <w:tcPr>
            <w:tcW w:type="dxa" w:w="2600"/>
            <w:tcMar>
              <w:top w:type="dxa" w:w="80"/>
              <w:left w:type="dxa" w:w="100"/>
              <w:bottom w:type="dxa" w:w="80"/>
              <w:right w:type="dxa" w:w="100"/>
            </w:tcMar>
            <w:vAlign w:val="top"/>
          </w:tcPr>
          <w:p>
            <w:pPr>
              <w:spacing w:after="40"/>
            </w:pPr>
            <w:r>
              <w:rPr>
                <w:sz w:val="19"/>
                <w:szCs w:val="19"/>
              </w:rPr>
              <w:t xml:space="preserve">~$0.04 / hour of audio</w:t>
            </w:r>
          </w:p>
        </w:tc>
        <w:tc>
          <w:tcPr>
            <w:tcW w:type="dxa" w:w="4260"/>
            <w:tcMar>
              <w:top w:type="dxa" w:w="80"/>
              <w:left w:type="dxa" w:w="100"/>
              <w:bottom w:type="dxa" w:w="80"/>
              <w:right w:type="dxa" w:w="100"/>
            </w:tcMar>
            <w:vAlign w:val="top"/>
          </w:tcPr>
          <w:p>
            <w:pPr>
              <w:spacing w:after="40"/>
            </w:pPr>
            <w:r>
              <w:rPr>
                <w:sz w:val="19"/>
                <w:szCs w:val="19"/>
              </w:rPr>
              <w:t xml:space="preserve">Billed on audio duration processed, not tokens. Personal usage of a few hours a month is a few cents.</w:t>
            </w:r>
          </w:p>
        </w:tc>
      </w:tr>
      <w:tr>
        <w:tc>
          <w:tcPr>
            <w:tcW w:type="dxa" w:w="2400"/>
            <w:tcMar>
              <w:top w:type="dxa" w:w="80"/>
              <w:left w:type="dxa" w:w="100"/>
              <w:bottom w:type="dxa" w:w="80"/>
              <w:right w:type="dxa" w:w="100"/>
            </w:tcMar>
            <w:vAlign w:val="top"/>
          </w:tcPr>
          <w:p>
            <w:pPr>
              <w:spacing w:after="40"/>
            </w:pPr>
            <w:r>
              <w:rPr>
                <w:sz w:val="19"/>
                <w:szCs w:val="19"/>
              </w:rPr>
              <w:t xml:space="preserve">Groq — multimodal LLM</w:t>
            </w:r>
          </w:p>
        </w:tc>
        <w:tc>
          <w:tcPr>
            <w:tcW w:type="dxa" w:w="2600"/>
            <w:tcMar>
              <w:top w:type="dxa" w:w="80"/>
              <w:left w:type="dxa" w:w="100"/>
              <w:bottom w:type="dxa" w:w="80"/>
              <w:right w:type="dxa" w:w="100"/>
            </w:tcMar>
            <w:vAlign w:val="top"/>
          </w:tcPr>
          <w:p>
            <w:pPr>
              <w:spacing w:after="40"/>
            </w:pPr>
            <w:r>
              <w:rPr>
                <w:sz w:val="19"/>
                <w:szCs w:val="19"/>
              </w:rPr>
              <w:t xml:space="preserve">Sub-$1 per million input tokens on current comparable models</w:t>
            </w:r>
          </w:p>
        </w:tc>
        <w:tc>
          <w:tcPr>
            <w:tcW w:type="dxa" w:w="4260"/>
            <w:tcMar>
              <w:top w:type="dxa" w:w="80"/>
              <w:left w:type="dxa" w:w="100"/>
              <w:bottom w:type="dxa" w:w="80"/>
              <w:right w:type="dxa" w:w="100"/>
            </w:tcMar>
            <w:vAlign w:val="top"/>
          </w:tcPr>
          <w:p>
            <w:pPr>
              <w:spacing w:after="40"/>
            </w:pPr>
            <w:r>
              <w:rPr>
                <w:sz w:val="19"/>
                <w:szCs w:val="19"/>
              </w:rPr>
              <w:t xml:space="preserve">Confirm current per-token rate for whichever model you pin (Section 2.3); Groq's cheaper multimodal/text models have historically priced well under $1/1M input tokens.</w:t>
            </w:r>
          </w:p>
        </w:tc>
      </w:tr>
      <w:tr>
        <w:tc>
          <w:tcPr>
            <w:tcW w:type="dxa" w:w="2400"/>
            <w:tcMar>
              <w:top w:type="dxa" w:w="80"/>
              <w:left w:type="dxa" w:w="100"/>
              <w:bottom w:type="dxa" w:w="80"/>
              <w:right w:type="dxa" w:w="100"/>
            </w:tcMar>
            <w:vAlign w:val="top"/>
          </w:tcPr>
          <w:p>
            <w:pPr>
              <w:spacing w:after="40"/>
            </w:pPr>
            <w:r>
              <w:rPr>
                <w:sz w:val="19"/>
                <w:szCs w:val="19"/>
              </w:rPr>
              <w:t xml:space="preserve">Cartesia Sonic (TTS)</w:t>
            </w:r>
          </w:p>
        </w:tc>
        <w:tc>
          <w:tcPr>
            <w:tcW w:type="dxa" w:w="2600"/>
            <w:tcMar>
              <w:top w:type="dxa" w:w="80"/>
              <w:left w:type="dxa" w:w="100"/>
              <w:bottom w:type="dxa" w:w="80"/>
              <w:right w:type="dxa" w:w="100"/>
            </w:tcMar>
            <w:vAlign w:val="top"/>
          </w:tcPr>
          <w:p>
            <w:pPr>
              <w:spacing w:after="40"/>
            </w:pPr>
            <w:r>
              <w:rPr>
                <w:sz w:val="19"/>
                <w:szCs w:val="19"/>
              </w:rPr>
              <w:t xml:space="preserve">Credit-based plan, free tier available</w:t>
            </w:r>
          </w:p>
        </w:tc>
        <w:tc>
          <w:tcPr>
            <w:tcW w:type="dxa" w:w="4260"/>
            <w:tcMar>
              <w:top w:type="dxa" w:w="80"/>
              <w:left w:type="dxa" w:w="100"/>
              <w:bottom w:type="dxa" w:w="80"/>
              <w:right w:type="dxa" w:w="100"/>
            </w:tcMar>
            <w:vAlign w:val="top"/>
          </w:tcPr>
          <w:p>
            <w:pPr>
              <w:spacing w:after="40"/>
            </w:pPr>
            <w:r>
              <w:rPr>
                <w:sz w:val="19"/>
                <w:szCs w:val="19"/>
              </w:rPr>
              <w:t xml:space="preserve">Confirm current allowances — pricing is structured as plan credits, not a flat per-character rate (Section 15).</w:t>
            </w:r>
          </w:p>
        </w:tc>
      </w:tr>
      <w:tr>
        <w:tc>
          <w:tcPr>
            <w:tcW w:type="dxa" w:w="2400"/>
            <w:tcMar>
              <w:top w:type="dxa" w:w="80"/>
              <w:left w:type="dxa" w:w="100"/>
              <w:bottom w:type="dxa" w:w="80"/>
              <w:right w:type="dxa" w:w="100"/>
            </w:tcMar>
            <w:vAlign w:val="top"/>
          </w:tcPr>
          <w:p>
            <w:pPr>
              <w:spacing w:after="40"/>
            </w:pPr>
            <w:r>
              <w:rPr>
                <w:sz w:val="19"/>
                <w:szCs w:val="19"/>
              </w:rPr>
              <w:t xml:space="preserve">Zerodha Kite Connect</w:t>
            </w:r>
          </w:p>
        </w:tc>
        <w:tc>
          <w:tcPr>
            <w:tcW w:type="dxa" w:w="2600"/>
            <w:tcMar>
              <w:top w:type="dxa" w:w="80"/>
              <w:left w:type="dxa" w:w="100"/>
              <w:bottom w:type="dxa" w:w="80"/>
              <w:right w:type="dxa" w:w="100"/>
            </w:tcMar>
            <w:vAlign w:val="top"/>
          </w:tcPr>
          <w:p>
            <w:pPr>
              <w:spacing w:after="40"/>
            </w:pPr>
            <w:r>
              <w:rPr>
                <w:sz w:val="19"/>
                <w:szCs w:val="19"/>
              </w:rPr>
              <w:t xml:space="preserve">₹500 / month</w:t>
            </w:r>
          </w:p>
        </w:tc>
        <w:tc>
          <w:tcPr>
            <w:tcW w:type="dxa" w:w="4260"/>
            <w:tcMar>
              <w:top w:type="dxa" w:w="80"/>
              <w:left w:type="dxa" w:w="100"/>
              <w:bottom w:type="dxa" w:w="80"/>
              <w:right w:type="dxa" w:w="100"/>
            </w:tcMar>
            <w:vAlign w:val="top"/>
          </w:tcPr>
          <w:p>
            <w:pPr>
              <w:spacing w:after="40"/>
            </w:pPr>
            <w:r>
              <w:rPr>
                <w:sz w:val="19"/>
                <w:szCs w:val="19"/>
              </w:rPr>
              <w:t xml:space="preserve">Required for full read-only access with live WebSocket market data.</w:t>
            </w:r>
          </w:p>
        </w:tc>
      </w:tr>
      <w:tr>
        <w:tc>
          <w:tcPr>
            <w:tcW w:type="dxa" w:w="2400"/>
            <w:tcMar>
              <w:top w:type="dxa" w:w="80"/>
              <w:left w:type="dxa" w:w="100"/>
              <w:bottom w:type="dxa" w:w="80"/>
              <w:right w:type="dxa" w:w="100"/>
            </w:tcMar>
            <w:vAlign w:val="top"/>
          </w:tcPr>
          <w:p>
            <w:pPr>
              <w:spacing w:after="40"/>
            </w:pPr>
            <w:r>
              <w:rPr>
                <w:sz w:val="19"/>
                <w:szCs w:val="19"/>
              </w:rPr>
              <w:t xml:space="preserve">Tavily (web search)</w:t>
            </w:r>
          </w:p>
        </w:tc>
        <w:tc>
          <w:tcPr>
            <w:tcW w:type="dxa" w:w="2600"/>
            <w:tcMar>
              <w:top w:type="dxa" w:w="80"/>
              <w:left w:type="dxa" w:w="100"/>
              <w:bottom w:type="dxa" w:w="80"/>
              <w:right w:type="dxa" w:w="100"/>
            </w:tcMar>
            <w:vAlign w:val="top"/>
          </w:tcPr>
          <w:p>
            <w:pPr>
              <w:spacing w:after="40"/>
            </w:pPr>
            <w:r>
              <w:rPr>
                <w:sz w:val="19"/>
                <w:szCs w:val="19"/>
              </w:rPr>
              <w:t xml:space="preserve">Free up to 1,000 credits/month, then pay-as-you-go</w:t>
            </w:r>
          </w:p>
        </w:tc>
        <w:tc>
          <w:tcPr>
            <w:tcW w:type="dxa" w:w="4260"/>
            <w:tcMar>
              <w:top w:type="dxa" w:w="80"/>
              <w:left w:type="dxa" w:w="100"/>
              <w:bottom w:type="dxa" w:w="80"/>
              <w:right w:type="dxa" w:w="100"/>
            </w:tcMar>
            <w:vAlign w:val="top"/>
          </w:tcPr>
          <w:p>
            <w:pPr>
              <w:spacing w:after="40"/>
            </w:pPr>
            <w:r>
              <w:rPr>
                <w:sz w:val="19"/>
                <w:szCs w:val="19"/>
              </w:rPr>
              <w:t xml:space="preserve">Personal usage should comfortably sit inside the free tier.</w:t>
            </w:r>
          </w:p>
        </w:tc>
      </w:tr>
      <w:tr>
        <w:tc>
          <w:tcPr>
            <w:tcW w:type="dxa" w:w="2400"/>
            <w:tcMar>
              <w:top w:type="dxa" w:w="80"/>
              <w:left w:type="dxa" w:w="100"/>
              <w:bottom w:type="dxa" w:w="80"/>
              <w:right w:type="dxa" w:w="100"/>
            </w:tcMar>
            <w:vAlign w:val="top"/>
          </w:tcPr>
          <w:p>
            <w:pPr>
              <w:spacing w:after="40"/>
            </w:pPr>
            <w:r>
              <w:rPr>
                <w:sz w:val="19"/>
                <w:szCs w:val="19"/>
              </w:rPr>
              <w:t xml:space="preserve">Estimated monthly total (personal use)</w:t>
            </w:r>
          </w:p>
        </w:tc>
        <w:tc>
          <w:tcPr>
            <w:tcW w:type="dxa" w:w="2600"/>
            <w:tcMar>
              <w:top w:type="dxa" w:w="80"/>
              <w:left w:type="dxa" w:w="100"/>
              <w:bottom w:type="dxa" w:w="80"/>
              <w:right w:type="dxa" w:w="100"/>
            </w:tcMar>
            <w:vAlign w:val="top"/>
          </w:tcPr>
          <w:p>
            <w:pPr>
              <w:spacing w:after="40"/>
            </w:pPr>
            <w:r>
              <w:rPr>
                <w:sz w:val="19"/>
                <w:szCs w:val="19"/>
              </w:rPr>
              <w:t xml:space="preserve">~₹500 + a few dollars incidental</w:t>
            </w:r>
          </w:p>
        </w:tc>
        <w:tc>
          <w:tcPr>
            <w:tcW w:type="dxa" w:w="4260"/>
            <w:tcMar>
              <w:top w:type="dxa" w:w="80"/>
              <w:left w:type="dxa" w:w="100"/>
              <w:bottom w:type="dxa" w:w="80"/>
              <w:right w:type="dxa" w:w="100"/>
            </w:tcMar>
            <w:vAlign w:val="top"/>
          </w:tcPr>
          <w:p>
            <w:pPr>
              <w:spacing w:after="40"/>
            </w:pPr>
            <w:r>
              <w:rPr>
                <w:sz w:val="19"/>
                <w:szCs w:val="19"/>
              </w:rPr>
              <w:t xml:space="preserve">Assumes Groq and Cartesia both stay within free/low-usage tiers, which is realistic at personal-prototype call volume.</w:t>
            </w:r>
          </w:p>
        </w:tc>
      </w:tr>
    </w:tbl>
    <w:p>
      <w:pPr>
        <w:pBdr>
          <w:left w:val="single" w:color="2E5266" w:sz="12" w:space="8"/>
        </w:pBdr>
        <w:spacing w:after="200" w:before="60"/>
        <w:ind w:left="360"/>
      </w:pPr>
      <w:r>
        <w:rPr>
          <w:i/>
          <w:iCs/>
          <w:color w:val="555555"/>
        </w:rPr>
        <w:t xml:space="preserve">For comparison: the v1.4 Gemini Live architecture would have run on token-metered audio pricing (in the range of a few dollars per million audio tokens) that scales with total connection time, not just active turns — meaningfully more expensive for an always-listening prototype than this per-turn cascade. Re-verify all rates above before treating this table as current; pricing on every one of these services has moved within the last year and will move again.</w:t>
      </w:r>
    </w:p>
    <w:p>
      <w:pPr>
        <w:pStyle w:val="Heading1"/>
        <w:spacing w:after="160" w:before="360"/>
      </w:pPr>
      <w:r>
        <w:t xml:space="preserve">18. Out of Scope / Explicit Non-Goals</w:t>
      </w:r>
    </w:p>
    <w:p>
      <w:pPr>
        <w:pStyle w:val="ListParagraph"/>
        <w:numPr>
          <w:ilvl w:val="0"/>
          <w:numId w:val="2"/>
        </w:numPr>
        <w:spacing w:after="80"/>
      </w:pPr>
      <w:r>
        <w:t xml:space="preserve">Placing, modifying, or cancelling any order — no tool in this system will ever support this without a separate risk review.</w:t>
      </w:r>
    </w:p>
    <w:p>
      <w:pPr>
        <w:pStyle w:val="ListParagraph"/>
        <w:numPr>
          <w:ilvl w:val="0"/>
          <w:numId w:val="2"/>
        </w:numPr>
        <w:spacing w:after="80"/>
      </w:pPr>
      <w:r>
        <w:t xml:space="preserve">Mouse/keyboard automation of Kite's UI.</w:t>
      </w:r>
    </w:p>
    <w:p>
      <w:pPr>
        <w:pStyle w:val="ListParagraph"/>
        <w:numPr>
          <w:ilvl w:val="0"/>
          <w:numId w:val="2"/>
        </w:numPr>
        <w:spacing w:after="80"/>
      </w:pPr>
      <w:r>
        <w:t xml:space="preserve">Multi-user authentication or shared access.</w:t>
      </w:r>
    </w:p>
    <w:p>
      <w:pPr>
        <w:pStyle w:val="ListParagraph"/>
        <w:numPr>
          <w:ilvl w:val="0"/>
          <w:numId w:val="2"/>
        </w:numPr>
        <w:spacing w:after="80"/>
      </w:pPr>
      <w:r>
        <w:t xml:space="preserve">Continuous/always-on screen streaming — explicitly replaced by on-demand, model-triggered capture (Section 6.1).</w:t>
      </w:r>
    </w:p>
    <w:p>
      <w:pPr>
        <w:pStyle w:val="ListParagraph"/>
        <w:numPr>
          <w:ilvl w:val="0"/>
          <w:numId w:val="2"/>
        </w:numPr>
        <w:spacing w:after="80"/>
      </w:pPr>
      <w:r>
        <w:t xml:space="preserve">Production-grade SLAs — all targets in this document are prototype-stage working assumptions.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1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266" w:sz="6" w:space="4"/>
      </w:pBdr>
      <w:spacing w:after="160" w:before="360"/>
    </w:pPr>
    <w:rPr>
      <w:rFonts w:ascii="Calibri" w:cs="Calibri" w:eastAsia="Calibri" w:hAnsi="Calibri"/>
      <w:b/>
      <w:bCs/>
      <w:color w:val="2E5266"/>
      <w:sz w:val="30"/>
      <w:szCs w:val="30"/>
    </w:rPr>
  </w:style>
  <w:style w:type="paragraph" w:styleId="Heading2">
    <w:name w:val="Heading 2"/>
    <w:basedOn w:val="Normal"/>
    <w:next w:val="Normal"/>
    <w:qFormat/>
    <w:pPr>
      <w:spacing w:after="120" w:before="280"/>
    </w:pPr>
    <w:rPr>
      <w:rFonts w:ascii="Calibri" w:cs="Calibri" w:eastAsia="Calibri" w:hAnsi="Calibri"/>
      <w:b/>
      <w:bCs/>
      <w:color w:val="1F1F1F"/>
      <w:sz w:val="25"/>
      <w:szCs w:val="25"/>
    </w:rPr>
  </w:style>
  <w:style w:type="paragraph" w:styleId="Heading3">
    <w:name w:val="Heading 3"/>
    <w:basedOn w:val="Normal"/>
    <w:next w:val="Normal"/>
    <w:qFormat/>
    <w:pPr>
      <w:spacing w:after="100" w:before="220"/>
    </w:pPr>
    <w:rPr>
      <w:rFonts w:ascii="Calibri" w:cs="Calibri" w:eastAsia="Calibri" w:hAnsi="Calibri"/>
      <w:b/>
      <w:bCs/>
      <w:i/>
      <w:iCs/>
      <w:color w:val="2E52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2026-07-24T19:47:13.985Z</dcterms:created>
  <dcterms:modified xsi:type="dcterms:W3CDTF">2026-07-24T19:47:13.996Z</dcterms:modified>
</cp:coreProperties>
</file>

<file path=docProps/custom.xml><?xml version="1.0" encoding="utf-8"?>
<Properties xmlns="http://schemas.openxmlformats.org/officeDocument/2006/custom-properties" xmlns:vt="http://schemas.openxmlformats.org/officeDocument/2006/docPropsVTypes"/>
</file>