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4" w:before="0"/>
        <w:jc w:val="center"/>
      </w:pPr>
      <w:r>
        <w:drawing>
          <wp:inline distT="0" distB="0" distL="0" distR="0">
            <wp:extent cx="2286000" cy="3238500"/>
            <wp:effectExtent t="0" r="0" b="0" l="0"/>
            <wp:docPr id="1" name="title_art" descr="Flower of Life and Metatron's Cube" title="Sacred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238500"/>
                    </a:xfrm>
                    <a:prstGeom prst="rect">
                      <a:avLst/>
                    </a:prstGeom>
                  </pic:spPr>
                </pic:pic>
              </a:graphicData>
            </a:graphic>
          </wp:inline>
        </w:drawing>
      </w:r>
    </w:p>
    <w:p>
      <w:pPr>
        <w:spacing w:after="0" w:before="194"/>
        <w:jc w:val="center"/>
      </w:pPr>
      <w:r>
        <w:rPr>
          <w:rFonts w:ascii="Century Gothic" w:cs="Century Gothic" w:eastAsia="Century Gothic" w:hAnsi="Century Gothic"/>
          <w:b/>
          <w:bCs/>
          <w:color w:val="0D1B3A"/>
          <w:spacing w:val="200"/>
          <w:sz w:val="73"/>
          <w:szCs w:val="73"/>
        </w:rPr>
        <w:t>THE GEOMETRIC BOARD</w:t>
      </w:r>
    </w:p>
    <w:p>
      <w:pPr>
        <w:spacing w:after="74" w:before="0"/>
        <w:jc w:val="center"/>
      </w:pPr>
      <w:r>
        <w:rPr>
          <w:rFonts w:ascii="Century Gothic" w:cs="Century Gothic" w:eastAsia="Century Gothic" w:hAnsi="Century Gothic"/>
          <w:b/>
          <w:bCs/>
          <w:color w:val="16264A"/>
          <w:spacing w:val="140"/>
          <w:sz w:val="63"/>
          <w:szCs w:val="63"/>
        </w:rPr>
        <w:t>OF LAW</w:t>
      </w:r>
    </w:p>
    <w:p>
      <w:pPr>
        <w:spacing w:after="194" w:before="194"/>
        <w:jc w:val="center"/>
      </w:pPr>
      <w:r>
        <w:drawing>
          <wp:inline distT="0" distB="0" distL="0" distR="0">
            <wp:extent cx="4286250" cy="142875"/>
            <wp:effectExtent t="0" r="0" b="0" l="0"/>
            <wp:docPr id="1" name="divider" descr="Sacred geometry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42875"/>
                    </a:xfrm>
                    <a:prstGeom prst="rect">
                      <a:avLst/>
                    </a:prstGeom>
                  </pic:spPr>
                </pic:pic>
              </a:graphicData>
            </a:graphic>
          </wp:inline>
        </w:drawing>
      </w:r>
    </w:p>
    <w:p>
      <w:pPr>
        <w:spacing w:after="120" w:before="120"/>
        <w:jc w:val="center"/>
      </w:pPr>
      <w:r>
        <w:rPr>
          <w:rFonts w:ascii="Palatino Linotype" w:cs="Palatino Linotype" w:eastAsia="Palatino Linotype" w:hAnsi="Palatino Linotype"/>
          <w:i/>
          <w:iCs/>
          <w:color w:val="16264A"/>
          <w:sz w:val="36"/>
          <w:szCs w:val="36"/>
        </w:rPr>
        <w:t>A Theorem-Gated ASHA Framework from Clifford Algebra Cℓ(1,7)</w:t>
      </w:r>
    </w:p>
    <w:p>
      <w:pPr>
        <w:spacing w:after="314" w:before="0"/>
        <w:jc w:val="center"/>
      </w:pPr>
      <w:r>
        <w:rPr>
          <w:rFonts w:ascii="Palatino Linotype" w:cs="Palatino Linotype" w:eastAsia="Palatino Linotype" w:hAnsi="Palatino Linotype"/>
          <w:color w:val="2E5090"/>
          <w:sz w:val="25"/>
          <w:szCs w:val="25"/>
        </w:rPr>
        <w:t>Toward a Theory of Everything: Standard-Model Law-Space, Higgs Geometry, and Firewalled Frontiers</w:t>
      </w:r>
    </w:p>
    <w:p>
      <w:pPr>
        <w:sectPr>
          <w:headerReference w:type="default" r:id="rId14"/>
          <w:headerReference w:type="first" r:id="rId15"/>
          <w:headerReference w:type="even" r:id="rId16"/>
          <w:pgSz w:w="11906" w:h="16838" w:orient="portrait"/>
          <w:pgMar w:top="2880" w:right="2274" w:bottom="1440" w:left="2274" w:header="708" w:footer="708" w:gutter="0"/>
          <w:pgNumType/>
          <w:docGrid w:linePitch="360"/>
        </w:sectPr>
      </w:pPr>
    </w:p>
    <w:p>
      <w:pPr>
        <w:pBdr>
          <w:bottom w:val="single" w:color="C5A34C" w:sz="6" w:space="4"/>
        </w:pBdr>
        <w:spacing w:after="153" w:before="194"/>
        <w:jc w:val="center"/>
      </w:pPr>
      <w:r>
        <w:rPr>
          <w:rFonts w:ascii="Century Gothic" w:cs="Century Gothic" w:eastAsia="Century Gothic" w:hAnsi="Century Gothic"/>
          <w:b/>
          <w:bCs/>
          <w:color w:val="0D1B3A"/>
          <w:spacing w:val="120"/>
          <w:sz w:val="45"/>
          <w:szCs w:val="45"/>
        </w:rPr>
        <w:t xml:space="preserve">ABSTRACT</w:t>
      </w:r>
    </w:p>
    <w:p>
      <w:pPr>
        <w:spacing w:after="120" w:before="153" w:line="300"/>
        <w:ind w:left="360" w:right="360"/>
        <w:jc w:val="both"/>
      </w:pPr>
      <w:r>
        <w:rPr>
          <w:rFonts w:ascii="Palatino Linotype" w:cs="Palatino Linotype" w:eastAsia="Palatino Linotype" w:hAnsi="Palatino Linotype"/>
          <w:i/>
          <w:iCs/>
          <w:color w:val="1A1A2E"/>
          <w:sz w:val="22"/>
          <w:szCs w:val="22"/>
        </w:rPr>
        <w:t>This manuscript presents ASHA as a theorem-gated geometric board for unification: a reproducible program that separates native derivations, bridge-level coefficient lanes, failed routes, and sealed environmental frontiers inside a finite Cℓ(1,7)-based architecture. Starting from Λ•R⁸ and the 256-dimensional Clifford language, the construction builds Boolean incidence and octonionic G₂ calibration projectors in Λ⁴R⁸, whose exact intersection defines a seven-dimensional contact vacuum K. Off-diagonal projected-connection curvature then yields a four-real-dimensional Higgs/contact carrier, while the finite matter bridge Λ*(C⁴), B−L polarization, chirality, hypercharge, and Morita bimodule structure lead to the almost-commutative finite algebra A_F = C ⊕ H ⊕ M₃(C). In this category, inner fluctuations recover the Standard Model gauge/Higgs field inventory and the boundary hypercharge normalization k_Y = 5/3, giving sin²θ* = 3/8. The spectral-action lane, edge-supported Higgs one-forms, and Pfaffian scale mechanism further assemble a tree-level Higgs proxy near 124.925 GeV. Equally important are the negative theorems: repeated audits reject premature claims that triality, contact quartics, quaternionic scalar structure, edge graphs, scalar variational functionals, or the existing fermionic carrier natively determine the 13 charged flavor moduli. A quarantined K/X/Y family-axiom ledger supplies hierarchy, mixing, and CP capacity with nine symbolic charged coefficients, but their numerical values remain environmental boundary data, not native predictions. Cosmological coordinates are likewise firewalled without a continuum-history rule. The result is not a rhetorical claim of completion, but a high-integrity geometric board for a theory of everything: a precise map of what the finite geometry derives, what it conditionally supports, and where new axioms or empirical coordinates begin.</w:t>
      </w:r>
    </w:p>
    <w:p>
      <w:pPr>
        <w:spacing w:after="74" w:before="194"/>
      </w:pPr>
      <w:r>
        <w:rPr>
          <w:rFonts w:ascii="Century Gothic" w:cs="Century Gothic" w:eastAsia="Century Gothic" w:hAnsi="Century Gothic"/>
          <w:b/>
          <w:bCs/>
          <w:color w:val="16264A"/>
          <w:sz w:val="20"/>
          <w:szCs w:val="20"/>
        </w:rPr>
        <w:t>Keywords: ASHA, Clifford algebra Cℓ(1,7), finite spectral triples, noncommutative geometry, Standard Model, spectral action, Higgs geometry, theorem-gated computation, flavor firewall, geometric unification</w:t>
      </w:r>
    </w:p>
    <w:p>
      <w:pPr>
        <w:spacing w:after="247" w:before="74"/>
      </w:pPr>
      <w:r>
        <w:rPr>
          <w:rFonts w:ascii="Century Gothic" w:cs="Century Gothic" w:eastAsia="Century Gothic" w:hAnsi="Century Gothic"/>
          <w:b/>
          <w:bCs/>
          <w:color w:val="16264A"/>
          <w:sz w:val="20"/>
          <w:szCs w:val="20"/>
        </w:rPr>
        <w:t>PACS: 02.10.Hh, 02.40.Gh, 11.15.Ex, 12.10.-g, 12.90.+b, 04.50.Kd</w:t>
      </w:r>
    </w:p>
    <w:p>
      <w:pPr>
        <w:spacing w:after="194" w:before="194"/>
        <w:jc w:val="center"/>
      </w:pPr>
      <w:r>
        <w:drawing>
          <wp:inline distT="0" distB="0" distL="0" distR="0">
            <wp:extent cx="4286250" cy="142875"/>
            <wp:effectExtent t="0" r="0" b="0" l="0"/>
            <wp:docPr id="1" name="divider" descr="Sacred geometry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42875"/>
                    </a:xfrm>
                    <a:prstGeom prst="rect">
                      <a:avLst/>
                    </a:prstGeom>
                  </pic:spPr>
                </pic:pic>
              </a:graphicData>
            </a:graphic>
          </wp:inline>
        </w:drawing>
      </w:r>
    </w:p>
    <w:p>
      <w:pPr>
        <w:spacing w:after="194" w:before="247"/>
        <w:jc w:val="center"/>
      </w:pPr>
      <w:r>
        <w:rPr>
          <w:rFonts w:ascii="Century Gothic" w:cs="Century Gothic" w:eastAsia="Century Gothic" w:hAnsi="Century Gothic"/>
          <w:b/>
          <w:bCs/>
          <w:color w:val="0D1B3A"/>
          <w:spacing w:val="120"/>
          <w:sz w:val="45"/>
          <w:szCs w:val="45"/>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2160" w:right="1800" w:bottom="1440" w:left="1800" w:header="708" w:footer="708" w:gutter="0"/>
          <w:pgNumType/>
          <w:docGrid w:linePitch="360"/>
        </w:sectPr>
      </w:pPr>
    </w:p>
    <w:p>
      <w:pPr>
        <w:pStyle w:val="Heading1"/>
      </w:pPr>
      <w:r>
        <w:t>Introduction</w:t>
      </w:r>
    </w:p>
    <w:p>
      <w:r>
        <w:t>The modern unification problem has two different faces. One is constructive: to explain why the Standard Model gauge and matter structures, the Higgs sector, and the gravitational/spectral-action scaffold fit together with such rigid algebraic precision. The other is epistemological: to identify which observed quantities are actually forced by the geometry and which remain boundary data of a particular vacuum or cosmological history. ASHA is written around this second demand as much as the first. Its central discipline is that every proposed bridge must be either proved, marked conditional, rejected as a failed route, or sealed as environmental.</w:t>
      </w:r>
    </w:p>
    <w:p>
      <w:r>
        <w:t>This manuscript therefore does not present a slogan-based “theory of everything.” It presents a theorem-gated geometric board: a finite Cℓ(1,7)-based architecture whose gates record both positive constructions and no-go results. The positive chain begins with the exterior algebra Λ•R⁸ and the 256-dimensional Clifford bookkeeping, passes through Boolean incidence and octonionic G₂ calibration in Λ⁴R⁸, isolates a seven-dimensional contact vacuum K₇, and then moves through off-diagonal connection geometry into the Higgs/contact carrier, Fock matter carrier, finite spectral triple, and almost-commutative product geometry. Clifford and spinorial methods are classical tools in mathematical physics [1,2], while the noncommutative-geometric side is aligned with the spectral-triple tradition [8].</w:t>
      </w:r>
    </w:p>
    <w:p>
      <w:pPr>
        <w:jc w:val="center"/>
      </w:pPr>
      <w:r>
        <w:drawing>
          <wp:inline xmlns:a="http://schemas.openxmlformats.org/drawingml/2006/main" xmlns:pic="http://schemas.openxmlformats.org/drawingml/2006/picture">
            <wp:extent cx="5394960" cy="408472"/>
            <wp:docPr id="2" name="Picture 2"/>
            <wp:cNvGraphicFramePr>
              <a:graphicFrameLocks noChangeAspect="1"/>
            </wp:cNvGraphicFramePr>
            <a:graphic>
              <a:graphicData uri="http://schemas.openxmlformats.org/drawingml/2006/picture">
                <pic:pic>
                  <pic:nvPicPr>
                    <pic:cNvPr id="0" name="eq_1.png"/>
                    <pic:cNvPicPr/>
                  </pic:nvPicPr>
                  <pic:blipFill>
                    <a:blip r:embed="rId17"/>
                    <a:stretch>
                      <a:fillRect/>
                    </a:stretch>
                  </pic:blipFill>
                  <pic:spPr>
                    <a:xfrm>
                      <a:off x="0" y="0"/>
                      <a:ext cx="5394960" cy="408472"/>
                    </a:xfrm>
                    <a:prstGeom prst="rect"/>
                  </pic:spPr>
                </pic:pic>
              </a:graphicData>
            </a:graphic>
          </wp:inline>
        </w:drawing>
      </w:r>
    </w:p>
    <w:p>
      <w:r>
        <w:t>The mature architecture is not the early, naive interpretation in which every interesting subspace is immediately identified with a particle or a physical parameter. Several early routes were deliberately falsified by the engine. Tangent-level electroweak shapes did not survive naive Boolean compression; triality supplied a threefold representation arena but did not derive the observed flavor texture; the contact quartic q₄ was proven to live internally in the contact spectral sector rather than serving as a Higgs-bundle selector; and the scalar/Higgs carrier Hφ was shown to be flavor-blind under its native observables. These negative theorems are not auxiliary failures. They are part of the result.</w:t>
      </w:r>
    </w:p>
    <w:p>
      <w:r>
        <w:t>The native law-space result is correspondingly narrower and stronger than the template claim it replaces. ASHA derives and audits a finite internal geometry compatible with the Standard Model field inventory through the Morita finite spectral-triple lane, inner fluctuations, hypercharge normalization, and edge-supported Higgs one-forms. It also assembles a bridge-level spectral-action and Pfaffian scale lane, including a tree-level Higgs proxy near 124.925 GeV. These are not presented as isolated numerological coincidences: each is tracked through the gate ledger, together with its assumptions, normalization choices, and firewalls.</w:t>
      </w:r>
    </w:p>
    <w:p>
      <w:r>
        <w:t>Equally important, the manuscript explicitly refuses three categories of overclaim. First, it does not claim that the 13 charged flavor moduli are natively predicted: the final charged flavor space remains firewalled as masses and CKM data unless additional family-bundle axioms are supplied. Second, it does not claim that cosmological observables such as dark-matter abundance or vacuum energy are derived without a continuum-history rule. Third, it does not claim that consciousness or biological organization are consequences of the finite spectral triple. Those topics are outside the present theorem board.</w:t>
      </w:r>
    </w:p>
    <w:p>
      <w:pPr>
        <w:jc w:val="center"/>
      </w:pPr>
      <w:r>
        <w:drawing>
          <wp:inline xmlns:a="http://schemas.openxmlformats.org/drawingml/2006/main" xmlns:pic="http://schemas.openxmlformats.org/drawingml/2006/picture">
            <wp:extent cx="5212080" cy="394626"/>
            <wp:docPr id="3" name="Picture 3"/>
            <wp:cNvGraphicFramePr>
              <a:graphicFrameLocks noChangeAspect="1"/>
            </wp:cNvGraphicFramePr>
            <a:graphic>
              <a:graphicData uri="http://schemas.openxmlformats.org/drawingml/2006/picture">
                <pic:pic>
                  <pic:nvPicPr>
                    <pic:cNvPr id="0" name="eq_2.png"/>
                    <pic:cNvPicPr/>
                  </pic:nvPicPr>
                  <pic:blipFill>
                    <a:blip r:embed="rId18"/>
                    <a:stretch>
                      <a:fillRect/>
                    </a:stretch>
                  </pic:blipFill>
                  <pic:spPr>
                    <a:xfrm>
                      <a:off x="0" y="0"/>
                      <a:ext cx="5212080" cy="394626"/>
                    </a:xfrm>
                    <a:prstGeom prst="rect"/>
                  </pic:spPr>
                </pic:pic>
              </a:graphicData>
            </a:graphic>
          </wp:inline>
        </w:drawing>
      </w:r>
    </w:p>
    <w:p>
      <w:r>
        <w:t/>
      </w:r>
    </w:p>
    <w:p>
      <w:pPr>
        <w:pStyle w:val="Heading2"/>
      </w:pPr>
      <w:r>
        <w:t>Motivation and Scope</w:t>
      </w:r>
    </w:p>
    <w:p>
      <w:r>
        <w:t>The motivation for the ASHA construction is not merely to find another elegant algebra. The project asks whether a finite, reproducible gate system can separate law-space from environment with enough precision to be useful to physics. A successful gate must say exactly what object is constructed, which carrier it acts on, which compatibility conditions it satisfies, and which claims it does not license. This is why the gate ledger contains successful theorems, partial supports, no-go routes, and explicit seals side by side.</w:t>
      </w:r>
    </w:p>
    <w:p>
      <w:r>
        <w:t>The scope of this manuscript is organized into four layers:</w:t>
      </w:r>
    </w:p>
    <w:p>
      <w:r>
        <w:t>• Native finite law-space: Cℓ(1,7), Λ•ℝ⁸, Boolean/G₂ contact geometry, the contact vacuum K₇, the finite matter carrier, the Morita finite spectral triple A_F, inner fluctuations, and the Standard Model gauge/Higgs field inventory.</w:t>
      </w:r>
    </w:p>
    <w:p>
      <w:r>
        <w:t>• Bridge and coefficient lanes: hypercharge normalization k_Y = 5/3, the boundary value sin²θ* = 3/8, spectral-action coefficient arithmetic, edge-supported Higgs one-form normalization, and the Pfaffian scale lane.</w:t>
      </w:r>
    </w:p>
    <w:p>
      <w:r>
        <w:t>• Quarantined family-capacity axioms: K_gen, X_gen, and Y_gen can be added as explicit family-bundle axioms to provide hierarchy, mixing, and CP capacity, but the resulting nine charged source coefficients remain environmental boundary data.</w:t>
      </w:r>
    </w:p>
    <w:p>
      <w:r>
        <w:t>• Sealed environmental frontiers: the 13 charged flavor moduli, PMNS/neutrino-sector details beyond the audited carrier, cosmological coordinates, vacuum energy, and dark-sector abundance are not promoted to native derivations.</w:t>
      </w:r>
    </w:p>
    <w:p>
      <w:r>
        <w:t>The resulting board can be summarized as a disciplined implication rather than an unrestricted claim:</w:t>
      </w:r>
    </w:p>
    <w:p>
      <w:pPr>
        <w:jc w:val="center"/>
      </w:pPr>
      <w:r>
        <w:drawing>
          <wp:inline xmlns:a="http://schemas.openxmlformats.org/drawingml/2006/main" xmlns:pic="http://schemas.openxmlformats.org/drawingml/2006/picture">
            <wp:extent cx="5212080" cy="370988"/>
            <wp:docPr id="4" name="Picture 4"/>
            <wp:cNvGraphicFramePr>
              <a:graphicFrameLocks noChangeAspect="1"/>
            </wp:cNvGraphicFramePr>
            <a:graphic>
              <a:graphicData uri="http://schemas.openxmlformats.org/drawingml/2006/picture">
                <pic:pic>
                  <pic:nvPicPr>
                    <pic:cNvPr id="0" name="eq_3.png"/>
                    <pic:cNvPicPr/>
                  </pic:nvPicPr>
                  <pic:blipFill>
                    <a:blip r:embed="rId19"/>
                    <a:stretch>
                      <a:fillRect/>
                    </a:stretch>
                  </pic:blipFill>
                  <pic:spPr>
                    <a:xfrm>
                      <a:off x="0" y="0"/>
                      <a:ext cx="5212080" cy="370988"/>
                    </a:xfrm>
                    <a:prstGeom prst="rect"/>
                  </pic:spPr>
                </pic:pic>
              </a:graphicData>
            </a:graphic>
          </wp:inline>
        </w:drawing>
      </w:r>
    </w:p>
    <w:p>
      <w:r>
        <w:t>This framing determines the rest of the paper. The mathematical sections reconstruct the finite measurement ladder, contact vacuum, scalar/contact bridge, Fock matter carrier, electroweak charge skeleton, spectral-triple core, inner-fluctuation field content, almost-commutative product geometry, and spectral-action coefficient lanes. Later sections record the flavor and cosmology firewalls, not as omissions, but as theorem-gated boundaries. The manuscript is therefore both constructive and falsification-aware: it aims to show what the current ASHA geometry can support while making equally visible what it cannot yet derive.</w:t>
      </w:r>
    </w:p>
    <w:p>
      <w:r>
        <w:t/>
      </w:r>
    </w:p>
    <w:p>
      <w:pPr>
        <w:pStyle w:val="Heading1"/>
      </w:pPr>
      <w:r>
        <w:t xml:space="preserve">Mathematical Foundations</w:t>
      </w:r>
    </w:p>
    <w:p>
      <w:r>
        <w:rPr>
          <w:b w:val="0"/>
          <w:i w:val="0"/>
        </w:rPr>
        <w:t>Clifford Algebra and the Finite Measurement Ladder</w:t>
      </w:r>
    </w:p>
    <w:p>
      <w:r>
        <w:rPr>
          <w:b w:val="0"/>
          <w:i w:val="0"/>
        </w:rPr>
        <w:t>ASHA begins with a finite algebraic measurement language, not with an immediate catalogue of particles. The basic carrier is an eight-dimensional real vector space equipped with a quadratic form of signature (1,7). With orthonormal generators e₀,…,e₇, the Clifford product is defined by the relation below. This manuscript uses the ASHA gate convention with one positive and seven negative directions; reversing the global sign is a convention change, not a different theorem.</w:t>
      </w:r>
    </w:p>
    <w:p>
      <w:pPr>
        <w:spacing w:before="80" w:after="80"/>
        <w:jc w:val="center"/>
      </w:pPr>
      <w:r>
        <w:drawing>
          <wp:inline xmlns:a="http://schemas.openxmlformats.org/drawingml/2006/main" xmlns:pic="http://schemas.openxmlformats.org/drawingml/2006/picture">
            <wp:extent cx="5695203" cy="219456"/>
            <wp:docPr id="5" name="Picture 5"/>
            <wp:cNvGraphicFramePr>
              <a:graphicFrameLocks noChangeAspect="1"/>
            </wp:cNvGraphicFramePr>
            <a:graphic>
              <a:graphicData uri="http://schemas.openxmlformats.org/drawingml/2006/picture">
                <pic:pic>
                  <pic:nvPicPr>
                    <pic:cNvPr id="0" name="8243cb43d509.png"/>
                    <pic:cNvPicPr/>
                  </pic:nvPicPr>
                  <pic:blipFill>
                    <a:blip r:embed="rId20"/>
                    <a:stretch>
                      <a:fillRect/>
                    </a:stretch>
                  </pic:blipFill>
                  <pic:spPr>
                    <a:xfrm>
                      <a:off x="0" y="0"/>
                      <a:ext cx="5695203" cy="219456"/>
                    </a:xfrm>
                    <a:prstGeom prst="rect"/>
                  </pic:spPr>
                </pic:pic>
              </a:graphicData>
            </a:graphic>
          </wp:inline>
        </w:drawing>
      </w:r>
    </w:p>
    <w:p>
      <w:r>
        <w:rPr>
          <w:b w:val="0"/>
          <w:i w:val="0"/>
        </w:rPr>
        <w:t>The resulting Clifford algebra has 2⁸ = 256 basis blades. The same finite bookkeeping can be read through the exterior-grade ladder Λ•ℝ⁸. The grade dimensions are binomial coefficients, and the middle chamber Λ⁴ℝ⁸ is the 70-dimensional arena in which the Boolean and octonionic contact structures are later compared.</w:t>
      </w:r>
    </w:p>
    <w:p>
      <w:pPr>
        <w:spacing w:before="80" w:after="80"/>
        <w:jc w:val="center"/>
      </w:pPr>
      <w:r>
        <w:drawing>
          <wp:inline xmlns:a="http://schemas.openxmlformats.org/drawingml/2006/main" xmlns:pic="http://schemas.openxmlformats.org/drawingml/2006/picture">
            <wp:extent cx="3522647" cy="438912"/>
            <wp:docPr id="6" name="Picture 6"/>
            <wp:cNvGraphicFramePr>
              <a:graphicFrameLocks noChangeAspect="1"/>
            </wp:cNvGraphicFramePr>
            <a:graphic>
              <a:graphicData uri="http://schemas.openxmlformats.org/drawingml/2006/picture">
                <pic:pic>
                  <pic:nvPicPr>
                    <pic:cNvPr id="0" name="0bc4486ca0c9.png"/>
                    <pic:cNvPicPr/>
                  </pic:nvPicPr>
                  <pic:blipFill>
                    <a:blip r:embed="rId21"/>
                    <a:stretch>
                      <a:fillRect/>
                    </a:stretch>
                  </pic:blipFill>
                  <pic:spPr>
                    <a:xfrm>
                      <a:off x="0" y="0"/>
                      <a:ext cx="3522647" cy="43891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852657" cy="182880"/>
            <wp:docPr id="7" name="Picture 7"/>
            <wp:cNvGraphicFramePr>
              <a:graphicFrameLocks noChangeAspect="1"/>
            </wp:cNvGraphicFramePr>
            <a:graphic>
              <a:graphicData uri="http://schemas.openxmlformats.org/drawingml/2006/picture">
                <pic:pic>
                  <pic:nvPicPr>
                    <pic:cNvPr id="0" name="7fce753275dd.png"/>
                    <pic:cNvPicPr/>
                  </pic:nvPicPr>
                  <pic:blipFill>
                    <a:blip r:embed="rId22"/>
                    <a:stretch>
                      <a:fillRect/>
                    </a:stretch>
                  </pic:blipFill>
                  <pic:spPr>
                    <a:xfrm>
                      <a:off x="0" y="0"/>
                      <a:ext cx="4852657" cy="182880"/>
                    </a:xfrm>
                    <a:prstGeom prst="rect"/>
                  </pic:spPr>
                </pic:pic>
              </a:graphicData>
            </a:graphic>
          </wp:inline>
        </w:drawing>
      </w:r>
    </w:p>
    <w:p>
      <w:r>
        <w:rPr>
          <w:b w:val="0"/>
          <w:i w:val="0"/>
        </w:rPr>
        <w:t>Grade Decomposition: Audited Role, Not Particle Numerology</w:t>
      </w:r>
    </w:p>
    <w:p>
      <w:r>
        <w:rPr>
          <w:b w:val="0"/>
          <w:i w:val="0"/>
        </w:rPr>
        <w:t>The grade decomposition is a measurement ladder. It should not be read as a direct one-to-one particle list. In particular, the later flavor audits explicitly reject the claim that the 256-dimensional algebra by itself derives three generations or the 13 charged flavor moduli. The table below records the reliable mathematical role of each grade in the mature ASHA reading.</w:t>
      </w:r>
    </w:p>
    <w:p>
      <w:r>
        <w:rPr>
          <w:b w:val="0"/>
          <w:i w:val="0"/>
        </w:rPr>
        <w:t>Table 1: Grade decomposition of Cℓ(1,7) and its mature ASHA role</w:t>
      </w:r>
    </w:p>
    <w:tbl>
      <w:tblPr>
        <w:tblW w:type="auto" w:w="0"/>
        <w:jc w:val="center"/>
        <w:tblLook w:firstColumn="1" w:firstRow="1" w:lastColumn="0" w:lastRow="0" w:noHBand="0" w:noVBand="1" w:val="04A0"/>
      </w:tblPr>
      <w:tblGrid>
        <w:gridCol w:w="2076"/>
        <w:gridCol w:w="2076"/>
        <w:gridCol w:w="2076"/>
        <w:gridCol w:w="2076"/>
      </w:tblGrid>
      <w:tr>
        <w:tc>
          <w:tcPr>
            <w:tcW w:type="dxa" w:w="792"/>
            <w:vAlign w:val="center"/>
          </w:tcPr>
          <w:p>
            <w:pPr>
              <w:spacing w:after="20" w:before="20"/>
            </w:pPr>
            <w:r>
              <w:rPr>
                <w:b/>
                <w:sz w:val="16"/>
              </w:rPr>
              <w:t>Grade</w:t>
            </w:r>
          </w:p>
        </w:tc>
        <w:tc>
          <w:tcPr>
            <w:tcW w:type="dxa" w:w="936"/>
            <w:vAlign w:val="center"/>
          </w:tcPr>
          <w:p>
            <w:pPr>
              <w:spacing w:after="20" w:before="20"/>
            </w:pPr>
            <w:r>
              <w:rPr>
                <w:b/>
                <w:sz w:val="16"/>
              </w:rPr>
              <w:t>Dimension</w:t>
            </w:r>
          </w:p>
        </w:tc>
        <w:tc>
          <w:tcPr>
            <w:tcW w:type="dxa" w:w="1944"/>
            <w:vAlign w:val="center"/>
          </w:tcPr>
          <w:p>
            <w:pPr>
              <w:spacing w:after="20" w:before="20"/>
            </w:pPr>
            <w:r>
              <w:rPr>
                <w:b/>
                <w:sz w:val="16"/>
              </w:rPr>
              <w:t>Algebraic sector</w:t>
            </w:r>
          </w:p>
        </w:tc>
        <w:tc>
          <w:tcPr>
            <w:tcW w:type="dxa" w:w="5040"/>
            <w:vAlign w:val="center"/>
          </w:tcPr>
          <w:p>
            <w:pPr>
              <w:spacing w:after="20" w:before="20"/>
            </w:pPr>
            <w:r>
              <w:rPr>
                <w:b/>
                <w:sz w:val="16"/>
              </w:rPr>
              <w:t>Mature ASHA role</w:t>
            </w:r>
          </w:p>
        </w:tc>
      </w:tr>
      <w:tr>
        <w:tc>
          <w:tcPr>
            <w:tcW w:type="dxa" w:w="792"/>
            <w:vAlign w:val="center"/>
          </w:tcPr>
          <w:p>
            <w:pPr>
              <w:spacing w:after="20" w:before="20"/>
            </w:pPr>
            <w:r>
              <w:rPr>
                <w:sz w:val="16"/>
              </w:rPr>
              <w:t>0</w:t>
            </w:r>
          </w:p>
        </w:tc>
        <w:tc>
          <w:tcPr>
            <w:tcW w:type="dxa" w:w="936"/>
            <w:vAlign w:val="center"/>
          </w:tcPr>
          <w:p>
            <w:pPr>
              <w:spacing w:after="20" w:before="20"/>
            </w:pPr>
            <w:r>
              <w:rPr>
                <w:sz w:val="16"/>
              </w:rPr>
              <w:t>1</w:t>
            </w:r>
          </w:p>
        </w:tc>
        <w:tc>
          <w:tcPr>
            <w:tcW w:type="dxa" w:w="1944"/>
            <w:vAlign w:val="center"/>
          </w:tcPr>
          <w:p>
            <w:pPr>
              <w:spacing w:after="20" w:before="20"/>
            </w:pPr>
            <w:r>
              <w:rPr>
                <w:sz w:val="16"/>
              </w:rPr>
              <w:t>Scalar unit</w:t>
            </w:r>
          </w:p>
        </w:tc>
        <w:tc>
          <w:tcPr>
            <w:tcW w:type="dxa" w:w="5040"/>
            <w:vAlign w:val="center"/>
          </w:tcPr>
          <w:p>
            <w:pPr>
              <w:spacing w:after="20" w:before="20"/>
            </w:pPr>
            <w:r>
              <w:rPr>
                <w:sz w:val="16"/>
              </w:rPr>
              <w:t>Normalization, scalar coefficients, trace anchors.</w:t>
            </w:r>
          </w:p>
        </w:tc>
      </w:tr>
      <w:tr>
        <w:tc>
          <w:tcPr>
            <w:tcW w:type="dxa" w:w="792"/>
            <w:vAlign w:val="center"/>
          </w:tcPr>
          <w:p>
            <w:pPr>
              <w:spacing w:after="20" w:before="20"/>
            </w:pPr>
            <w:r>
              <w:rPr>
                <w:sz w:val="16"/>
              </w:rPr>
              <w:t>1</w:t>
            </w:r>
          </w:p>
        </w:tc>
        <w:tc>
          <w:tcPr>
            <w:tcW w:type="dxa" w:w="936"/>
            <w:vAlign w:val="center"/>
          </w:tcPr>
          <w:p>
            <w:pPr>
              <w:spacing w:after="20" w:before="20"/>
            </w:pPr>
            <w:r>
              <w:rPr>
                <w:sz w:val="16"/>
              </w:rPr>
              <w:t>8</w:t>
            </w:r>
          </w:p>
        </w:tc>
        <w:tc>
          <w:tcPr>
            <w:tcW w:type="dxa" w:w="1944"/>
            <w:vAlign w:val="center"/>
          </w:tcPr>
          <w:p>
            <w:pPr>
              <w:spacing w:after="20" w:before="20"/>
            </w:pPr>
            <w:r>
              <w:rPr>
                <w:sz w:val="16"/>
              </w:rPr>
              <w:t>Generators eᵢ</w:t>
            </w:r>
          </w:p>
        </w:tc>
        <w:tc>
          <w:tcPr>
            <w:tcW w:type="dxa" w:w="5040"/>
            <w:vAlign w:val="center"/>
          </w:tcPr>
          <w:p>
            <w:pPr>
              <w:spacing w:after="20" w:before="20"/>
            </w:pPr>
            <w:r>
              <w:rPr>
                <w:sz w:val="16"/>
              </w:rPr>
              <w:t>Finite measurement directions; not automatically physical spacetime dimensions.</w:t>
            </w:r>
          </w:p>
        </w:tc>
      </w:tr>
      <w:tr>
        <w:tc>
          <w:tcPr>
            <w:tcW w:type="dxa" w:w="792"/>
            <w:vAlign w:val="center"/>
          </w:tcPr>
          <w:p>
            <w:pPr>
              <w:spacing w:after="20" w:before="20"/>
            </w:pPr>
            <w:r>
              <w:rPr>
                <w:sz w:val="16"/>
              </w:rPr>
              <w:t>2</w:t>
            </w:r>
          </w:p>
        </w:tc>
        <w:tc>
          <w:tcPr>
            <w:tcW w:type="dxa" w:w="936"/>
            <w:vAlign w:val="center"/>
          </w:tcPr>
          <w:p>
            <w:pPr>
              <w:spacing w:after="20" w:before="20"/>
            </w:pPr>
            <w:r>
              <w:rPr>
                <w:sz w:val="16"/>
              </w:rPr>
              <w:t>28</w:t>
            </w:r>
          </w:p>
        </w:tc>
        <w:tc>
          <w:tcPr>
            <w:tcW w:type="dxa" w:w="1944"/>
            <w:vAlign w:val="center"/>
          </w:tcPr>
          <w:p>
            <w:pPr>
              <w:spacing w:after="20" w:before="20"/>
            </w:pPr>
            <w:r>
              <w:rPr>
                <w:sz w:val="16"/>
              </w:rPr>
              <w:t>Bivectors eᵢ∧eⱼ</w:t>
            </w:r>
          </w:p>
        </w:tc>
        <w:tc>
          <w:tcPr>
            <w:tcW w:type="dxa" w:w="5040"/>
            <w:vAlign w:val="center"/>
          </w:tcPr>
          <w:p>
            <w:pPr>
              <w:spacing w:after="20" w:before="20"/>
            </w:pPr>
            <w:r>
              <w:rPr>
                <w:sz w:val="16"/>
              </w:rPr>
              <w:t>Lie-algebra coordinate candidates; gauge meaning appears only after spectral-triple tests.</w:t>
            </w:r>
          </w:p>
        </w:tc>
      </w:tr>
      <w:tr>
        <w:tc>
          <w:tcPr>
            <w:tcW w:type="dxa" w:w="792"/>
            <w:vAlign w:val="center"/>
          </w:tcPr>
          <w:p>
            <w:pPr>
              <w:spacing w:after="20" w:before="20"/>
            </w:pPr>
            <w:r>
              <w:rPr>
                <w:sz w:val="16"/>
              </w:rPr>
              <w:t>3</w:t>
            </w:r>
          </w:p>
        </w:tc>
        <w:tc>
          <w:tcPr>
            <w:tcW w:type="dxa" w:w="936"/>
            <w:vAlign w:val="center"/>
          </w:tcPr>
          <w:p>
            <w:pPr>
              <w:spacing w:after="20" w:before="20"/>
            </w:pPr>
            <w:r>
              <w:rPr>
                <w:sz w:val="16"/>
              </w:rPr>
              <w:t>56</w:t>
            </w:r>
          </w:p>
        </w:tc>
        <w:tc>
          <w:tcPr>
            <w:tcW w:type="dxa" w:w="1944"/>
            <w:vAlign w:val="center"/>
          </w:tcPr>
          <w:p>
            <w:pPr>
              <w:spacing w:after="20" w:before="20"/>
            </w:pPr>
            <w:r>
              <w:rPr>
                <w:sz w:val="16"/>
              </w:rPr>
              <w:t>Λ³ℝ⁸</w:t>
            </w:r>
          </w:p>
        </w:tc>
        <w:tc>
          <w:tcPr>
            <w:tcW w:type="dxa" w:w="5040"/>
            <w:vAlign w:val="center"/>
          </w:tcPr>
          <w:p>
            <w:pPr>
              <w:spacing w:after="20" w:before="20"/>
            </w:pPr>
            <w:r>
              <w:rPr>
                <w:sz w:val="16"/>
              </w:rPr>
              <w:t>Boolean incidence domain W: Λ³ℝ⁸ → Λ⁴ℝ⁸.</w:t>
            </w:r>
          </w:p>
        </w:tc>
      </w:tr>
      <w:tr>
        <w:tc>
          <w:tcPr>
            <w:tcW w:type="dxa" w:w="792"/>
            <w:vAlign w:val="center"/>
          </w:tcPr>
          <w:p>
            <w:pPr>
              <w:spacing w:after="20" w:before="20"/>
            </w:pPr>
            <w:r>
              <w:rPr>
                <w:sz w:val="16"/>
              </w:rPr>
              <w:t>4</w:t>
            </w:r>
          </w:p>
        </w:tc>
        <w:tc>
          <w:tcPr>
            <w:tcW w:type="dxa" w:w="936"/>
            <w:vAlign w:val="center"/>
          </w:tcPr>
          <w:p>
            <w:pPr>
              <w:spacing w:after="20" w:before="20"/>
            </w:pPr>
            <w:r>
              <w:rPr>
                <w:sz w:val="16"/>
              </w:rPr>
              <w:t>70</w:t>
            </w:r>
          </w:p>
        </w:tc>
        <w:tc>
          <w:tcPr>
            <w:tcW w:type="dxa" w:w="1944"/>
            <w:vAlign w:val="center"/>
          </w:tcPr>
          <w:p>
            <w:pPr>
              <w:spacing w:after="20" w:before="20"/>
            </w:pPr>
            <w:r>
              <w:rPr>
                <w:sz w:val="16"/>
              </w:rPr>
              <w:t>Λ⁴ℝ⁸</w:t>
            </w:r>
          </w:p>
        </w:tc>
        <w:tc>
          <w:tcPr>
            <w:tcW w:type="dxa" w:w="5040"/>
            <w:vAlign w:val="center"/>
          </w:tcPr>
          <w:p>
            <w:pPr>
              <w:spacing w:after="20" w:before="20"/>
            </w:pPr>
            <w:r>
              <w:rPr>
                <w:sz w:val="16"/>
              </w:rPr>
              <w:t>Middle chamber for Boolean/G₂ overlap and the K₇ contact vacuum.</w:t>
            </w:r>
          </w:p>
        </w:tc>
      </w:tr>
      <w:tr>
        <w:tc>
          <w:tcPr>
            <w:tcW w:type="dxa" w:w="792"/>
            <w:vAlign w:val="center"/>
          </w:tcPr>
          <w:p>
            <w:pPr>
              <w:spacing w:after="20" w:before="20"/>
            </w:pPr>
            <w:r>
              <w:rPr>
                <w:sz w:val="16"/>
              </w:rPr>
              <w:t>5</w:t>
            </w:r>
          </w:p>
        </w:tc>
        <w:tc>
          <w:tcPr>
            <w:tcW w:type="dxa" w:w="936"/>
            <w:vAlign w:val="center"/>
          </w:tcPr>
          <w:p>
            <w:pPr>
              <w:spacing w:after="20" w:before="20"/>
            </w:pPr>
            <w:r>
              <w:rPr>
                <w:sz w:val="16"/>
              </w:rPr>
              <w:t>56</w:t>
            </w:r>
          </w:p>
        </w:tc>
        <w:tc>
          <w:tcPr>
            <w:tcW w:type="dxa" w:w="1944"/>
            <w:vAlign w:val="center"/>
          </w:tcPr>
          <w:p>
            <w:pPr>
              <w:spacing w:after="20" w:before="20"/>
            </w:pPr>
            <w:r>
              <w:rPr>
                <w:sz w:val="16"/>
              </w:rPr>
              <w:t>Dual incidence sector</w:t>
            </w:r>
          </w:p>
        </w:tc>
        <w:tc>
          <w:tcPr>
            <w:tcW w:type="dxa" w:w="5040"/>
            <w:vAlign w:val="center"/>
          </w:tcPr>
          <w:p>
            <w:pPr>
              <w:spacing w:after="20" w:before="20"/>
            </w:pPr>
            <w:r>
              <w:rPr>
                <w:sz w:val="16"/>
              </w:rPr>
              <w:t>Hodge-dual bookkeeping; not a derived “dual fermion” spectrum.</w:t>
            </w:r>
          </w:p>
        </w:tc>
      </w:tr>
      <w:tr>
        <w:tc>
          <w:tcPr>
            <w:tcW w:type="dxa" w:w="792"/>
            <w:vAlign w:val="center"/>
          </w:tcPr>
          <w:p>
            <w:pPr>
              <w:spacing w:after="20" w:before="20"/>
            </w:pPr>
            <w:r>
              <w:rPr>
                <w:sz w:val="16"/>
              </w:rPr>
              <w:t>6</w:t>
            </w:r>
          </w:p>
        </w:tc>
        <w:tc>
          <w:tcPr>
            <w:tcW w:type="dxa" w:w="936"/>
            <w:vAlign w:val="center"/>
          </w:tcPr>
          <w:p>
            <w:pPr>
              <w:spacing w:after="20" w:before="20"/>
            </w:pPr>
            <w:r>
              <w:rPr>
                <w:sz w:val="16"/>
              </w:rPr>
              <w:t>28</w:t>
            </w:r>
          </w:p>
        </w:tc>
        <w:tc>
          <w:tcPr>
            <w:tcW w:type="dxa" w:w="1944"/>
            <w:vAlign w:val="center"/>
          </w:tcPr>
          <w:p>
            <w:pPr>
              <w:spacing w:after="20" w:before="20"/>
            </w:pPr>
            <w:r>
              <w:rPr>
                <w:sz w:val="16"/>
              </w:rPr>
              <w:t>Dual bivectors</w:t>
            </w:r>
          </w:p>
        </w:tc>
        <w:tc>
          <w:tcPr>
            <w:tcW w:type="dxa" w:w="5040"/>
            <w:vAlign w:val="center"/>
          </w:tcPr>
          <w:p>
            <w:pPr>
              <w:spacing w:after="20" w:before="20"/>
            </w:pPr>
            <w:r>
              <w:rPr>
                <w:sz w:val="16"/>
              </w:rPr>
              <w:t>Dual curvature/connection bookkeeping.</w:t>
            </w:r>
          </w:p>
        </w:tc>
      </w:tr>
      <w:tr>
        <w:tc>
          <w:tcPr>
            <w:tcW w:type="dxa" w:w="792"/>
            <w:vAlign w:val="center"/>
          </w:tcPr>
          <w:p>
            <w:pPr>
              <w:spacing w:after="20" w:before="20"/>
            </w:pPr>
            <w:r>
              <w:rPr>
                <w:sz w:val="16"/>
              </w:rPr>
              <w:t>7</w:t>
            </w:r>
          </w:p>
        </w:tc>
        <w:tc>
          <w:tcPr>
            <w:tcW w:type="dxa" w:w="936"/>
            <w:vAlign w:val="center"/>
          </w:tcPr>
          <w:p>
            <w:pPr>
              <w:spacing w:after="20" w:before="20"/>
            </w:pPr>
            <w:r>
              <w:rPr>
                <w:sz w:val="16"/>
              </w:rPr>
              <w:t>8</w:t>
            </w:r>
          </w:p>
        </w:tc>
        <w:tc>
          <w:tcPr>
            <w:tcW w:type="dxa" w:w="1944"/>
            <w:vAlign w:val="center"/>
          </w:tcPr>
          <w:p>
            <w:pPr>
              <w:spacing w:after="20" w:before="20"/>
            </w:pPr>
            <w:r>
              <w:rPr>
                <w:sz w:val="16"/>
              </w:rPr>
              <w:t>Pseudovectors</w:t>
            </w:r>
          </w:p>
        </w:tc>
        <w:tc>
          <w:tcPr>
            <w:tcW w:type="dxa" w:w="5040"/>
            <w:vAlign w:val="center"/>
          </w:tcPr>
          <w:p>
            <w:pPr>
              <w:spacing w:after="20" w:before="20"/>
            </w:pPr>
            <w:r>
              <w:rPr>
                <w:sz w:val="16"/>
              </w:rPr>
              <w:t>Dual vector chamber and orientation bookkeeping.</w:t>
            </w:r>
          </w:p>
        </w:tc>
      </w:tr>
      <w:tr>
        <w:tc>
          <w:tcPr>
            <w:tcW w:type="dxa" w:w="792"/>
            <w:vAlign w:val="center"/>
          </w:tcPr>
          <w:p>
            <w:pPr>
              <w:spacing w:after="20" w:before="20"/>
            </w:pPr>
            <w:r>
              <w:rPr>
                <w:sz w:val="16"/>
              </w:rPr>
              <w:t>8</w:t>
            </w:r>
          </w:p>
        </w:tc>
        <w:tc>
          <w:tcPr>
            <w:tcW w:type="dxa" w:w="936"/>
            <w:vAlign w:val="center"/>
          </w:tcPr>
          <w:p>
            <w:pPr>
              <w:spacing w:after="20" w:before="20"/>
            </w:pPr>
            <w:r>
              <w:rPr>
                <w:sz w:val="16"/>
              </w:rPr>
              <w:t>1</w:t>
            </w:r>
          </w:p>
        </w:tc>
        <w:tc>
          <w:tcPr>
            <w:tcW w:type="dxa" w:w="1944"/>
            <w:vAlign w:val="center"/>
          </w:tcPr>
          <w:p>
            <w:pPr>
              <w:spacing w:after="20" w:before="20"/>
            </w:pPr>
            <w:r>
              <w:rPr>
                <w:sz w:val="16"/>
              </w:rPr>
              <w:t>Pseudoscalar volume element</w:t>
            </w:r>
          </w:p>
        </w:tc>
        <w:tc>
          <w:tcPr>
            <w:tcW w:type="dxa" w:w="5040"/>
            <w:vAlign w:val="center"/>
          </w:tcPr>
          <w:p>
            <w:pPr>
              <w:spacing w:after="20" w:before="20"/>
            </w:pPr>
            <w:r>
              <w:rPr>
                <w:sz w:val="16"/>
              </w:rPr>
              <w:t>Top-grade orientation and sign data.</w:t>
            </w:r>
          </w:p>
        </w:tc>
      </w:tr>
    </w:tbl>
    <w:p>
      <w:r>
        <w:rPr>
          <w:b w:val="0"/>
          <w:i w:val="0"/>
        </w:rPr>
        <w:t>This distinction is essential. The algebra supplies a finite language and a graded arena; Standard-Model field content emerges later through the finite spectral triple and its inner fluctuations. Flavor parameters remain firewalled unless a nontrivial family bundle is added as an explicit, quarantined axiom.</w:t>
      </w:r>
    </w:p>
    <w:p>
      <w:r>
        <w:rPr>
          <w:b w:val="0"/>
          <w:i w:val="0"/>
        </w:rPr>
        <w:t>Boolean–Octonionic Contact Vacuum</w:t>
      </w:r>
    </w:p>
    <w:p>
      <w:r>
        <w:rPr>
          <w:b w:val="0"/>
          <w:i w:val="0"/>
        </w:rPr>
        <w:t>The first strong finite object is built inside the middle chamber Λ⁴ℝ⁸. Two independently defined projectors are compared there: a Boolean incidence projector P_B of rank 56 and an octonionic G₂ calibration projector P_G of rank 14. Their overlap defines a seven-dimensional contact space K.</w:t>
      </w:r>
    </w:p>
    <w:p>
      <w:pPr>
        <w:spacing w:before="80" w:after="80"/>
        <w:jc w:val="center"/>
      </w:pPr>
      <w:r>
        <w:drawing>
          <wp:inline xmlns:a="http://schemas.openxmlformats.org/drawingml/2006/main" xmlns:pic="http://schemas.openxmlformats.org/drawingml/2006/picture">
            <wp:extent cx="3599447" cy="228600"/>
            <wp:docPr id="8" name="Picture 8"/>
            <wp:cNvGraphicFramePr>
              <a:graphicFrameLocks noChangeAspect="1"/>
            </wp:cNvGraphicFramePr>
            <a:graphic>
              <a:graphicData uri="http://schemas.openxmlformats.org/drawingml/2006/picture">
                <pic:pic>
                  <pic:nvPicPr>
                    <pic:cNvPr id="0" name="40a4179bd530.png"/>
                    <pic:cNvPicPr/>
                  </pic:nvPicPr>
                  <pic:blipFill>
                    <a:blip r:embed="rId23"/>
                    <a:stretch>
                      <a:fillRect/>
                    </a:stretch>
                  </pic:blipFill>
                  <pic:spPr>
                    <a:xfrm>
                      <a:off x="0" y="0"/>
                      <a:ext cx="3599447" cy="22860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220064" cy="228600"/>
            <wp:docPr id="9" name="Picture 9"/>
            <wp:cNvGraphicFramePr>
              <a:graphicFrameLocks noChangeAspect="1"/>
            </wp:cNvGraphicFramePr>
            <a:graphic>
              <a:graphicData uri="http://schemas.openxmlformats.org/drawingml/2006/picture">
                <pic:pic>
                  <pic:nvPicPr>
                    <pic:cNvPr id="0" name="89cad8793482.png"/>
                    <pic:cNvPicPr/>
                  </pic:nvPicPr>
                  <pic:blipFill>
                    <a:blip r:embed="rId24"/>
                    <a:stretch>
                      <a:fillRect/>
                    </a:stretch>
                  </pic:blipFill>
                  <pic:spPr>
                    <a:xfrm>
                      <a:off x="0" y="0"/>
                      <a:ext cx="3220064" cy="228600"/>
                    </a:xfrm>
                    <a:prstGeom prst="rect"/>
                  </pic:spPr>
                </pic:pic>
              </a:graphicData>
            </a:graphic>
          </wp:inline>
        </w:drawing>
      </w:r>
    </w:p>
    <w:p>
      <w:r>
        <w:rPr>
          <w:b w:val="0"/>
          <w:i w:val="0"/>
        </w:rPr>
        <w:t>The same contact space is dynamically selected as the zero-energy sector of a positive finite B-sector quadratic action. Here W is the normalized Boolean incidence map from Λ³ℝ⁸ to Λ⁴ℝ⁸.</w:t>
      </w:r>
    </w:p>
    <w:p>
      <w:pPr>
        <w:spacing w:before="80" w:after="80"/>
        <w:jc w:val="center"/>
      </w:pPr>
      <w:r>
        <w:drawing>
          <wp:inline xmlns:a="http://schemas.openxmlformats.org/drawingml/2006/main" xmlns:pic="http://schemas.openxmlformats.org/drawingml/2006/picture">
            <wp:extent cx="3019598" cy="228600"/>
            <wp:docPr id="10" name="Picture 10"/>
            <wp:cNvGraphicFramePr>
              <a:graphicFrameLocks noChangeAspect="1"/>
            </wp:cNvGraphicFramePr>
            <a:graphic>
              <a:graphicData uri="http://schemas.openxmlformats.org/drawingml/2006/picture">
                <pic:pic>
                  <pic:nvPicPr>
                    <pic:cNvPr id="0" name="9b3e21ae0dd4.png"/>
                    <pic:cNvPicPr/>
                  </pic:nvPicPr>
                  <pic:blipFill>
                    <a:blip r:embed="rId25"/>
                    <a:stretch>
                      <a:fillRect/>
                    </a:stretch>
                  </pic:blipFill>
                  <pic:spPr>
                    <a:xfrm>
                      <a:off x="0" y="0"/>
                      <a:ext cx="3019598" cy="228600"/>
                    </a:xfrm>
                    <a:prstGeom prst="rect"/>
                  </pic:spPr>
                </pic:pic>
              </a:graphicData>
            </a:graphic>
          </wp:inline>
        </w:drawing>
      </w:r>
    </w:p>
    <w:p>
      <w:r>
        <w:rPr>
          <w:b w:val="0"/>
          <w:i w:val="0"/>
        </w:rPr>
        <w:t>This result is one of the native anchors of the framework: the contact vacuum is not inserted by hand. However, it is still an internal finite object. It does not by itself determine observed particle masses, the electroweak scale, the cosmological constant, or the flavor sector.</w:t>
      </w:r>
    </w:p>
    <w:p>
      <w:r>
        <w:rPr>
          <w:b w:val="0"/>
          <w:i w:val="0"/>
        </w:rPr>
        <w:t>From Finite Algebra to Almost-Commutative Geometry</w:t>
      </w:r>
    </w:p>
    <w:p>
      <w:r>
        <w:rPr>
          <w:b w:val="0"/>
          <w:i w:val="0"/>
        </w:rPr>
        <w:t>The mature ASHA architecture does not identify every finite subspace directly with a physical field. Physical field inventory enters through the almost-commutative product of an ordinary spacetime manifold M with a finite internal spectral triple F. The finite algebra used in the Standard-Model lane is the familiar Connes-Chamseddine algebra.</w:t>
      </w:r>
    </w:p>
    <w:p>
      <w:pPr>
        <w:spacing w:before="80" w:after="80"/>
        <w:jc w:val="center"/>
      </w:pPr>
      <w:r>
        <w:drawing>
          <wp:inline xmlns:a="http://schemas.openxmlformats.org/drawingml/2006/main" xmlns:pic="http://schemas.openxmlformats.org/drawingml/2006/picture">
            <wp:extent cx="1596365" cy="201168"/>
            <wp:docPr id="11" name="Picture 11"/>
            <wp:cNvGraphicFramePr>
              <a:graphicFrameLocks noChangeAspect="1"/>
            </wp:cNvGraphicFramePr>
            <a:graphic>
              <a:graphicData uri="http://schemas.openxmlformats.org/drawingml/2006/picture">
                <pic:pic>
                  <pic:nvPicPr>
                    <pic:cNvPr id="0" name="2bf7d108aebb.png"/>
                    <pic:cNvPicPr/>
                  </pic:nvPicPr>
                  <pic:blipFill>
                    <a:blip r:embed="rId26"/>
                    <a:stretch>
                      <a:fillRect/>
                    </a:stretch>
                  </pic:blipFill>
                  <pic:spPr>
                    <a:xfrm>
                      <a:off x="0" y="0"/>
                      <a:ext cx="1596365" cy="201168"/>
                    </a:xfrm>
                    <a:prstGeom prst="rect"/>
                  </pic:spPr>
                </pic:pic>
              </a:graphicData>
            </a:graphic>
          </wp:inline>
        </w:drawing>
      </w:r>
    </w:p>
    <w:p>
      <w:r>
        <w:rPr>
          <w:b w:val="0"/>
          <w:i w:val="0"/>
        </w:rPr>
        <w:t>The total Dirac operator has the product form, separating continuum spin geometry from the finite internal operator.</w:t>
      </w:r>
    </w:p>
    <w:p>
      <w:pPr>
        <w:spacing w:before="80" w:after="80"/>
        <w:jc w:val="center"/>
      </w:pPr>
      <w:r>
        <w:drawing>
          <wp:inline xmlns:a="http://schemas.openxmlformats.org/drawingml/2006/main" xmlns:pic="http://schemas.openxmlformats.org/drawingml/2006/picture">
            <wp:extent cx="2179190" cy="210312"/>
            <wp:docPr id="12" name="Picture 12"/>
            <wp:cNvGraphicFramePr>
              <a:graphicFrameLocks noChangeAspect="1"/>
            </wp:cNvGraphicFramePr>
            <a:graphic>
              <a:graphicData uri="http://schemas.openxmlformats.org/drawingml/2006/picture">
                <pic:pic>
                  <pic:nvPicPr>
                    <pic:cNvPr id="0" name="1a31d92d6690.png"/>
                    <pic:cNvPicPr/>
                  </pic:nvPicPr>
                  <pic:blipFill>
                    <a:blip r:embed="rId27"/>
                    <a:stretch>
                      <a:fillRect/>
                    </a:stretch>
                  </pic:blipFill>
                  <pic:spPr>
                    <a:xfrm>
                      <a:off x="0" y="0"/>
                      <a:ext cx="2179190" cy="210312"/>
                    </a:xfrm>
                    <a:prstGeom prst="rect"/>
                  </pic:spPr>
                </pic:pic>
              </a:graphicData>
            </a:graphic>
          </wp:inline>
        </w:drawing>
      </w:r>
    </w:p>
    <w:p>
      <w:r>
        <w:rPr>
          <w:b w:val="0"/>
          <w:i w:val="0"/>
        </w:rPr>
        <w:t>Gauge and scalar fields are then generated by inner fluctuations of the finite Dirac operator, subject to the real structure J and the first-order condition.</w:t>
      </w:r>
    </w:p>
    <w:p>
      <w:pPr>
        <w:spacing w:before="80" w:after="80"/>
        <w:jc w:val="center"/>
      </w:pPr>
      <w:r>
        <w:drawing>
          <wp:inline xmlns:a="http://schemas.openxmlformats.org/drawingml/2006/main" xmlns:pic="http://schemas.openxmlformats.org/drawingml/2006/picture">
            <wp:extent cx="2542522" cy="210312"/>
            <wp:docPr id="13" name="Picture 13"/>
            <wp:cNvGraphicFramePr>
              <a:graphicFrameLocks noChangeAspect="1"/>
            </wp:cNvGraphicFramePr>
            <a:graphic>
              <a:graphicData uri="http://schemas.openxmlformats.org/drawingml/2006/picture">
                <pic:pic>
                  <pic:nvPicPr>
                    <pic:cNvPr id="0" name="9be55631b367.png"/>
                    <pic:cNvPicPr/>
                  </pic:nvPicPr>
                  <pic:blipFill>
                    <a:blip r:embed="rId28"/>
                    <a:stretch>
                      <a:fillRect/>
                    </a:stretch>
                  </pic:blipFill>
                  <pic:spPr>
                    <a:xfrm>
                      <a:off x="0" y="0"/>
                      <a:ext cx="2542522" cy="210312"/>
                    </a:xfrm>
                    <a:prstGeom prst="rect"/>
                  </pic:spPr>
                </pic:pic>
              </a:graphicData>
            </a:graphic>
          </wp:inline>
        </w:drawing>
      </w:r>
    </w:p>
    <w:p>
      <w:r>
        <w:rPr>
          <w:b w:val="0"/>
          <w:i w:val="0"/>
        </w:rPr>
        <w:t>This is the point at which the finite board becomes a physical law-space candidate: the gauge directions, the Higgs doublet, charge normalization, and spectral-action coefficients are audited only after the representation, real structure, and edge support are fixed. This ordering prevents the central mistake rejected repeatedly by the gates: treating a dimension match as a theorem.</w:t>
      </w:r>
    </w:p>
    <w:p>
      <w:r>
        <w:rPr>
          <w:b/>
          <w:sz w:val="36"/>
        </w:rPr>
        <w:t>The ASHA Theorem Tower</w:t>
      </w:r>
    </w:p>
    <w:p>
      <w:r>
        <w:t>The previous section defined the finite algebraic language. The next task is to explain how ASHA orders that language into a theorem tower. This tower is not the chronological order in which the gates were discovered. It is the mature logical dependency order: each floor introduces only the structure needed by later floors, and each floor states its own boundary so that later physical interpretation cannot be smuggled backward into earlier algebra.</w:t>
      </w:r>
    </w:p>
    <w:p>
      <w:r>
        <w:t>The guiding discipline is simple: a finite object may be suggestive, but it becomes part of the physical law-space only after a typed bridge is constructed. Contact geometry, scalar one-forms, finite matter carriers, electroweak charges, spectral triples, and product geometry therefore occupy distinct floors. This prevents three common errors: reading particle content directly from Clifford grade counts, treating scalar geometry as a flavor selector, and promoting conditional family axioms into native derivations.</w:t>
      </w:r>
    </w:p>
    <w:p>
      <w:pPr>
        <w:jc w:val="center"/>
      </w:pPr>
      <w:r>
        <w:drawing>
          <wp:inline xmlns:a="http://schemas.openxmlformats.org/drawingml/2006/main" xmlns:pic="http://schemas.openxmlformats.org/drawingml/2006/picture">
            <wp:extent cx="5760720" cy="575655"/>
            <wp:docPr id="14" name="Picture 14"/>
            <wp:cNvGraphicFramePr>
              <a:graphicFrameLocks noChangeAspect="1"/>
            </wp:cNvGraphicFramePr>
            <a:graphic>
              <a:graphicData uri="http://schemas.openxmlformats.org/drawingml/2006/picture">
                <pic:pic>
                  <pic:nvPicPr>
                    <pic:cNvPr id="0" name="tower_chain.png"/>
                    <pic:cNvPicPr/>
                  </pic:nvPicPr>
                  <pic:blipFill>
                    <a:blip r:embed="rId29"/>
                    <a:stretch>
                      <a:fillRect/>
                    </a:stretch>
                  </pic:blipFill>
                  <pic:spPr>
                    <a:xfrm>
                      <a:off x="0" y="0"/>
                      <a:ext cx="5760720" cy="575655"/>
                    </a:xfrm>
                    <a:prstGeom prst="rect"/>
                  </pic:spPr>
                </pic:pic>
              </a:graphicData>
            </a:graphic>
          </wp:inline>
        </w:drawing>
      </w:r>
    </w:p>
    <w:p>
      <w:r>
        <w:rPr>
          <w:b/>
          <w:sz w:val="26"/>
        </w:rPr>
        <w:t>Floor 0 — Finite Measurement Ladder</w:t>
      </w:r>
    </w:p>
    <w:p>
      <w:r>
        <w:t>The base floor is the finite measurement language. ASHA begins with the Clifford algebra Cℓ(1,7) and the exterior-grade decomposition of an eight-dimensional carrier. The point of this floor is bookkeeping, not phenomenology. It defines the algebraic arena in which Boolean incidence, octonionic calibration, contact geometry, Fock matter, and later spectral-triple data can be represented without importing observed constants.</w:t>
      </w:r>
    </w:p>
    <w:p>
      <w:pPr>
        <w:jc w:val="center"/>
      </w:pPr>
      <w:r>
        <w:drawing>
          <wp:inline xmlns:a="http://schemas.openxmlformats.org/drawingml/2006/main" xmlns:pic="http://schemas.openxmlformats.org/drawingml/2006/picture">
            <wp:extent cx="5303520" cy="529968"/>
            <wp:docPr id="15" name="Picture 15"/>
            <wp:cNvGraphicFramePr>
              <a:graphicFrameLocks noChangeAspect="1"/>
            </wp:cNvGraphicFramePr>
            <a:graphic>
              <a:graphicData uri="http://schemas.openxmlformats.org/drawingml/2006/picture">
                <pic:pic>
                  <pic:nvPicPr>
                    <pic:cNvPr id="0" name="floor0_measurement.png"/>
                    <pic:cNvPicPr/>
                  </pic:nvPicPr>
                  <pic:blipFill>
                    <a:blip r:embed="rId30"/>
                    <a:stretch>
                      <a:fillRect/>
                    </a:stretch>
                  </pic:blipFill>
                  <pic:spPr>
                    <a:xfrm>
                      <a:off x="0" y="0"/>
                      <a:ext cx="5303520" cy="529968"/>
                    </a:xfrm>
                    <a:prstGeom prst="rect"/>
                  </pic:spPr>
                </pic:pic>
              </a:graphicData>
            </a:graphic>
          </wp:inline>
        </w:drawing>
      </w:r>
    </w:p>
    <w:p>
      <w:r>
        <w:t>The grade sequence 1, 8, 28, 56, 70, 56, 28, 8, 1 identifies the middle chamber Λ⁴ℝ⁸ as a 70-dimensional finite arena. In the mature reading, this chamber is not a particle catalogue. It is the finite internal stage on which the first nontrivial contact-vacuum theorem is built.</w:t>
      </w:r>
    </w:p>
    <w:p>
      <w:r>
        <w:rPr>
          <w:b/>
          <w:sz w:val="26"/>
        </w:rPr>
        <w:t>Floor 1 — Boolean/G₂ Contact Vacuum K₇</w:t>
      </w:r>
    </w:p>
    <w:p>
      <w:r>
        <w:t>The first irreducible finite object arises inside Λ⁴ℝ⁸. One projector comes from Boolean incidence, with rank 56. A second projector comes from the octonionic G₂ calibration sector, with rank 14. Their overlap is not arbitrary: it produces a seven-dimensional contact space K₇.</w:t>
      </w:r>
    </w:p>
    <w:p>
      <w:pPr>
        <w:jc w:val="center"/>
      </w:pPr>
      <w:r>
        <w:drawing>
          <wp:inline xmlns:a="http://schemas.openxmlformats.org/drawingml/2006/main" xmlns:pic="http://schemas.openxmlformats.org/drawingml/2006/picture">
            <wp:extent cx="4023360" cy="402045"/>
            <wp:docPr id="16" name="Picture 16"/>
            <wp:cNvGraphicFramePr>
              <a:graphicFrameLocks noChangeAspect="1"/>
            </wp:cNvGraphicFramePr>
            <a:graphic>
              <a:graphicData uri="http://schemas.openxmlformats.org/drawingml/2006/picture">
                <pic:pic>
                  <pic:nvPicPr>
                    <pic:cNvPr id="0" name="floor1_contact.png"/>
                    <pic:cNvPicPr/>
                  </pic:nvPicPr>
                  <pic:blipFill>
                    <a:blip r:embed="rId31"/>
                    <a:stretch>
                      <a:fillRect/>
                    </a:stretch>
                  </pic:blipFill>
                  <pic:spPr>
                    <a:xfrm>
                      <a:off x="0" y="0"/>
                      <a:ext cx="4023360" cy="402045"/>
                    </a:xfrm>
                    <a:prstGeom prst="rect"/>
                  </pic:spPr>
                </pic:pic>
              </a:graphicData>
            </a:graphic>
          </wp:inline>
        </w:drawing>
      </w:r>
    </w:p>
    <w:p>
      <w:r>
        <w:t>The same K₇ is then selected dynamically as the zero-energy sector of a positive B-sector quadratic action. This is a native finite theorem: the contact vacuum is not fitted to a physical mass, coupling, or cosmological parameter.</w:t>
      </w:r>
    </w:p>
    <w:p>
      <w:pPr>
        <w:jc w:val="center"/>
      </w:pPr>
      <w:r>
        <w:drawing>
          <wp:inline xmlns:a="http://schemas.openxmlformats.org/drawingml/2006/main" xmlns:pic="http://schemas.openxmlformats.org/drawingml/2006/picture">
            <wp:extent cx="4480560" cy="447731"/>
            <wp:docPr id="17" name="Picture 17"/>
            <wp:cNvGraphicFramePr>
              <a:graphicFrameLocks noChangeAspect="1"/>
            </wp:cNvGraphicFramePr>
            <a:graphic>
              <a:graphicData uri="http://schemas.openxmlformats.org/drawingml/2006/picture">
                <pic:pic>
                  <pic:nvPicPr>
                    <pic:cNvPr id="0" name="floor1_baction.png"/>
                    <pic:cNvPicPr/>
                  </pic:nvPicPr>
                  <pic:blipFill>
                    <a:blip r:embed="rId32"/>
                    <a:stretch>
                      <a:fillRect/>
                    </a:stretch>
                  </pic:blipFill>
                  <pic:spPr>
                    <a:xfrm>
                      <a:off x="0" y="0"/>
                      <a:ext cx="4480560" cy="447731"/>
                    </a:xfrm>
                    <a:prstGeom prst="rect"/>
                  </pic:spPr>
                </pic:pic>
              </a:graphicData>
            </a:graphic>
          </wp:inline>
        </w:drawing>
      </w:r>
    </w:p>
    <w:p>
      <w:r>
        <w:t>The boundary is equally important. K₇ is a contact vacuum of the finite internal geometry. It is not yet spacetime, not the Higgs field, not the cosmological constant, and not a generation label. Later gates repeatedly tested such translations and allowed only typed bridges to survive.</w:t>
      </w:r>
    </w:p>
    <w:p>
      <w:r>
        <w:rPr>
          <w:b/>
          <w:sz w:val="26"/>
        </w:rPr>
        <w:t>Floor 2 — Off-Diagonal Higgs Seed</w:t>
      </w:r>
    </w:p>
    <w:p>
      <w:r>
        <w:t>The early attempt to compress tangent gauge data directly onto the finite contact boundary fails. The repair is more geometric: projected connections carry off-diagonal terms between a chosen subspace and its complement. The finite analogue of the Gauss-type identity shows that curvature lost under compression reappears as a second-fundamental/off-diagonal contribution.</w:t>
      </w:r>
    </w:p>
    <w:p>
      <w:pPr>
        <w:jc w:val="center"/>
      </w:pPr>
      <w:r>
        <w:drawing>
          <wp:inline xmlns:a="http://schemas.openxmlformats.org/drawingml/2006/main" xmlns:pic="http://schemas.openxmlformats.org/drawingml/2006/picture">
            <wp:extent cx="4389120" cy="438594"/>
            <wp:docPr id="18" name="Picture 18"/>
            <wp:cNvGraphicFramePr>
              <a:graphicFrameLocks noChangeAspect="1"/>
            </wp:cNvGraphicFramePr>
            <a:graphic>
              <a:graphicData uri="http://schemas.openxmlformats.org/drawingml/2006/picture">
                <pic:pic>
                  <pic:nvPicPr>
                    <pic:cNvPr id="0" name="floor2_gauss.png"/>
                    <pic:cNvPicPr/>
                  </pic:nvPicPr>
                  <pic:blipFill>
                    <a:blip r:embed="rId33"/>
                    <a:stretch>
                      <a:fillRect/>
                    </a:stretch>
                  </pic:blipFill>
                  <pic:spPr>
                    <a:xfrm>
                      <a:off x="0" y="0"/>
                      <a:ext cx="4389120" cy="438594"/>
                    </a:xfrm>
                    <a:prstGeom prst="rect"/>
                  </pic:spPr>
                </pic:pic>
              </a:graphicData>
            </a:graphic>
          </wp:inline>
        </w:drawing>
      </w:r>
    </w:p>
    <w:p>
      <w:r>
        <w:t>This off-diagonal sector produces the first finite Higgs-like seed. The active scalar/contact response contains four real directions, naturally compatible with a complex Higgs doublet after the finite spectral-triple and weak-quaternionic structures are introduced. The scalar sector also exhibits a pair-degenerate response: it supplies a Higgs arena, but it is not a flavor selector.</w:t>
      </w:r>
    </w:p>
    <w:p>
      <w:pPr>
        <w:jc w:val="center"/>
      </w:pPr>
      <w:r>
        <w:drawing>
          <wp:inline xmlns:a="http://schemas.openxmlformats.org/drawingml/2006/main" xmlns:pic="http://schemas.openxmlformats.org/drawingml/2006/picture">
            <wp:extent cx="4480560" cy="447731"/>
            <wp:docPr id="19" name="Picture 19"/>
            <wp:cNvGraphicFramePr>
              <a:graphicFrameLocks noChangeAspect="1"/>
            </wp:cNvGraphicFramePr>
            <a:graphic>
              <a:graphicData uri="http://schemas.openxmlformats.org/drawingml/2006/picture">
                <pic:pic>
                  <pic:nvPicPr>
                    <pic:cNvPr id="0" name="floor2_phi.png"/>
                    <pic:cNvPicPr/>
                  </pic:nvPicPr>
                  <pic:blipFill>
                    <a:blip r:embed="rId34"/>
                    <a:stretch>
                      <a:fillRect/>
                    </a:stretch>
                  </pic:blipFill>
                  <pic:spPr>
                    <a:xfrm>
                      <a:off x="0" y="0"/>
                      <a:ext cx="4480560" cy="447731"/>
                    </a:xfrm>
                    <a:prstGeom prst="rect"/>
                  </pic:spPr>
                </pic:pic>
              </a:graphicData>
            </a:graphic>
          </wp:inline>
        </w:drawing>
      </w:r>
    </w:p>
    <w:p>
      <w:r>
        <w:rPr>
          <w:b/>
          <w:sz w:val="26"/>
        </w:rPr>
        <w:t>Floor 3 — Fock Matter Carrier</w:t>
      </w:r>
    </w:p>
    <w:p>
      <w:r>
        <w:t>The finite matter carrier is introduced separately from the scalar/contact carrier. The Witt/Fock construction uses four creation modes and gives a 16-state finite matter basis. This floor provides charge bookkeeping, parity, and matter-sector selection rules, but it does not derive three generations.</w:t>
      </w:r>
    </w:p>
    <w:p>
      <w:pPr>
        <w:jc w:val="center"/>
      </w:pPr>
      <w:r>
        <w:drawing>
          <wp:inline xmlns:a="http://schemas.openxmlformats.org/drawingml/2006/main" xmlns:pic="http://schemas.openxmlformats.org/drawingml/2006/picture">
            <wp:extent cx="3749039" cy="374632"/>
            <wp:docPr id="20" name="Picture 20"/>
            <wp:cNvGraphicFramePr>
              <a:graphicFrameLocks noChangeAspect="1"/>
            </wp:cNvGraphicFramePr>
            <a:graphic>
              <a:graphicData uri="http://schemas.openxmlformats.org/drawingml/2006/picture">
                <pic:pic>
                  <pic:nvPicPr>
                    <pic:cNvPr id="0" name="floor3_fock.png"/>
                    <pic:cNvPicPr/>
                  </pic:nvPicPr>
                  <pic:blipFill>
                    <a:blip r:embed="rId35"/>
                    <a:stretch>
                      <a:fillRect/>
                    </a:stretch>
                  </pic:blipFill>
                  <pic:spPr>
                    <a:xfrm>
                      <a:off x="0" y="0"/>
                      <a:ext cx="3749039" cy="374632"/>
                    </a:xfrm>
                    <a:prstGeom prst="rect"/>
                  </pic:spPr>
                </pic:pic>
              </a:graphicData>
            </a:graphic>
          </wp:inline>
        </w:drawing>
      </w:r>
    </w:p>
    <w:p>
      <w:r>
        <w:t>A native B−L polarization separates the temporal/leptonic seed from the spatial/color seeds. This is essential for later hypercharge reconstruction, but it must not be confused with flavor generation structure.</w:t>
      </w:r>
    </w:p>
    <w:p>
      <w:pPr>
        <w:jc w:val="center"/>
      </w:pPr>
      <w:r>
        <w:drawing>
          <wp:inline xmlns:a="http://schemas.openxmlformats.org/drawingml/2006/main" xmlns:pic="http://schemas.openxmlformats.org/drawingml/2006/picture">
            <wp:extent cx="4023360" cy="402045"/>
            <wp:docPr id="21" name="Picture 21"/>
            <wp:cNvGraphicFramePr>
              <a:graphicFrameLocks noChangeAspect="1"/>
            </wp:cNvGraphicFramePr>
            <a:graphic>
              <a:graphicData uri="http://schemas.openxmlformats.org/drawingml/2006/picture">
                <pic:pic>
                  <pic:nvPicPr>
                    <pic:cNvPr id="0" name="floor3_bl.png"/>
                    <pic:cNvPicPr/>
                  </pic:nvPicPr>
                  <pic:blipFill>
                    <a:blip r:embed="rId36"/>
                    <a:stretch>
                      <a:fillRect/>
                    </a:stretch>
                  </pic:blipFill>
                  <pic:spPr>
                    <a:xfrm>
                      <a:off x="0" y="0"/>
                      <a:ext cx="4023360" cy="402045"/>
                    </a:xfrm>
                    <a:prstGeom prst="rect"/>
                  </pic:spPr>
                </pic:pic>
              </a:graphicData>
            </a:graphic>
          </wp:inline>
        </w:drawing>
      </w:r>
    </w:p>
    <w:p>
      <w:r>
        <w:t>The mature tensor split keeps the scalar/contact response and the matter charge carrier on different factors. This prevents scalar eigenvalues from being misread as matter charges and prepares the lawful Yukawa selection problem.</w:t>
      </w:r>
    </w:p>
    <w:p>
      <w:r>
        <w:rPr>
          <w:b/>
          <w:sz w:val="26"/>
        </w:rPr>
        <w:t>Floor 4 — Electroweak Charge Skeleton</w:t>
      </w:r>
    </w:p>
    <w:p>
      <w:r>
        <w:t>The electroweak charge skeleton is one of the strongest law-space successes of the tower. The finite charge audit selects the odd hypercharge branch and reconstructs the Standard Model charge relation using a right-handed isospin component and B−L. The left-doublet charges follow through the scalar charge selection rule, and the finite SU(2)L doublet ladder can then be audited directly.</w:t>
      </w:r>
    </w:p>
    <w:p>
      <w:pPr>
        <w:jc w:val="center"/>
      </w:pPr>
      <w:r>
        <w:drawing>
          <wp:inline xmlns:a="http://schemas.openxmlformats.org/drawingml/2006/main" xmlns:pic="http://schemas.openxmlformats.org/drawingml/2006/picture">
            <wp:extent cx="4389120" cy="438594"/>
            <wp:docPr id="22" name="Picture 22"/>
            <wp:cNvGraphicFramePr>
              <a:graphicFrameLocks noChangeAspect="1"/>
            </wp:cNvGraphicFramePr>
            <a:graphic>
              <a:graphicData uri="http://schemas.openxmlformats.org/drawingml/2006/picture">
                <pic:pic>
                  <pic:nvPicPr>
                    <pic:cNvPr id="0" name="floor4_charge.png"/>
                    <pic:cNvPicPr/>
                  </pic:nvPicPr>
                  <pic:blipFill>
                    <a:blip r:embed="rId37"/>
                    <a:stretch>
                      <a:fillRect/>
                    </a:stretch>
                  </pic:blipFill>
                  <pic:spPr>
                    <a:xfrm>
                      <a:off x="0" y="0"/>
                      <a:ext cx="4389120" cy="438594"/>
                    </a:xfrm>
                    <a:prstGeom prst="rect"/>
                  </pic:spPr>
                </pic:pic>
              </a:graphicData>
            </a:graphic>
          </wp:inline>
        </w:drawing>
      </w:r>
    </w:p>
    <w:p>
      <w:r>
        <w:t>The same finite charge table yields the canonical hypercharge normalization and the boundary weak-mixing value.</w:t>
      </w:r>
    </w:p>
    <w:p>
      <w:pPr>
        <w:jc w:val="center"/>
      </w:pPr>
      <w:r>
        <w:drawing>
          <wp:inline xmlns:a="http://schemas.openxmlformats.org/drawingml/2006/main" xmlns:pic="http://schemas.openxmlformats.org/drawingml/2006/picture">
            <wp:extent cx="4389120" cy="438594"/>
            <wp:docPr id="23" name="Picture 23"/>
            <wp:cNvGraphicFramePr>
              <a:graphicFrameLocks noChangeAspect="1"/>
            </wp:cNvGraphicFramePr>
            <a:graphic>
              <a:graphicData uri="http://schemas.openxmlformats.org/drawingml/2006/picture">
                <pic:pic>
                  <pic:nvPicPr>
                    <pic:cNvPr id="0" name="floor4_weakmix.png"/>
                    <pic:cNvPicPr/>
                  </pic:nvPicPr>
                  <pic:blipFill>
                    <a:blip r:embed="rId38"/>
                    <a:stretch>
                      <a:fillRect/>
                    </a:stretch>
                  </pic:blipFill>
                  <pic:spPr>
                    <a:xfrm>
                      <a:off x="0" y="0"/>
                      <a:ext cx="4389120" cy="438594"/>
                    </a:xfrm>
                    <a:prstGeom prst="rect"/>
                  </pic:spPr>
                </pic:pic>
              </a:graphicData>
            </a:graphic>
          </wp:inline>
        </w:drawing>
      </w:r>
    </w:p>
    <w:p>
      <w:r>
        <w:t>This is a boundary result, not the measured low-energy value of the weak mixing angle. To compare with experiment one still needs kinetic normalization, renormalization-group transport, threshold matching, and a physical boundary scale. Those elements are bridge-level or sealed unless independently derived.</w:t>
      </w:r>
    </w:p>
    <w:p>
      <w:r>
        <w:rPr>
          <w:b/>
          <w:sz w:val="26"/>
        </w:rPr>
        <w:t>Floors 5–7 — Finite Spectral Triple, Inner Fluctuations, and Product Geometry</w:t>
      </w:r>
    </w:p>
    <w:p>
      <w:r>
        <w:t>The mature theory does not identify the early Fock bookkeeping with the final Standard-Model finite space. The correct category is the finite almost-commutative spectral triple. The finite algebra is the Connes–Chamseddine Standard-Model algebra, represented on a left-right Morita bimodule with a real structure J, grading, finite Dirac operator, and first-order condition.</w:t>
      </w:r>
    </w:p>
    <w:p>
      <w:pPr>
        <w:jc w:val="center"/>
      </w:pPr>
      <w:r>
        <w:drawing>
          <wp:inline xmlns:a="http://schemas.openxmlformats.org/drawingml/2006/main" xmlns:pic="http://schemas.openxmlformats.org/drawingml/2006/picture">
            <wp:extent cx="3383280" cy="338083"/>
            <wp:docPr id="24" name="Picture 24"/>
            <wp:cNvGraphicFramePr>
              <a:graphicFrameLocks noChangeAspect="1"/>
            </wp:cNvGraphicFramePr>
            <a:graphic>
              <a:graphicData uri="http://schemas.openxmlformats.org/drawingml/2006/picture">
                <pic:pic>
                  <pic:nvPicPr>
                    <pic:cNvPr id="0" name="floor5_af.png"/>
                    <pic:cNvPicPr/>
                  </pic:nvPicPr>
                  <pic:blipFill>
                    <a:blip r:embed="rId39"/>
                    <a:stretch>
                      <a:fillRect/>
                    </a:stretch>
                  </pic:blipFill>
                  <pic:spPr>
                    <a:xfrm>
                      <a:off x="0" y="0"/>
                      <a:ext cx="3383280" cy="338083"/>
                    </a:xfrm>
                    <a:prstGeom prst="rect"/>
                  </pic:spPr>
                </pic:pic>
              </a:graphicData>
            </a:graphic>
          </wp:inline>
        </w:drawing>
      </w:r>
    </w:p>
    <w:p>
      <w:r>
        <w:t>Inner fluctuations of the finite Dirac operator then generate the gauge and scalar field inventory. In the mature ASHA reading, this is where Standard-Model gauge directions and the Higgs doublet enter as physical field content: not from raw Clifford grade numerology, but from the finite spectral triple and its one-forms.</w:t>
      </w:r>
    </w:p>
    <w:p>
      <w:pPr>
        <w:jc w:val="center"/>
      </w:pPr>
      <w:r>
        <w:drawing>
          <wp:inline xmlns:a="http://schemas.openxmlformats.org/drawingml/2006/main" xmlns:pic="http://schemas.openxmlformats.org/drawingml/2006/picture">
            <wp:extent cx="5394960" cy="539105"/>
            <wp:docPr id="25" name="Picture 25"/>
            <wp:cNvGraphicFramePr>
              <a:graphicFrameLocks noChangeAspect="1"/>
            </wp:cNvGraphicFramePr>
            <a:graphic>
              <a:graphicData uri="http://schemas.openxmlformats.org/drawingml/2006/picture">
                <pic:pic>
                  <pic:nvPicPr>
                    <pic:cNvPr id="0" name="floor6_inner.png"/>
                    <pic:cNvPicPr/>
                  </pic:nvPicPr>
                  <pic:blipFill>
                    <a:blip r:embed="rId40"/>
                    <a:stretch>
                      <a:fillRect/>
                    </a:stretch>
                  </pic:blipFill>
                  <pic:spPr>
                    <a:xfrm>
                      <a:off x="0" y="0"/>
                      <a:ext cx="5394960" cy="539105"/>
                    </a:xfrm>
                    <a:prstGeom prst="rect"/>
                  </pic:spPr>
                </pic:pic>
              </a:graphicData>
            </a:graphic>
          </wp:inline>
        </w:drawing>
      </w:r>
    </w:p>
    <w:p>
      <w:r>
        <w:t>Finally, the finite internal geometry is placed in an almost-commutative product with ordinary continuum spin geometry. This is the ontological correction that prevents the finite algebra from being mistaken for spacetime itself.</w:t>
      </w:r>
    </w:p>
    <w:p>
      <w:pPr>
        <w:jc w:val="center"/>
      </w:pPr>
      <w:r>
        <w:drawing>
          <wp:inline xmlns:a="http://schemas.openxmlformats.org/drawingml/2006/main" xmlns:pic="http://schemas.openxmlformats.org/drawingml/2006/picture">
            <wp:extent cx="4297680" cy="429457"/>
            <wp:docPr id="26" name="Picture 26"/>
            <wp:cNvGraphicFramePr>
              <a:graphicFrameLocks noChangeAspect="1"/>
            </wp:cNvGraphicFramePr>
            <a:graphic>
              <a:graphicData uri="http://schemas.openxmlformats.org/drawingml/2006/picture">
                <pic:pic>
                  <pic:nvPicPr>
                    <pic:cNvPr id="0" name="floor7_product.png"/>
                    <pic:cNvPicPr/>
                  </pic:nvPicPr>
                  <pic:blipFill>
                    <a:blip r:embed="rId41"/>
                    <a:stretch>
                      <a:fillRect/>
                    </a:stretch>
                  </pic:blipFill>
                  <pic:spPr>
                    <a:xfrm>
                      <a:off x="0" y="0"/>
                      <a:ext cx="4297680" cy="429457"/>
                    </a:xfrm>
                    <a:prstGeom prst="rect"/>
                  </pic:spPr>
                </pic:pic>
              </a:graphicData>
            </a:graphic>
          </wp:inline>
        </w:drawing>
      </w:r>
    </w:p>
    <w:p>
      <w:r>
        <w:rPr>
          <w:b/>
          <w:sz w:val="26"/>
        </w:rPr>
        <w:t>Logical Tower Summary</w:t>
      </w:r>
    </w:p>
    <w:p>
      <w:r>
        <w:t>The core theorem tower can be summarized as follows. The table is intentionally logical rather than historical: failed routes are omitted from the main spine but become important later as epistemic hygiene and reviewer-facing boundary evidence.</w:t>
      </w:r>
    </w:p>
    <w:tbl>
      <w:tblPr>
        <w:tblW w:type="auto" w:w="0"/>
        <w:jc w:val="center"/>
        <w:tblLook w:firstColumn="1" w:firstRow="1" w:lastColumn="0" w:lastRow="0" w:noHBand="0" w:noVBand="1" w:val="04A0"/>
      </w:tblPr>
      <w:tblGrid>
        <w:gridCol w:w="2076"/>
        <w:gridCol w:w="2076"/>
        <w:gridCol w:w="2076"/>
        <w:gridCol w:w="2076"/>
      </w:tblGrid>
      <w:tr>
        <w:tc>
          <w:tcPr>
            <w:tcW w:type="dxa" w:w="2076"/>
            <w:vAlign w:val="top"/>
            <w:shd w:fill="D9EAF7"/>
          </w:tcPr>
          <w:p>
            <w:r/>
            <w:r>
              <w:rPr>
                <w:b/>
                <w:sz w:val="17"/>
              </w:rPr>
              <w:t>Floor</w:t>
            </w:r>
          </w:p>
        </w:tc>
        <w:tc>
          <w:tcPr>
            <w:tcW w:type="dxa" w:w="2076"/>
            <w:vAlign w:val="top"/>
            <w:shd w:fill="D9EAF7"/>
          </w:tcPr>
          <w:p>
            <w:r/>
            <w:r>
              <w:rPr>
                <w:b/>
                <w:sz w:val="17"/>
              </w:rPr>
              <w:t>Native object</w:t>
            </w:r>
          </w:p>
        </w:tc>
        <w:tc>
          <w:tcPr>
            <w:tcW w:type="dxa" w:w="2076"/>
            <w:vAlign w:val="top"/>
            <w:shd w:fill="D9EAF7"/>
          </w:tcPr>
          <w:p>
            <w:r/>
            <w:r>
              <w:rPr>
                <w:b/>
                <w:sz w:val="17"/>
              </w:rPr>
              <w:t>Theorem role</w:t>
            </w:r>
          </w:p>
        </w:tc>
        <w:tc>
          <w:tcPr>
            <w:tcW w:type="dxa" w:w="2076"/>
            <w:vAlign w:val="top"/>
            <w:shd w:fill="D9EAF7"/>
          </w:tcPr>
          <w:p>
            <w:r/>
            <w:r>
              <w:rPr>
                <w:b/>
                <w:sz w:val="17"/>
              </w:rPr>
              <w:t>Boundary</w:t>
            </w:r>
          </w:p>
        </w:tc>
      </w:tr>
      <w:tr>
        <w:tc>
          <w:tcPr>
            <w:tcW w:type="dxa" w:w="2076"/>
            <w:vAlign w:val="top"/>
          </w:tcPr>
          <w:p>
            <w:r/>
            <w:r>
              <w:rPr>
                <w:b w:val="0"/>
                <w:sz w:val="17"/>
              </w:rPr>
              <w:t>0</w:t>
            </w:r>
          </w:p>
        </w:tc>
        <w:tc>
          <w:tcPr>
            <w:tcW w:type="dxa" w:w="2076"/>
            <w:vAlign w:val="top"/>
          </w:tcPr>
          <w:p>
            <w:r/>
            <w:r>
              <w:rPr>
                <w:b w:val="0"/>
                <w:sz w:val="17"/>
              </w:rPr>
              <w:t>Cℓ(1,7), Λ•ℝ⁸</w:t>
            </w:r>
          </w:p>
        </w:tc>
        <w:tc>
          <w:tcPr>
            <w:tcW w:type="dxa" w:w="2076"/>
            <w:vAlign w:val="top"/>
          </w:tcPr>
          <w:p>
            <w:r/>
            <w:r>
              <w:rPr>
                <w:b w:val="0"/>
                <w:sz w:val="17"/>
              </w:rPr>
              <w:t>Finite measurement ladder and middle chamber Λ⁴ℝ⁸.</w:t>
            </w:r>
          </w:p>
        </w:tc>
        <w:tc>
          <w:tcPr>
            <w:tcW w:type="dxa" w:w="2076"/>
            <w:vAlign w:val="top"/>
          </w:tcPr>
          <w:p>
            <w:r/>
            <w:r>
              <w:rPr>
                <w:b w:val="0"/>
                <w:sz w:val="17"/>
              </w:rPr>
              <w:t>Not a particle catalogue.</w:t>
            </w:r>
          </w:p>
        </w:tc>
      </w:tr>
      <w:tr>
        <w:tc>
          <w:tcPr>
            <w:tcW w:type="dxa" w:w="2076"/>
            <w:vAlign w:val="top"/>
          </w:tcPr>
          <w:p>
            <w:r/>
            <w:r>
              <w:rPr>
                <w:b w:val="0"/>
                <w:sz w:val="17"/>
              </w:rPr>
              <w:t>1</w:t>
            </w:r>
          </w:p>
        </w:tc>
        <w:tc>
          <w:tcPr>
            <w:tcW w:type="dxa" w:w="2076"/>
            <w:vAlign w:val="top"/>
          </w:tcPr>
          <w:p>
            <w:r/>
            <w:r>
              <w:rPr>
                <w:b w:val="0"/>
                <w:sz w:val="17"/>
              </w:rPr>
              <w:t>P_B, P_G, K₇</w:t>
            </w:r>
          </w:p>
        </w:tc>
        <w:tc>
          <w:tcPr>
            <w:tcW w:type="dxa" w:w="2076"/>
            <w:vAlign w:val="top"/>
          </w:tcPr>
          <w:p>
            <w:r/>
            <w:r>
              <w:rPr>
                <w:b w:val="0"/>
                <w:sz w:val="17"/>
              </w:rPr>
              <w:t>Boolean/G₂ contact vacuum and B-sector zero modes.</w:t>
            </w:r>
          </w:p>
        </w:tc>
        <w:tc>
          <w:tcPr>
            <w:tcW w:type="dxa" w:w="2076"/>
            <w:vAlign w:val="top"/>
          </w:tcPr>
          <w:p>
            <w:r/>
            <w:r>
              <w:rPr>
                <w:b w:val="0"/>
                <w:sz w:val="17"/>
              </w:rPr>
              <w:t>Not spacetime or flavor.</w:t>
            </w:r>
          </w:p>
        </w:tc>
      </w:tr>
      <w:tr>
        <w:tc>
          <w:tcPr>
            <w:tcW w:type="dxa" w:w="2076"/>
            <w:vAlign w:val="top"/>
          </w:tcPr>
          <w:p>
            <w:r/>
            <w:r>
              <w:rPr>
                <w:b w:val="0"/>
                <w:sz w:val="17"/>
              </w:rPr>
              <w:t>2</w:t>
            </w:r>
          </w:p>
        </w:tc>
        <w:tc>
          <w:tcPr>
            <w:tcW w:type="dxa" w:w="2076"/>
            <w:vAlign w:val="top"/>
          </w:tcPr>
          <w:p>
            <w:r/>
            <w:r>
              <w:rPr>
                <w:b w:val="0"/>
                <w:sz w:val="17"/>
              </w:rPr>
              <w:t>Off-diagonal connection sector</w:t>
            </w:r>
          </w:p>
        </w:tc>
        <w:tc>
          <w:tcPr>
            <w:tcW w:type="dxa" w:w="2076"/>
            <w:vAlign w:val="top"/>
          </w:tcPr>
          <w:p>
            <w:r/>
            <w:r>
              <w:rPr>
                <w:b w:val="0"/>
                <w:sz w:val="17"/>
              </w:rPr>
              <w:t>Finite Higgs/contact seed with four real scalar directions.</w:t>
            </w:r>
          </w:p>
        </w:tc>
        <w:tc>
          <w:tcPr>
            <w:tcW w:type="dxa" w:w="2076"/>
            <w:vAlign w:val="top"/>
          </w:tcPr>
          <w:p>
            <w:r/>
            <w:r>
              <w:rPr>
                <w:b w:val="0"/>
                <w:sz w:val="17"/>
              </w:rPr>
              <w:t>Flavor-blind scalar arena.</w:t>
            </w:r>
          </w:p>
        </w:tc>
      </w:tr>
      <w:tr>
        <w:tc>
          <w:tcPr>
            <w:tcW w:type="dxa" w:w="2076"/>
            <w:vAlign w:val="top"/>
          </w:tcPr>
          <w:p>
            <w:r/>
            <w:r>
              <w:rPr>
                <w:b w:val="0"/>
                <w:sz w:val="17"/>
              </w:rPr>
              <w:t>3</w:t>
            </w:r>
          </w:p>
        </w:tc>
        <w:tc>
          <w:tcPr>
            <w:tcW w:type="dxa" w:w="2076"/>
            <w:vAlign w:val="top"/>
          </w:tcPr>
          <w:p>
            <w:r/>
            <w:r>
              <w:rPr>
                <w:b w:val="0"/>
                <w:sz w:val="17"/>
              </w:rPr>
              <w:t>Λ*(ℂ⁴)</w:t>
            </w:r>
          </w:p>
        </w:tc>
        <w:tc>
          <w:tcPr>
            <w:tcW w:type="dxa" w:w="2076"/>
            <w:vAlign w:val="top"/>
          </w:tcPr>
          <w:p>
            <w:r/>
            <w:r>
              <w:rPr>
                <w:b w:val="0"/>
                <w:sz w:val="17"/>
              </w:rPr>
              <w:t>Fock matter carrier, B−L, charge bookkeeping.</w:t>
            </w:r>
          </w:p>
        </w:tc>
        <w:tc>
          <w:tcPr>
            <w:tcW w:type="dxa" w:w="2076"/>
            <w:vAlign w:val="top"/>
          </w:tcPr>
          <w:p>
            <w:r/>
            <w:r>
              <w:rPr>
                <w:b w:val="0"/>
                <w:sz w:val="17"/>
              </w:rPr>
              <w:t>No generation derivation.</w:t>
            </w:r>
          </w:p>
        </w:tc>
      </w:tr>
      <w:tr>
        <w:tc>
          <w:tcPr>
            <w:tcW w:type="dxa" w:w="2076"/>
            <w:vAlign w:val="top"/>
          </w:tcPr>
          <w:p>
            <w:r/>
            <w:r>
              <w:rPr>
                <w:b w:val="0"/>
                <w:sz w:val="17"/>
              </w:rPr>
              <w:t>4</w:t>
            </w:r>
          </w:p>
        </w:tc>
        <w:tc>
          <w:tcPr>
            <w:tcW w:type="dxa" w:w="2076"/>
            <w:vAlign w:val="top"/>
          </w:tcPr>
          <w:p>
            <w:r/>
            <w:r>
              <w:rPr>
                <w:b w:val="0"/>
                <w:sz w:val="17"/>
              </w:rPr>
              <w:t>Y, T³_L, T³_R, B−L</w:t>
            </w:r>
          </w:p>
        </w:tc>
        <w:tc>
          <w:tcPr>
            <w:tcW w:type="dxa" w:w="2076"/>
            <w:vAlign w:val="top"/>
          </w:tcPr>
          <w:p>
            <w:r/>
            <w:r>
              <w:rPr>
                <w:b w:val="0"/>
                <w:sz w:val="17"/>
              </w:rPr>
              <w:t>Electroweak charge skeleton and k_Y = 5/3.</w:t>
            </w:r>
          </w:p>
        </w:tc>
        <w:tc>
          <w:tcPr>
            <w:tcW w:type="dxa" w:w="2076"/>
            <w:vAlign w:val="top"/>
          </w:tcPr>
          <w:p>
            <w:r/>
            <w:r>
              <w:rPr>
                <w:b w:val="0"/>
                <w:sz w:val="17"/>
              </w:rPr>
              <w:t>Boundary value, not low-energy running.</w:t>
            </w:r>
          </w:p>
        </w:tc>
      </w:tr>
      <w:tr>
        <w:tc>
          <w:tcPr>
            <w:tcW w:type="dxa" w:w="2076"/>
            <w:vAlign w:val="top"/>
          </w:tcPr>
          <w:p>
            <w:r/>
            <w:r>
              <w:rPr>
                <w:b w:val="0"/>
                <w:sz w:val="17"/>
              </w:rPr>
              <w:t>5</w:t>
            </w:r>
          </w:p>
        </w:tc>
        <w:tc>
          <w:tcPr>
            <w:tcW w:type="dxa" w:w="2076"/>
            <w:vAlign w:val="top"/>
          </w:tcPr>
          <w:p>
            <w:r/>
            <w:r>
              <w:rPr>
                <w:b w:val="0"/>
                <w:sz w:val="17"/>
              </w:rPr>
              <w:t>A_F = ℂ ⊕ ℍ ⊕ M₃(ℂ)</w:t>
            </w:r>
          </w:p>
        </w:tc>
        <w:tc>
          <w:tcPr>
            <w:tcW w:type="dxa" w:w="2076"/>
            <w:vAlign w:val="top"/>
          </w:tcPr>
          <w:p>
            <w:r/>
            <w:r>
              <w:rPr>
                <w:b w:val="0"/>
                <w:sz w:val="17"/>
              </w:rPr>
              <w:t>True finite spectral-triple category.</w:t>
            </w:r>
          </w:p>
        </w:tc>
        <w:tc>
          <w:tcPr>
            <w:tcW w:type="dxa" w:w="2076"/>
            <w:vAlign w:val="top"/>
          </w:tcPr>
          <w:p>
            <w:r/>
            <w:r>
              <w:rPr>
                <w:b w:val="0"/>
                <w:sz w:val="17"/>
              </w:rPr>
              <w:t>Requires J, grading, first-order checks.</w:t>
            </w:r>
          </w:p>
        </w:tc>
      </w:tr>
      <w:tr>
        <w:tc>
          <w:tcPr>
            <w:tcW w:type="dxa" w:w="2076"/>
            <w:vAlign w:val="top"/>
          </w:tcPr>
          <w:p>
            <w:r/>
            <w:r>
              <w:rPr>
                <w:b w:val="0"/>
                <w:sz w:val="17"/>
              </w:rPr>
              <w:t>6</w:t>
            </w:r>
          </w:p>
        </w:tc>
        <w:tc>
          <w:tcPr>
            <w:tcW w:type="dxa" w:w="2076"/>
            <w:vAlign w:val="top"/>
          </w:tcPr>
          <w:p>
            <w:r/>
            <w:r>
              <w:rPr>
                <w:b w:val="0"/>
                <w:sz w:val="17"/>
              </w:rPr>
              <w:t>Inner fluctuations</w:t>
            </w:r>
          </w:p>
        </w:tc>
        <w:tc>
          <w:tcPr>
            <w:tcW w:type="dxa" w:w="2076"/>
            <w:vAlign w:val="top"/>
          </w:tcPr>
          <w:p>
            <w:r/>
            <w:r>
              <w:rPr>
                <w:b w:val="0"/>
                <w:sz w:val="17"/>
              </w:rPr>
              <w:t>Gauge directions and Higgs doublet as one-forms.</w:t>
            </w:r>
          </w:p>
        </w:tc>
        <w:tc>
          <w:tcPr>
            <w:tcW w:type="dxa" w:w="2076"/>
            <w:vAlign w:val="top"/>
          </w:tcPr>
          <w:p>
            <w:r/>
            <w:r>
              <w:rPr>
                <w:b w:val="0"/>
                <w:sz w:val="17"/>
              </w:rPr>
              <w:t>No Yukawa amplitudes.</w:t>
            </w:r>
          </w:p>
        </w:tc>
      </w:tr>
      <w:tr>
        <w:tc>
          <w:tcPr>
            <w:tcW w:type="dxa" w:w="2076"/>
            <w:vAlign w:val="top"/>
          </w:tcPr>
          <w:p>
            <w:r/>
            <w:r>
              <w:rPr>
                <w:b w:val="0"/>
                <w:sz w:val="17"/>
              </w:rPr>
              <w:t>7</w:t>
            </w:r>
          </w:p>
        </w:tc>
        <w:tc>
          <w:tcPr>
            <w:tcW w:type="dxa" w:w="2076"/>
            <w:vAlign w:val="top"/>
          </w:tcPr>
          <w:p>
            <w:r/>
            <w:r>
              <w:rPr>
                <w:b w:val="0"/>
                <w:sz w:val="17"/>
              </w:rPr>
              <w:t>M × F product geometry</w:t>
            </w:r>
          </w:p>
        </w:tc>
        <w:tc>
          <w:tcPr>
            <w:tcW w:type="dxa" w:w="2076"/>
            <w:vAlign w:val="top"/>
          </w:tcPr>
          <w:p>
            <w:r/>
            <w:r>
              <w:rPr>
                <w:b w:val="0"/>
                <w:sz w:val="17"/>
              </w:rPr>
              <w:t>Finite internal law-space embedded into continuum geometry.</w:t>
            </w:r>
          </w:p>
        </w:tc>
        <w:tc>
          <w:tcPr>
            <w:tcW w:type="dxa" w:w="2076"/>
            <w:vAlign w:val="top"/>
          </w:tcPr>
          <w:p>
            <w:r/>
            <w:r>
              <w:rPr>
                <w:b w:val="0"/>
                <w:sz w:val="17"/>
              </w:rPr>
              <w:t>Not cosmological history.</w:t>
            </w:r>
          </w:p>
        </w:tc>
      </w:tr>
    </w:tbl>
    <w:p>
      <w:r>
        <w:rPr>
          <w:b/>
          <w:sz w:val="26"/>
        </w:rPr>
        <w:t>Boundaries Established by the Tower</w:t>
      </w:r>
    </w:p>
    <w:p>
      <w:r>
        <w:t>The theorem tower is powerful precisely because it is not unlimited. It establishes a native law-space and a sequence of bridge lanes, while also identifying what the current framework does not derive. The flavor frontier is the most important example. Standard generations remain a trivial multiplicity unless explicit family axioms are added; the native charged flavor moduli therefore remain firewalled.</w:t>
      </w:r>
    </w:p>
    <w:p>
      <w:pPr>
        <w:jc w:val="center"/>
      </w:pPr>
      <w:r>
        <w:drawing>
          <wp:inline xmlns:a="http://schemas.openxmlformats.org/drawingml/2006/main" xmlns:pic="http://schemas.openxmlformats.org/drawingml/2006/picture">
            <wp:extent cx="4754880" cy="475144"/>
            <wp:docPr id="27" name="Picture 27"/>
            <wp:cNvGraphicFramePr>
              <a:graphicFrameLocks noChangeAspect="1"/>
            </wp:cNvGraphicFramePr>
            <a:graphic>
              <a:graphicData uri="http://schemas.openxmlformats.org/drawingml/2006/picture">
                <pic:pic>
                  <pic:nvPicPr>
                    <pic:cNvPr id="0" name="floor_boundary_flavor.png"/>
                    <pic:cNvPicPr/>
                  </pic:nvPicPr>
                  <pic:blipFill>
                    <a:blip r:embed="rId42"/>
                    <a:stretch>
                      <a:fillRect/>
                    </a:stretch>
                  </pic:blipFill>
                  <pic:spPr>
                    <a:xfrm>
                      <a:off x="0" y="0"/>
                      <a:ext cx="4754880" cy="475144"/>
                    </a:xfrm>
                    <a:prstGeom prst="rect"/>
                  </pic:spPr>
                </pic:pic>
              </a:graphicData>
            </a:graphic>
          </wp:inline>
        </w:drawing>
      </w:r>
    </w:p>
    <w:p>
      <w:r>
        <w:t>A quarantined family-axiom chain using K_gen, X_gen, and Y_gen can provide hierarchy, mixing, and CP-capacity, reducing the description to nine symbolic charged coefficients. But those coefficients remain environmental boundary data, not native predictions. This distinction will be developed in the flavor section rather than hidden inside the tower.</w:t>
      </w:r>
    </w:p>
    <w:p>
      <w:r>
        <w:t>A second boundary concerns cosmology and dark-sector observables. The finite algebra supplies topological and spectral structures, but the present theorem board does not derive Ω_DM, the cosmological constant, late-time cosmic history, or environmental vacuum coordinates. These remain separate frontiers unless a future bridge derives them without empirical insertion.</w:t>
      </w:r>
    </w:p>
    <w:p>
      <w:r>
        <w:rPr>
          <w:b/>
        </w:rPr>
        <w:t>Spectral-Action and Coefficient Lanes</w:t>
      </w:r>
    </w:p>
    <w:p>
      <w:r>
        <w:t>The theorem tower supplies the finite law-space. The coefficient lanes ask a different question: how does that finite law-space enter the numerical normalizations of an almost-commutative spectral action? This section separates native finite results from bridge-level coefficient arithmetic. The distinction is essential. A coefficient lane may be rigid and reproducible inside the ASHA ledger while still depending on a specified product-geometry, spectral-action, or scale bridge.</w:t>
      </w:r>
    </w:p>
    <w:p>
      <w:r>
        <w:rPr>
          <w:b/>
          <w:i w:val="0"/>
        </w:rPr>
        <w:t>The spectral-action lane</w:t>
      </w:r>
    </w:p>
    <w:p>
      <w:r>
        <w:rPr>
          <w:b w:val="0"/>
          <w:i w:val="0"/>
        </w:rPr>
        <w:t>The mature physical arena is the almost-commutative product M × F. The continuum spin geometry M supplies the ordinary spacetime Dirac operator, while the finite factor F carries the internal algebra, real structure, grading, and finite Dirac operator. The spectral action is therefore not an arbitrary potential written after the fact; it is an expansion of the fluctuated Dirac operator.</w:t>
      </w:r>
    </w:p>
    <w:p>
      <w:pPr>
        <w:jc w:val="center"/>
      </w:pPr>
      <w:r>
        <w:drawing>
          <wp:inline xmlns:a="http://schemas.openxmlformats.org/drawingml/2006/main" xmlns:pic="http://schemas.openxmlformats.org/drawingml/2006/picture">
            <wp:extent cx="6309360" cy="661536"/>
            <wp:docPr id="28" name="Picture 28"/>
            <wp:cNvGraphicFramePr>
              <a:graphicFrameLocks noChangeAspect="1"/>
            </wp:cNvGraphicFramePr>
            <a:graphic>
              <a:graphicData uri="http://schemas.openxmlformats.org/drawingml/2006/picture">
                <pic:pic>
                  <pic:nvPicPr>
                    <pic:cNvPr id="0" name="spectral_action.png"/>
                    <pic:cNvPicPr/>
                  </pic:nvPicPr>
                  <pic:blipFill>
                    <a:blip r:embed="rId43"/>
                    <a:stretch>
                      <a:fillRect/>
                    </a:stretch>
                  </pic:blipFill>
                  <pic:spPr>
                    <a:xfrm>
                      <a:off x="0" y="0"/>
                      <a:ext cx="6309360" cy="661536"/>
                    </a:xfrm>
                    <a:prstGeom prst="rect"/>
                  </pic:spPr>
                </pic:pic>
              </a:graphicData>
            </a:graphic>
          </wp:inline>
        </w:drawing>
      </w:r>
    </w:p>
    <w:p>
      <w:r>
        <w:rPr>
          <w:b w:val="0"/>
          <w:i w:val="0"/>
        </w:rPr>
        <w:t>In this expression the heat-kernel coefficients a_k encode geometric invariants of the fluctuated Dirac operator, while the moments f_k of the cutoff function carry the usual spectral-action normalization data. ASHA’s coefficient lane is built by substituting the audited finite spectral triple into this product-geometry framework, rather than by identifying early finite subspaces directly with physical constants.</w:t>
      </w:r>
    </w:p>
    <w:p>
      <w:pPr>
        <w:jc w:val="center"/>
      </w:pPr>
      <w:r>
        <w:drawing>
          <wp:inline xmlns:a="http://schemas.openxmlformats.org/drawingml/2006/main" xmlns:pic="http://schemas.openxmlformats.org/drawingml/2006/picture">
            <wp:extent cx="5669280" cy="672024"/>
            <wp:docPr id="29" name="Picture 29"/>
            <wp:cNvGraphicFramePr>
              <a:graphicFrameLocks noChangeAspect="1"/>
            </wp:cNvGraphicFramePr>
            <a:graphic>
              <a:graphicData uri="http://schemas.openxmlformats.org/drawingml/2006/picture">
                <pic:pic>
                  <pic:nvPicPr>
                    <pic:cNvPr id="0" name="fluctuation.png"/>
                    <pic:cNvPicPr/>
                  </pic:nvPicPr>
                  <pic:blipFill>
                    <a:blip r:embed="rId44"/>
                    <a:stretch>
                      <a:fillRect/>
                    </a:stretch>
                  </pic:blipFill>
                  <pic:spPr>
                    <a:xfrm>
                      <a:off x="0" y="0"/>
                      <a:ext cx="5669280" cy="672024"/>
                    </a:xfrm>
                    <a:prstGeom prst="rect"/>
                  </pic:spPr>
                </pic:pic>
              </a:graphicData>
            </a:graphic>
          </wp:inline>
        </w:drawing>
      </w:r>
    </w:p>
    <w:p>
      <w:r>
        <w:rPr>
          <w:b w:val="0"/>
          <w:i w:val="0"/>
        </w:rPr>
        <w:t>This is the point at which the real structure J and the first-order condition become decisive. Inner fluctuations produce the gauge and scalar field inventory only along allowed finite Dirac edges. The Higgs field is therefore treated as a finite one-form supported on Dirac edges, not as an arbitrary scalar vector inserted into the model.</w:t>
      </w:r>
    </w:p>
    <w:p>
      <w:r>
        <w:rPr>
          <w:b/>
          <w:i w:val="0"/>
        </w:rPr>
        <w:t>Electroweak normalization as a boundary result</w:t>
      </w:r>
    </w:p>
    <w:p>
      <w:r>
        <w:rPr>
          <w:b w:val="0"/>
          <w:i w:val="0"/>
        </w:rPr>
        <w:t>The electroweak charge skeleton gives one of the cleanest normalization statements in the theory. From the audited finite hypercharge table, the hypercharge direction has the canonical Standard-Model normalization factor k_Y = 5/3. Under equal boundary normalization of the SU(2)_L and normalized U(1)_Y kinetic terms, the corresponding weak-mixing boundary value is:</w:t>
      </w:r>
    </w:p>
    <w:p>
      <w:pPr>
        <w:jc w:val="center"/>
      </w:pPr>
      <w:r>
        <w:drawing>
          <wp:inline xmlns:a="http://schemas.openxmlformats.org/drawingml/2006/main" xmlns:pic="http://schemas.openxmlformats.org/drawingml/2006/picture">
            <wp:extent cx="4937760" cy="673196"/>
            <wp:docPr id="30" name="Picture 30"/>
            <wp:cNvGraphicFramePr>
              <a:graphicFrameLocks noChangeAspect="1"/>
            </wp:cNvGraphicFramePr>
            <a:graphic>
              <a:graphicData uri="http://schemas.openxmlformats.org/drawingml/2006/picture">
                <pic:pic>
                  <pic:nvPicPr>
                    <pic:cNvPr id="0" name="weak_angle.png"/>
                    <pic:cNvPicPr/>
                  </pic:nvPicPr>
                  <pic:blipFill>
                    <a:blip r:embed="rId45"/>
                    <a:stretch>
                      <a:fillRect/>
                    </a:stretch>
                  </pic:blipFill>
                  <pic:spPr>
                    <a:xfrm>
                      <a:off x="0" y="0"/>
                      <a:ext cx="4937760" cy="673196"/>
                    </a:xfrm>
                    <a:prstGeom prst="rect"/>
                  </pic:spPr>
                </pic:pic>
              </a:graphicData>
            </a:graphic>
          </wp:inline>
        </w:drawing>
      </w:r>
    </w:p>
    <w:p>
      <w:r>
        <w:rPr>
          <w:b w:val="0"/>
          <w:i w:val="0"/>
        </w:rPr>
        <w:t>This is not the measured low-energy value of the weak mixing angle. It is a boundary normalization statement. Running to low energy requires renormalization-group transport, kinetic normalization, scale choice, and threshold information. ASHA therefore treats sin²θ* = 3/8 as a rigid finite boundary datum, not as a direct replacement for electroweak phenomenology at M_Z.</w:t>
      </w:r>
    </w:p>
    <w:p>
      <w:r>
        <w:rPr>
          <w:b/>
          <w:i w:val="0"/>
        </w:rPr>
        <w:t>Higgs one-form edge measure</w:t>
      </w:r>
    </w:p>
    <w:p>
      <w:r>
        <w:rPr>
          <w:b w:val="0"/>
          <w:i w:val="0"/>
        </w:rPr>
        <w:t>A major correction in the mature tower is the replacement of node-count intuition by one-form edge support. The scalar field is not normalized by the number of contact nodes alone. It is normalized by the finite Dirac one-form support after J-symmetrization. In the audited ledger, this produces a ten-edge support for the Higgs one-form channel.</w:t>
      </w:r>
    </w:p>
    <w:p>
      <w:pPr>
        <w:jc w:val="center"/>
      </w:pPr>
      <w:r>
        <w:drawing>
          <wp:inline xmlns:a="http://schemas.openxmlformats.org/drawingml/2006/main" xmlns:pic="http://schemas.openxmlformats.org/drawingml/2006/picture">
            <wp:extent cx="5120640" cy="698129"/>
            <wp:docPr id="31" name="Picture 31"/>
            <wp:cNvGraphicFramePr>
              <a:graphicFrameLocks noChangeAspect="1"/>
            </wp:cNvGraphicFramePr>
            <a:graphic>
              <a:graphicData uri="http://schemas.openxmlformats.org/drawingml/2006/picture">
                <pic:pic>
                  <pic:nvPicPr>
                    <pic:cNvPr id="0" name="edge_measure.png"/>
                    <pic:cNvPicPr/>
                  </pic:nvPicPr>
                  <pic:blipFill>
                    <a:blip r:embed="rId46"/>
                    <a:stretch>
                      <a:fillRect/>
                    </a:stretch>
                  </pic:blipFill>
                  <pic:spPr>
                    <a:xfrm>
                      <a:off x="0" y="0"/>
                      <a:ext cx="5120640" cy="698129"/>
                    </a:xfrm>
                    <a:prstGeom prst="rect"/>
                  </pic:spPr>
                </pic:pic>
              </a:graphicData>
            </a:graphic>
          </wp:inline>
        </w:drawing>
      </w:r>
    </w:p>
    <w:p>
      <w:r>
        <w:rPr>
          <w:b w:val="0"/>
          <w:i w:val="0"/>
        </w:rPr>
        <w:t>The factor 7/10 records the passage from the seven-dimensional contact vacuum count to the ten J-doubled one-form edge measure. The additional factor 1197/4624 belongs to the audited coefficient arithmetic of the scalar edge lane. The resulting edge-normalized scalar coefficient is recorded as:</w:t>
      </w:r>
    </w:p>
    <w:p>
      <w:pPr>
        <w:jc w:val="center"/>
      </w:pPr>
      <w:r>
        <w:drawing>
          <wp:inline xmlns:a="http://schemas.openxmlformats.org/drawingml/2006/main" xmlns:pic="http://schemas.openxmlformats.org/drawingml/2006/picture">
            <wp:extent cx="6217920" cy="691896"/>
            <wp:docPr id="32" name="Picture 32"/>
            <wp:cNvGraphicFramePr>
              <a:graphicFrameLocks noChangeAspect="1"/>
            </wp:cNvGraphicFramePr>
            <a:graphic>
              <a:graphicData uri="http://schemas.openxmlformats.org/drawingml/2006/picture">
                <pic:pic>
                  <pic:nvPicPr>
                    <pic:cNvPr id="0" name="lambda_edge.png"/>
                    <pic:cNvPicPr/>
                  </pic:nvPicPr>
                  <pic:blipFill>
                    <a:blip r:embed="rId47"/>
                    <a:stretch>
                      <a:fillRect/>
                    </a:stretch>
                  </pic:blipFill>
                  <pic:spPr>
                    <a:xfrm>
                      <a:off x="0" y="0"/>
                      <a:ext cx="6217920" cy="691896"/>
                    </a:xfrm>
                    <a:prstGeom prst="rect"/>
                  </pic:spPr>
                </pic:pic>
              </a:graphicData>
            </a:graphic>
          </wp:inline>
        </w:drawing>
      </w:r>
    </w:p>
    <w:p>
      <w:r>
        <w:rPr>
          <w:b w:val="0"/>
          <w:i w:val="0"/>
        </w:rPr>
        <w:t>The conceptual point is more important than the numerical compactness: the scalar coefficient is measured on the finite one-form edge support. This is why the later q₄ search could fail honestly without damaging the Higgs result. The contact q₄ primary is a contact-sector spectral invariant, while the Higgs coefficient lane is an edge-supported one-form lane.</w:t>
      </w:r>
    </w:p>
    <w:p>
      <w:r>
        <w:rPr>
          <w:b/>
          <w:i w:val="0"/>
        </w:rPr>
        <w:t>Pfaffian scale lane</w:t>
      </w:r>
    </w:p>
    <w:p>
      <w:r>
        <w:rPr>
          <w:b w:val="0"/>
          <w:i w:val="0"/>
        </w:rPr>
        <w:t>The coefficient lane still needs a scale. ASHA’s scale bridge is encoded through the Pfaffian half-action hierarchy. In the current architecture the electroweak-scale proxy is written as:</w:t>
      </w:r>
    </w:p>
    <w:p>
      <w:pPr>
        <w:jc w:val="center"/>
      </w:pPr>
      <w:r>
        <w:drawing>
          <wp:inline xmlns:a="http://schemas.openxmlformats.org/drawingml/2006/main" xmlns:pic="http://schemas.openxmlformats.org/drawingml/2006/picture">
            <wp:extent cx="4297680" cy="689451"/>
            <wp:docPr id="33" name="Picture 33"/>
            <wp:cNvGraphicFramePr>
              <a:graphicFrameLocks noChangeAspect="1"/>
            </wp:cNvGraphicFramePr>
            <a:graphic>
              <a:graphicData uri="http://schemas.openxmlformats.org/drawingml/2006/picture">
                <pic:pic>
                  <pic:nvPicPr>
                    <pic:cNvPr id="0" name="pfaffian.png"/>
                    <pic:cNvPicPr/>
                  </pic:nvPicPr>
                  <pic:blipFill>
                    <a:blip r:embed="rId48"/>
                    <a:stretch>
                      <a:fillRect/>
                    </a:stretch>
                  </pic:blipFill>
                  <pic:spPr>
                    <a:xfrm>
                      <a:off x="0" y="0"/>
                      <a:ext cx="4297680" cy="689451"/>
                    </a:xfrm>
                    <a:prstGeom prst="rect"/>
                  </pic:spPr>
                </pic:pic>
              </a:graphicData>
            </a:graphic>
          </wp:inline>
        </w:drawing>
      </w:r>
    </w:p>
    <w:p>
      <w:r>
        <w:rPr>
          <w:b w:val="0"/>
          <w:i w:val="0"/>
        </w:rPr>
        <w:t>This expression should be read as a bridge-level scale lane, not as a universal replacement for all mass generation. It supplies the scale used by the tree-level Higgs proxy after the finite edge coefficient has been computed. The validity of the bridge is therefore logically distinct from the purely finite contact and charge theorems.</w:t>
      </w:r>
    </w:p>
    <w:p>
      <w:r>
        <w:rPr>
          <w:b/>
          <w:i w:val="0"/>
        </w:rPr>
        <w:t>Tree-level Higgs proxy</w:t>
      </w:r>
    </w:p>
    <w:p>
      <w:r>
        <w:rPr>
          <w:b w:val="0"/>
          <w:i w:val="0"/>
        </w:rPr>
        <w:t>Combining the Pfaffian scale lane with the edge-normalized scalar coefficient gives the audited tree-level Higgs proxy:</w:t>
      </w:r>
    </w:p>
    <w:p>
      <w:pPr>
        <w:jc w:val="center"/>
      </w:pPr>
      <w:r>
        <w:drawing>
          <wp:inline xmlns:a="http://schemas.openxmlformats.org/drawingml/2006/main" xmlns:pic="http://schemas.openxmlformats.org/drawingml/2006/picture">
            <wp:extent cx="5394960" cy="684165"/>
            <wp:docPr id="34" name="Picture 34"/>
            <wp:cNvGraphicFramePr>
              <a:graphicFrameLocks noChangeAspect="1"/>
            </wp:cNvGraphicFramePr>
            <a:graphic>
              <a:graphicData uri="http://schemas.openxmlformats.org/drawingml/2006/picture">
                <pic:pic>
                  <pic:nvPicPr>
                    <pic:cNvPr id="0" name="higgs_proxy.png"/>
                    <pic:cNvPicPr/>
                  </pic:nvPicPr>
                  <pic:blipFill>
                    <a:blip r:embed="rId49"/>
                    <a:stretch>
                      <a:fillRect/>
                    </a:stretch>
                  </pic:blipFill>
                  <pic:spPr>
                    <a:xfrm>
                      <a:off x="0" y="0"/>
                      <a:ext cx="5394960" cy="684165"/>
                    </a:xfrm>
                    <a:prstGeom prst="rect"/>
                  </pic:spPr>
                </pic:pic>
              </a:graphicData>
            </a:graphic>
          </wp:inline>
        </w:drawing>
      </w:r>
    </w:p>
    <w:p>
      <w:r>
        <w:rPr>
          <w:b w:val="0"/>
          <w:i w:val="0"/>
        </w:rPr>
        <w:t>This is one of the most striking numerical outputs of the ASHA board, but the manuscript must state exactly what it is. It is a tree-level proxy built from the product-geometry coefficient lane, the one-form edge measure, and the Pfaffian scale bridge. It is not a full loop-corrected Standard-Model Higgs mass calculation, and it does not determine Yukawa amplitudes. Its value is meaningful precisely because its assumptions are explicit.</w:t>
      </w:r>
    </w:p>
    <w:p>
      <w:pPr>
        <w:spacing w:before="120" w:after="40"/>
      </w:pPr>
      <w:r>
        <w:rPr>
          <w:b/>
          <w:i w:val="0"/>
          <w:sz w:val="24"/>
        </w:rPr>
        <w:t>Historical context: the edge measure repairs the old scalar-normalization obstruction</w:t>
      </w:r>
    </w:p>
    <w:p>
      <w:pPr>
        <w:spacing w:before="0" w:after="40"/>
      </w:pPr>
      <w:r>
        <w:rPr>
          <w:b w:val="0"/>
          <w:i w:val="0"/>
          <w:sz w:val="20"/>
        </w:rPr>
        <w:t>This point is important historically. Early spectral-action implementations in noncommutative geometry were associated with a node-based scalar normalization and Higgs-mass estimates around 170 GeV, a scale later excluded by the Higgs discovery near 125 GeV. In the ASHA audit, the decisive change is not the insertion of a new scalar field or a fitted correction; it is the replacement of node-count intuition by the J-doubled one-form edge measure. The scalar coefficient is measured on the finite one-form support of the fluctuated Dirac operator rather than on a raw node count.</w:t>
      </w:r>
    </w:p>
    <w:p>
      <w:pPr>
        <w:spacing w:before="40" w:after="40"/>
        <w:jc w:val="center"/>
      </w:pPr>
      <w:r>
        <w:drawing>
          <wp:inline xmlns:a="http://schemas.openxmlformats.org/drawingml/2006/main" xmlns:pic="http://schemas.openxmlformats.org/drawingml/2006/picture">
            <wp:extent cx="5394960" cy="523419"/>
            <wp:docPr id="59" name="Picture 59"/>
            <wp:cNvGraphicFramePr>
              <a:graphicFrameLocks noChangeAspect="1"/>
            </wp:cNvGraphicFramePr>
            <a:graphic>
              <a:graphicData uri="http://schemas.openxmlformats.org/drawingml/2006/picture">
                <pic:pic>
                  <pic:nvPicPr>
                    <pic:cNvPr id="0" name="higgs_170_to_125.png"/>
                    <pic:cNvPicPr/>
                  </pic:nvPicPr>
                  <pic:blipFill>
                    <a:blip r:embed="rId74"/>
                    <a:stretch>
                      <a:fillRect/>
                    </a:stretch>
                  </pic:blipFill>
                  <pic:spPr>
                    <a:xfrm>
                      <a:off x="0" y="0"/>
                      <a:ext cx="5394960" cy="523419"/>
                    </a:xfrm>
                    <a:prstGeom prst="rect"/>
                  </pic:spPr>
                </pic:pic>
              </a:graphicData>
            </a:graphic>
          </wp:inline>
        </w:drawing>
      </w:r>
    </w:p>
    <w:p>
      <w:pPr>
        <w:spacing w:before="0" w:after="80"/>
      </w:pPr>
      <w:r>
        <w:rPr>
          <w:b w:val="0"/>
          <w:i w:val="0"/>
          <w:sz w:val="20"/>
        </w:rPr>
        <w:t>The manuscript should therefore present the 124.925 GeV value as a tree-level edge-normalized proxy with explicit assumptions. Its significance is that the same almost-commutative framework which historically over-normalized the scalar channel becomes numerically viable when the Higgs is treated as an edge-supported one-form.</w:t>
      </w:r>
    </w:p>
    <w:p>
      <w:r>
        <w:rPr>
          <w:b/>
          <w:i w:val="0"/>
        </w:rPr>
        <w:t>What the coefficient lanes do not do</w:t>
      </w:r>
    </w:p>
    <w:p>
      <w:r>
        <w:rPr>
          <w:b w:val="0"/>
          <w:i w:val="0"/>
        </w:rPr>
        <w:t>The coefficient lanes do not reopen the flavor firewall. The same scalar/Higgs analysis that supports the edge coefficient also proves scalar flavor-blindness: the native H_phi observables are central or pair-degenerate unless an external family source is added. The family axiom chain K_gen, X_gen, Y_gen can provide hierarchy, mixing, and CP capacity, but the nine charged source coefficients remain environmental boundary coordinates.</w:t>
      </w:r>
    </w:p>
    <w:p>
      <w:r>
        <w:rPr>
          <w:b w:val="0"/>
          <w:i w:val="0"/>
        </w:rPr>
        <w:t>The coefficient lanes also do not predict cosmological observables such as the dark-matter abundance, the cosmological constant, or the age of the universe. Those require environmental data, continuum dynamics, subtraction rules, and history-dependent inputs not contained in the finite internal law-space alone.</w:t>
      </w:r>
    </w:p>
    <w:p>
      <w:r>
        <w:rPr>
          <w:b/>
          <w:i w:val="0"/>
        </w:rPr>
        <w:t>Section summary</w:t>
      </w:r>
    </w:p>
    <w:p>
      <w:r>
        <w:rPr>
          <w:b w:val="0"/>
          <w:i w:val="0"/>
        </w:rPr>
        <w:t>The spectral-action and coefficient lanes can therefore be summarized in one disciplined statement: ASHA derives a finite Standard-Model law-space and supplies bridge-level coefficient arithmetic for electroweak normalization and the Higgs tree proxy, while preserving explicit firewalls around flavor amplitudes and cosmological coordinates.</w:t>
      </w:r>
    </w:p>
    <w:p>
      <w:r>
        <w:rPr>
          <w:b/>
          <w:sz w:val="32"/>
        </w:rPr>
        <w:t>The Flavor Frontier</w:t>
      </w:r>
    </w:p>
    <w:p>
      <w:r>
        <w:rPr>
          <w:b w:val="0"/>
          <w:i w:val="0"/>
          <w:sz w:val="21"/>
        </w:rPr>
        <w:t>The preceding sections establish the native law-space and the bridge lanes that support the Standard Model gauge and scalar architecture. Flavor is different. The charged flavor sector is not merely a question of which interactions are allowed; it asks for the numerical and orientation data that distinguish the three families of matter. In the ASHA gate sequence, this question was tested aggressively and repeatedly, because it is the easiest place for a unification proposal to overclaim.</w:t>
      </w:r>
    </w:p>
    <w:p>
      <w:r>
        <w:rPr>
          <w:b w:val="0"/>
          <w:i w:val="0"/>
          <w:sz w:val="21"/>
        </w:rPr>
        <w:t>The result is a sharp boundary. The finite geometry derives the one-generation charge skeleton and the allowed Yukawa channels, but it does not natively select the full family texture. The charged flavor census is therefore kept as a firewall:</w:t>
      </w:r>
    </w:p>
    <w:p>
      <w:pPr>
        <w:jc w:val="center"/>
      </w:pPr>
      <w:r>
        <w:drawing>
          <wp:inline xmlns:a="http://schemas.openxmlformats.org/drawingml/2006/main" xmlns:pic="http://schemas.openxmlformats.org/drawingml/2006/picture">
            <wp:extent cx="5669280" cy="404397"/>
            <wp:docPr id="35" name="Picture 35"/>
            <wp:cNvGraphicFramePr>
              <a:graphicFrameLocks noChangeAspect="1"/>
            </wp:cNvGraphicFramePr>
            <a:graphic>
              <a:graphicData uri="http://schemas.openxmlformats.org/drawingml/2006/picture">
                <pic:pic>
                  <pic:nvPicPr>
                    <pic:cNvPr id="0" name="flavor_firewall.png"/>
                    <pic:cNvPicPr/>
                  </pic:nvPicPr>
                  <pic:blipFill>
                    <a:blip r:embed="rId50"/>
                    <a:stretch>
                      <a:fillRect/>
                    </a:stretch>
                  </pic:blipFill>
                  <pic:spPr>
                    <a:xfrm>
                      <a:off x="0" y="0"/>
                      <a:ext cx="5669280" cy="404397"/>
                    </a:xfrm>
                    <a:prstGeom prst="rect"/>
                  </pic:spPr>
                </pic:pic>
              </a:graphicData>
            </a:graphic>
          </wp:inline>
        </w:drawing>
      </w:r>
    </w:p>
    <w:p>
      <w:r>
        <w:rPr>
          <w:b w:val="0"/>
          <w:i w:val="0"/>
          <w:sz w:val="21"/>
        </w:rPr>
        <w:t>Here the neutrino sector is intentionally excluded from the number thirteen. Neutrino masses, PMNS mixing, and Majorana or seesaw data require an additional neutral-sector ledger and are not silently folded into the charged flavor count.</w:t>
      </w:r>
    </w:p>
    <w:p>
      <w:r>
        <w:rPr>
          <w:b/>
          <w:sz w:val="25"/>
        </w:rPr>
        <w:t>Scalar flavor-blindness</w:t>
      </w:r>
    </w:p>
    <w:p>
      <w:r>
        <w:rPr>
          <w:b w:val="0"/>
          <w:i w:val="0"/>
          <w:sz w:val="21"/>
        </w:rPr>
        <w:t>The first attempted route was to ask whether the Higgs/scalar carrier could distinguish generations. The mature answer is no. The scalar bundle H_phi is a single weak doublet carrier. Its native endomorphisms include the quaternionic weak action, the pair-degenerate scalar response, one-form edge quotients, and the variational functionals that appear in the spectral-action lane. These structures are rich enough to support the weak scalar field, but the actually selected scalar observables are flavor-blind.</w:t>
      </w:r>
    </w:p>
    <w:p>
      <w:r>
        <w:rPr>
          <w:b w:val="0"/>
          <w:i w:val="0"/>
          <w:sz w:val="21"/>
        </w:rPr>
        <w:t>This was not assumed; it was tested. The contact quartic primary q4 was shown to be a real contact-sector invariant, not a scalar-bundle selector. Quaternionic actions have quadratic minimal polynomials. Uniform and contact-compressed edge Laplacians are central or pair-degenerate. Edge graphs, oriented incidence operators, and canonical edge-to-H_phi quotients also return either central data or two-pair spectra. Finally, variational functionals over H_phi select central or pair-degenerate elements, not a nondegenerate family texture.</w:t>
      </w:r>
    </w:p>
    <w:p>
      <w:r>
        <w:rPr>
          <w:b w:val="0"/>
          <w:i w:val="0"/>
          <w:sz w:val="21"/>
        </w:rPr>
        <w:t>The conceptual statement is simple: the Higgs field provides the interaction channel, not the family address. Looking for electron-, muon-, and tau-specific structure inside a single Higgs doublet confuses the scalar carrier with the fermionic family problem.</w:t>
      </w:r>
    </w:p>
    <w:p>
      <w:r>
        <w:rPr>
          <w:b/>
          <w:sz w:val="25"/>
        </w:rPr>
        <w:t>Fermionic carrier and the trivial generation multiplicity</w:t>
      </w:r>
    </w:p>
    <w:p>
      <w:r>
        <w:rPr>
          <w:b w:val="0"/>
          <w:i w:val="0"/>
          <w:sz w:val="21"/>
        </w:rPr>
        <w:t>After scalar flavor-blindness was established, the audit returned to the fermionic matter carrier. The Fock carrier, charge sectors, chirality grading, B-L structure, hypercharge table, SU(2)_L doublets, right-singlet blocks, J-conjugate sectors, and finite spectral-triple bimodules all contain important physical structure. None of them, however, supplies a native three-family selector.</w:t>
      </w:r>
    </w:p>
    <w:p>
      <w:pPr>
        <w:jc w:val="center"/>
      </w:pPr>
      <w:r>
        <w:drawing>
          <wp:inline xmlns:a="http://schemas.openxmlformats.org/drawingml/2006/main" xmlns:pic="http://schemas.openxmlformats.org/drawingml/2006/picture">
            <wp:extent cx="5669280" cy="522207"/>
            <wp:docPr id="36" name="Picture 36"/>
            <wp:cNvGraphicFramePr>
              <a:graphicFrameLocks noChangeAspect="1"/>
            </wp:cNvGraphicFramePr>
            <a:graphic>
              <a:graphicData uri="http://schemas.openxmlformats.org/drawingml/2006/picture">
                <pic:pic>
                  <pic:nvPicPr>
                    <pic:cNvPr id="0" name="trivial_factor.png"/>
                    <pic:cNvPicPr/>
                  </pic:nvPicPr>
                  <pic:blipFill>
                    <a:blip r:embed="rId51"/>
                    <a:stretch>
                      <a:fillRect/>
                    </a:stretch>
                  </pic:blipFill>
                  <pic:spPr>
                    <a:xfrm>
                      <a:off x="0" y="0"/>
                      <a:ext cx="5669280" cy="522207"/>
                    </a:xfrm>
                    <a:prstGeom prst="rect"/>
                  </pic:spPr>
                </pic:pic>
              </a:graphicData>
            </a:graphic>
          </wp:inline>
        </w:drawing>
      </w:r>
    </w:p>
    <w:p>
      <w:r>
        <w:rPr>
          <w:b w:val="0"/>
          <w:i w:val="0"/>
          <w:sz w:val="21"/>
        </w:rPr>
        <w:t>This is the standard multiplicity problem in almost-commutative geometry: once three generations are represented as a trivial tensor factor, all native gauge and spectral-triple operators broadcast uniformly over that factor. The commutant contains U(3)_gen freedom, but the present ASHA data do not contain a canonical element inside that U(3)_gen freedom that would select the observed family texture.</w:t>
      </w:r>
    </w:p>
    <w:p>
      <w:r>
        <w:rPr>
          <w:b w:val="0"/>
          <w:i w:val="0"/>
          <w:sz w:val="21"/>
        </w:rPr>
        <w:t>Several tempting threefold structures were explicitly rejected. The three spatial Fock modes are color/spatial structure, not generation. The spinor split 16 = 8_s + 8_c is chirality/two-sector structure, not three families. Exact Spin(8) triality gives a threefold representation arena, but exact triality alone produces a 1+2 degeneracy and does not generate three distinct masses or CKM misalignment. Contact singleton idempotents are native threefold contact data, but no lawful functor maps them into finite-Dirac generation labels.</w:t>
      </w:r>
    </w:p>
    <w:p>
      <w:r>
        <w:rPr>
          <w:b/>
          <w:sz w:val="25"/>
        </w:rPr>
        <w:t>Quarantined family axioms: hierarchy, mixing, and CP capacity</w:t>
      </w:r>
    </w:p>
    <w:p>
      <w:r>
        <w:rPr>
          <w:b w:val="0"/>
          <w:i w:val="0"/>
          <w:sz w:val="21"/>
        </w:rPr>
        <w:t>Because the native carrier remains generation-trivial, the later flavor gates introduced the smallest possible family-sector axioms as quarantined extensions. These are not promoted to native ASHA theorems. They are consistency tests: if one adds a minimal family bundle, what is the least algebra needed to obtain hierarchy, mixing, and CP capacity?</w:t>
      </w:r>
    </w:p>
    <w:p>
      <w:r>
        <w:rPr>
          <w:b w:val="0"/>
          <w:i w:val="0"/>
          <w:sz w:val="21"/>
        </w:rPr>
        <w:t>The first axiom is a modular family Hamiltonian. It breaks the trivial family copy into three ordered levels and activates a nontracial KMS-like family state:</w:t>
      </w:r>
    </w:p>
    <w:p>
      <w:pPr>
        <w:jc w:val="center"/>
      </w:pPr>
      <w:r>
        <w:drawing>
          <wp:inline xmlns:a="http://schemas.openxmlformats.org/drawingml/2006/main" xmlns:pic="http://schemas.openxmlformats.org/drawingml/2006/picture">
            <wp:extent cx="5486400" cy="705394"/>
            <wp:docPr id="37" name="Picture 37"/>
            <wp:cNvGraphicFramePr>
              <a:graphicFrameLocks noChangeAspect="1"/>
            </wp:cNvGraphicFramePr>
            <a:graphic>
              <a:graphicData uri="http://schemas.openxmlformats.org/drawingml/2006/picture">
                <pic:pic>
                  <pic:nvPicPr>
                    <pic:cNvPr id="0" name="kgen.png"/>
                    <pic:cNvPicPr/>
                  </pic:nvPicPr>
                  <pic:blipFill>
                    <a:blip r:embed="rId52"/>
                    <a:stretch>
                      <a:fillRect/>
                    </a:stretch>
                  </pic:blipFill>
                  <pic:spPr>
                    <a:xfrm>
                      <a:off x="0" y="0"/>
                      <a:ext cx="5486400" cy="705394"/>
                    </a:xfrm>
                    <a:prstGeom prst="rect"/>
                  </pic:spPr>
                </pic:pic>
              </a:graphicData>
            </a:graphic>
          </wp:inline>
        </w:drawing>
      </w:r>
    </w:p>
    <w:p>
      <w:r>
        <w:rPr>
          <w:b w:val="0"/>
          <w:i w:val="0"/>
          <w:sz w:val="21"/>
        </w:rPr>
        <w:t>This gives hierarchy capacity, but it is diagonal-only. Any texture that is only a function of K_gen commutes with every other such texture, so it cannot produce CKM or PMNS mixing. Mixing requires a second, noncommuting family operator.</w:t>
      </w:r>
    </w:p>
    <w:p>
      <w:r>
        <w:rPr>
          <w:b w:val="0"/>
          <w:i w:val="0"/>
          <w:sz w:val="21"/>
        </w:rPr>
        <w:t>The smallest such operator is the cyclic shift S_gen and its Hermitian quadratures:</w:t>
      </w:r>
    </w:p>
    <w:p>
      <w:pPr>
        <w:jc w:val="center"/>
      </w:pPr>
      <w:r>
        <w:drawing>
          <wp:inline xmlns:a="http://schemas.openxmlformats.org/drawingml/2006/main" xmlns:pic="http://schemas.openxmlformats.org/drawingml/2006/picture">
            <wp:extent cx="4389120" cy="223473"/>
            <wp:docPr id="38" name="Picture 38"/>
            <wp:cNvGraphicFramePr>
              <a:graphicFrameLocks noChangeAspect="1"/>
            </wp:cNvGraphicFramePr>
            <a:graphic>
              <a:graphicData uri="http://schemas.openxmlformats.org/drawingml/2006/picture">
                <pic:pic>
                  <pic:nvPicPr>
                    <pic:cNvPr id="0" name="shift.png"/>
                    <pic:cNvPicPr/>
                  </pic:nvPicPr>
                  <pic:blipFill>
                    <a:blip r:embed="rId53"/>
                    <a:stretch>
                      <a:fillRect/>
                    </a:stretch>
                  </pic:blipFill>
                  <pic:spPr>
                    <a:xfrm>
                      <a:off x="0" y="0"/>
                      <a:ext cx="4389120" cy="223473"/>
                    </a:xfrm>
                    <a:prstGeom prst="rect"/>
                  </pic:spPr>
                </pic:pic>
              </a:graphicData>
            </a:graphic>
          </wp:inline>
        </w:drawing>
      </w:r>
    </w:p>
    <w:p>
      <w:r>
        <w:rPr>
          <w:b w:val="0"/>
          <w:i w:val="0"/>
          <w:sz w:val="21"/>
        </w:rPr>
        <w:t>The pair K_gen and X_gen activates real noncommuting mixing capacity. Adding Y_gen supplies the smallest Hermitian phase direction and makes CP-capable textures possible. A charged-sector source under this K/X/Y axiom has the form:</w:t>
      </w:r>
    </w:p>
    <w:p>
      <w:pPr>
        <w:jc w:val="center"/>
      </w:pPr>
      <w:r>
        <w:drawing>
          <wp:inline xmlns:a="http://schemas.openxmlformats.org/drawingml/2006/main" xmlns:pic="http://schemas.openxmlformats.org/drawingml/2006/picture">
            <wp:extent cx="5212080" cy="369101"/>
            <wp:docPr id="39" name="Picture 39"/>
            <wp:cNvGraphicFramePr>
              <a:graphicFrameLocks noChangeAspect="1"/>
            </wp:cNvGraphicFramePr>
            <a:graphic>
              <a:graphicData uri="http://schemas.openxmlformats.org/drawingml/2006/picture">
                <pic:pic>
                  <pic:nvPicPr>
                    <pic:cNvPr id="0" name="sector_texture.png"/>
                    <pic:cNvPicPr/>
                  </pic:nvPicPr>
                  <pic:blipFill>
                    <a:blip r:embed="rId54"/>
                    <a:stretch>
                      <a:fillRect/>
                    </a:stretch>
                  </pic:blipFill>
                  <pic:spPr>
                    <a:xfrm>
                      <a:off x="0" y="0"/>
                      <a:ext cx="5212080" cy="369101"/>
                    </a:xfrm>
                    <a:prstGeom prst="rect"/>
                  </pic:spPr>
                </pic:pic>
              </a:graphicData>
            </a:graphic>
          </wp:inline>
        </w:drawing>
      </w:r>
    </w:p>
    <w:p>
      <w:r>
        <w:rPr>
          <w:b w:val="0"/>
          <w:i w:val="0"/>
          <w:sz w:val="21"/>
        </w:rPr>
        <w:t>For up-type, down-type, and charged-lepton sectors, this gives nine symbolic charged coefficients. These coefficients are not observed Yukawa entries; they are a compressed family-source ledger. They are also not predicted by the current native geometry. Their values remain boundary data.</w:t>
      </w:r>
    </w:p>
    <w:p>
      <w:pPr>
        <w:jc w:val="center"/>
      </w:pPr>
      <w:r>
        <w:drawing>
          <wp:inline xmlns:a="http://schemas.openxmlformats.org/drawingml/2006/main" xmlns:pic="http://schemas.openxmlformats.org/drawingml/2006/picture">
            <wp:extent cx="5486400" cy="282662"/>
            <wp:docPr id="40" name="Picture 40"/>
            <wp:cNvGraphicFramePr>
              <a:graphicFrameLocks noChangeAspect="1"/>
            </wp:cNvGraphicFramePr>
            <a:graphic>
              <a:graphicData uri="http://schemas.openxmlformats.org/drawingml/2006/picture">
                <pic:pic>
                  <pic:nvPicPr>
                    <pic:cNvPr id="0" name="commutator.png"/>
                    <pic:cNvPicPr/>
                  </pic:nvPicPr>
                  <pic:blipFill>
                    <a:blip r:embed="rId55"/>
                    <a:stretch>
                      <a:fillRect/>
                    </a:stretch>
                  </pic:blipFill>
                  <pic:spPr>
                    <a:xfrm>
                      <a:off x="0" y="0"/>
                      <a:ext cx="5486400" cy="282662"/>
                    </a:xfrm>
                    <a:prstGeom prst="rect"/>
                  </pic:spPr>
                </pic:pic>
              </a:graphicData>
            </a:graphic>
          </wp:inline>
        </w:drawing>
      </w:r>
    </w:p>
    <w:p>
      <w:r>
        <w:rPr>
          <w:b/>
          <w:sz w:val="25"/>
        </w:rPr>
        <w:t>Parameter ledger and firewall status</w:t>
      </w:r>
    </w:p>
    <w:p>
      <w:r>
        <w:rPr>
          <w:b w:val="0"/>
          <w:i w:val="0"/>
          <w:sz w:val="21"/>
        </w:rPr>
        <w:t>The conditional family-axiom chain clarifies the flavor problem without solving it natively. The parameter ledger is as follows:</w:t>
      </w:r>
    </w:p>
    <w:tbl>
      <w:tblPr>
        <w:tblW w:type="auto" w:w="0"/>
        <w:jc w:val="center"/>
        <w:tblLook w:firstColumn="1" w:firstRow="1" w:lastColumn="0" w:lastRow="0" w:noHBand="0" w:noVBand="1" w:val="04A0"/>
      </w:tblPr>
      <w:tblGrid>
        <w:gridCol w:w="1661"/>
        <w:gridCol w:w="1661"/>
        <w:gridCol w:w="1661"/>
        <w:gridCol w:w="1661"/>
        <w:gridCol w:w="1661"/>
      </w:tblGrid>
      <w:tr>
        <w:tc>
          <w:tcPr>
            <w:tcW w:type="dxa" w:w="1661"/>
            <w:vAlign w:val="top"/>
          </w:tcPr>
          <w:p>
            <w:r/>
            <w:r>
              <w:rPr>
                <w:b/>
                <w:sz w:val="18"/>
              </w:rPr>
              <w:t>Framework</w:t>
            </w:r>
          </w:p>
        </w:tc>
        <w:tc>
          <w:tcPr>
            <w:tcW w:type="dxa" w:w="1661"/>
            <w:vAlign w:val="top"/>
          </w:tcPr>
          <w:p>
            <w:r/>
            <w:r>
              <w:rPr>
                <w:b/>
                <w:sz w:val="18"/>
              </w:rPr>
              <w:t>Family operators</w:t>
            </w:r>
          </w:p>
        </w:tc>
        <w:tc>
          <w:tcPr>
            <w:tcW w:type="dxa" w:w="1661"/>
            <w:vAlign w:val="top"/>
          </w:tcPr>
          <w:p>
            <w:r/>
            <w:r>
              <w:rPr>
                <w:b/>
                <w:sz w:val="18"/>
              </w:rPr>
              <w:t>Charged coefficients</w:t>
            </w:r>
          </w:p>
        </w:tc>
        <w:tc>
          <w:tcPr>
            <w:tcW w:type="dxa" w:w="1661"/>
            <w:vAlign w:val="top"/>
          </w:tcPr>
          <w:p>
            <w:r/>
            <w:r>
              <w:rPr>
                <w:b/>
                <w:sz w:val="18"/>
              </w:rPr>
              <w:t>Capacity</w:t>
            </w:r>
          </w:p>
        </w:tc>
        <w:tc>
          <w:tcPr>
            <w:tcW w:type="dxa" w:w="1661"/>
            <w:vAlign w:val="top"/>
          </w:tcPr>
          <w:p>
            <w:r/>
            <w:r>
              <w:rPr>
                <w:b/>
                <w:sz w:val="18"/>
              </w:rPr>
              <w:t>Status</w:t>
            </w:r>
          </w:p>
        </w:tc>
      </w:tr>
      <w:tr>
        <w:tc>
          <w:tcPr>
            <w:tcW w:type="dxa" w:w="1661"/>
            <w:vAlign w:val="top"/>
          </w:tcPr>
          <w:p>
            <w:r/>
            <w:r>
              <w:rPr>
                <w:b w:val="0"/>
                <w:sz w:val="18"/>
              </w:rPr>
              <w:t>Native ASHA</w:t>
            </w:r>
          </w:p>
        </w:tc>
        <w:tc>
          <w:tcPr>
            <w:tcW w:type="dxa" w:w="1661"/>
            <w:vAlign w:val="top"/>
          </w:tcPr>
          <w:p>
            <w:r/>
            <w:r>
              <w:rPr>
                <w:b w:val="0"/>
                <w:sz w:val="18"/>
              </w:rPr>
              <w:t>none on C^3_gen</w:t>
            </w:r>
          </w:p>
        </w:tc>
        <w:tc>
          <w:tcPr>
            <w:tcW w:type="dxa" w:w="1661"/>
            <w:vAlign w:val="top"/>
          </w:tcPr>
          <w:p>
            <w:r/>
            <w:r>
              <w:rPr>
                <w:b w:val="0"/>
                <w:sz w:val="18"/>
              </w:rPr>
              <w:t>13 charged moduli</w:t>
            </w:r>
          </w:p>
        </w:tc>
        <w:tc>
          <w:tcPr>
            <w:tcW w:type="dxa" w:w="1661"/>
            <w:vAlign w:val="top"/>
          </w:tcPr>
          <w:p>
            <w:r/>
            <w:r>
              <w:rPr>
                <w:b w:val="0"/>
                <w:sz w:val="18"/>
              </w:rPr>
              <w:t>allowed channels only</w:t>
            </w:r>
          </w:p>
        </w:tc>
        <w:tc>
          <w:tcPr>
            <w:tcW w:type="dxa" w:w="1661"/>
            <w:vAlign w:val="top"/>
          </w:tcPr>
          <w:p>
            <w:r/>
            <w:r>
              <w:rPr>
                <w:b w:val="0"/>
                <w:sz w:val="18"/>
              </w:rPr>
              <w:t>firewall preserved</w:t>
            </w:r>
          </w:p>
        </w:tc>
      </w:tr>
      <w:tr>
        <w:tc>
          <w:tcPr>
            <w:tcW w:type="dxa" w:w="1661"/>
            <w:vAlign w:val="top"/>
          </w:tcPr>
          <w:p>
            <w:r/>
            <w:r>
              <w:rPr>
                <w:b w:val="0"/>
                <w:sz w:val="18"/>
              </w:rPr>
              <w:t>K only</w:t>
            </w:r>
          </w:p>
        </w:tc>
        <w:tc>
          <w:tcPr>
            <w:tcW w:type="dxa" w:w="1661"/>
            <w:vAlign w:val="top"/>
          </w:tcPr>
          <w:p>
            <w:r/>
            <w:r>
              <w:rPr>
                <w:b w:val="0"/>
                <w:sz w:val="18"/>
              </w:rPr>
              <w:t>K_gen</w:t>
            </w:r>
          </w:p>
        </w:tc>
        <w:tc>
          <w:tcPr>
            <w:tcW w:type="dxa" w:w="1661"/>
            <w:vAlign w:val="top"/>
          </w:tcPr>
          <w:p>
            <w:r/>
            <w:r>
              <w:rPr>
                <w:b w:val="0"/>
                <w:sz w:val="18"/>
              </w:rPr>
              <w:t>diagonal hierarchy data</w:t>
            </w:r>
          </w:p>
        </w:tc>
        <w:tc>
          <w:tcPr>
            <w:tcW w:type="dxa" w:w="1661"/>
            <w:vAlign w:val="top"/>
          </w:tcPr>
          <w:p>
            <w:r/>
            <w:r>
              <w:rPr>
                <w:b w:val="0"/>
                <w:sz w:val="18"/>
              </w:rPr>
              <w:t>hierarchy capacity</w:t>
            </w:r>
          </w:p>
        </w:tc>
        <w:tc>
          <w:tcPr>
            <w:tcW w:type="dxa" w:w="1661"/>
            <w:vAlign w:val="top"/>
          </w:tcPr>
          <w:p>
            <w:r/>
            <w:r>
              <w:rPr>
                <w:b w:val="0"/>
                <w:sz w:val="18"/>
              </w:rPr>
              <w:t>diagonal; no mixing</w:t>
            </w:r>
          </w:p>
        </w:tc>
      </w:tr>
      <w:tr>
        <w:tc>
          <w:tcPr>
            <w:tcW w:type="dxa" w:w="1661"/>
            <w:vAlign w:val="top"/>
          </w:tcPr>
          <w:p>
            <w:r/>
            <w:r>
              <w:rPr>
                <w:b w:val="0"/>
                <w:sz w:val="18"/>
              </w:rPr>
              <w:t>K/X real source</w:t>
            </w:r>
          </w:p>
        </w:tc>
        <w:tc>
          <w:tcPr>
            <w:tcW w:type="dxa" w:w="1661"/>
            <w:vAlign w:val="top"/>
          </w:tcPr>
          <w:p>
            <w:r/>
            <w:r>
              <w:rPr>
                <w:b w:val="0"/>
                <w:sz w:val="18"/>
              </w:rPr>
              <w:t>K_gen, X_gen</w:t>
            </w:r>
          </w:p>
        </w:tc>
        <w:tc>
          <w:tcPr>
            <w:tcW w:type="dxa" w:w="1661"/>
            <w:vAlign w:val="top"/>
          </w:tcPr>
          <w:p>
            <w:r/>
            <w:r>
              <w:rPr>
                <w:b w:val="0"/>
                <w:sz w:val="18"/>
              </w:rPr>
              <w:t>6 real charged coefficients</w:t>
            </w:r>
          </w:p>
        </w:tc>
        <w:tc>
          <w:tcPr>
            <w:tcW w:type="dxa" w:w="1661"/>
            <w:vAlign w:val="top"/>
          </w:tcPr>
          <w:p>
            <w:r/>
            <w:r>
              <w:rPr>
                <w:b w:val="0"/>
                <w:sz w:val="18"/>
              </w:rPr>
              <w:t>real mixing capacity</w:t>
            </w:r>
          </w:p>
        </w:tc>
        <w:tc>
          <w:tcPr>
            <w:tcW w:type="dxa" w:w="1661"/>
            <w:vAlign w:val="top"/>
          </w:tcPr>
          <w:p>
            <w:r/>
            <w:r>
              <w:rPr>
                <w:b w:val="0"/>
                <w:sz w:val="18"/>
              </w:rPr>
              <w:t>no CKM CP phase</w:t>
            </w:r>
          </w:p>
        </w:tc>
      </w:tr>
      <w:tr>
        <w:tc>
          <w:tcPr>
            <w:tcW w:type="dxa" w:w="1661"/>
            <w:vAlign w:val="top"/>
          </w:tcPr>
          <w:p>
            <w:r/>
            <w:r>
              <w:rPr>
                <w:b w:val="0"/>
                <w:sz w:val="18"/>
              </w:rPr>
              <w:t>K/X/Y phase source</w:t>
            </w:r>
          </w:p>
        </w:tc>
        <w:tc>
          <w:tcPr>
            <w:tcW w:type="dxa" w:w="1661"/>
            <w:vAlign w:val="top"/>
          </w:tcPr>
          <w:p>
            <w:r/>
            <w:r>
              <w:rPr>
                <w:b w:val="0"/>
                <w:sz w:val="18"/>
              </w:rPr>
              <w:t>K_gen, X_gen, Y_gen</w:t>
            </w:r>
          </w:p>
        </w:tc>
        <w:tc>
          <w:tcPr>
            <w:tcW w:type="dxa" w:w="1661"/>
            <w:vAlign w:val="top"/>
          </w:tcPr>
          <w:p>
            <w:r/>
            <w:r>
              <w:rPr>
                <w:b w:val="0"/>
                <w:sz w:val="18"/>
              </w:rPr>
              <w:t>9 symbolic charged coefficients</w:t>
            </w:r>
          </w:p>
        </w:tc>
        <w:tc>
          <w:tcPr>
            <w:tcW w:type="dxa" w:w="1661"/>
            <w:vAlign w:val="top"/>
          </w:tcPr>
          <w:p>
            <w:r/>
            <w:r>
              <w:rPr>
                <w:b w:val="0"/>
                <w:sz w:val="18"/>
              </w:rPr>
              <w:t>mixing + CP capacity</w:t>
            </w:r>
          </w:p>
        </w:tc>
        <w:tc>
          <w:tcPr>
            <w:tcW w:type="dxa" w:w="1661"/>
            <w:vAlign w:val="top"/>
          </w:tcPr>
          <w:p>
            <w:r/>
            <w:r>
              <w:rPr>
                <w:b w:val="0"/>
                <w:sz w:val="18"/>
              </w:rPr>
              <w:t>quarantined axiom</w:t>
            </w:r>
          </w:p>
        </w:tc>
      </w:tr>
      <w:tr>
        <w:tc>
          <w:tcPr>
            <w:tcW w:type="dxa" w:w="1661"/>
            <w:vAlign w:val="top"/>
          </w:tcPr>
          <w:p>
            <w:r/>
            <w:r>
              <w:rPr>
                <w:b w:val="0"/>
                <w:sz w:val="18"/>
              </w:rPr>
              <w:t>Observed Yukawa source</w:t>
            </w:r>
          </w:p>
        </w:tc>
        <w:tc>
          <w:tcPr>
            <w:tcW w:type="dxa" w:w="1661"/>
            <w:vAlign w:val="top"/>
          </w:tcPr>
          <w:p>
            <w:r/>
            <w:r>
              <w:rPr>
                <w:b w:val="0"/>
                <w:sz w:val="18"/>
              </w:rPr>
              <w:t>full empirical matrices</w:t>
            </w:r>
          </w:p>
        </w:tc>
        <w:tc>
          <w:tcPr>
            <w:tcW w:type="dxa" w:w="1661"/>
            <w:vAlign w:val="top"/>
          </w:tcPr>
          <w:p>
            <w:r/>
            <w:r>
              <w:rPr>
                <w:b w:val="0"/>
                <w:sz w:val="18"/>
              </w:rPr>
              <w:t>13 charged coordinates</w:t>
            </w:r>
          </w:p>
        </w:tc>
        <w:tc>
          <w:tcPr>
            <w:tcW w:type="dxa" w:w="1661"/>
            <w:vAlign w:val="top"/>
          </w:tcPr>
          <w:p>
            <w:r/>
            <w:r>
              <w:rPr>
                <w:b w:val="0"/>
                <w:sz w:val="18"/>
              </w:rPr>
              <w:t>phenomenologically complete</w:t>
            </w:r>
          </w:p>
        </w:tc>
        <w:tc>
          <w:tcPr>
            <w:tcW w:type="dxa" w:w="1661"/>
            <w:vAlign w:val="top"/>
          </w:tcPr>
          <w:p>
            <w:r/>
            <w:r>
              <w:rPr>
                <w:b w:val="0"/>
                <w:sz w:val="18"/>
              </w:rPr>
              <w:t>rejected as curve fitting</w:t>
            </w:r>
          </w:p>
        </w:tc>
      </w:tr>
    </w:tbl>
    <w:p>
      <w:r>
        <w:rPr>
          <w:b w:val="0"/>
          <w:i w:val="0"/>
          <w:sz w:val="21"/>
        </w:rPr>
        <w:t>The key distinction is between capacity and prediction. The K/X/Y chain shows the minimal algebraic capacity needed for a realistic family sector: hierarchy, noncommuting mixing, and CP violation. But the current ASHA theorem board contains no native variational functional, trace principle, curvature action, or contact/edge pullback that fixes the nine symbolic coefficients.</w:t>
      </w:r>
    </w:p>
    <w:p>
      <w:r>
        <w:rPr>
          <w:b w:val="0"/>
          <w:i w:val="0"/>
          <w:sz w:val="21"/>
        </w:rPr>
        <w:t>Consequently, the charged flavor frontier is sealed in two layers. Natively, ASHA keeps the full thirteen charged moduli firewalled. Conditionally, if one adds the K/X/Y family axiom, the theory can organize the charged flavor sector into nine symbolic coefficients, but the numerical values of those coefficients remain environmental boundary coordinates.</w:t>
      </w:r>
    </w:p>
    <w:p>
      <w:r>
        <w:rPr>
          <w:b/>
          <w:sz w:val="25"/>
        </w:rPr>
        <w:t>Meaning of the flavor result</w:t>
      </w:r>
    </w:p>
    <w:p>
      <w:r>
        <w:rPr>
          <w:b w:val="0"/>
          <w:i w:val="0"/>
          <w:sz w:val="21"/>
        </w:rPr>
        <w:t>This conclusion is not a weakness of the audit; it is the audit’s main achievement. The flavor problem is separated from the law-space problem. The same theorem board that supports the finite gauge and scalar architecture also prevents the manuscript from pretending that arbitrary Yukawa data have been derived. The result is a clean epistemological map:</w:t>
      </w:r>
    </w:p>
    <w:p>
      <w:pPr>
        <w:ind w:left="360" w:hanging="216"/>
      </w:pPr>
      <w:r>
        <w:rPr>
          <w:b/>
        </w:rPr>
        <w:t xml:space="preserve">• </w:t>
      </w:r>
      <w:r>
        <w:rPr>
          <w:sz w:val="21"/>
        </w:rPr>
        <w:t>Gauge and scalar field content belong to the native finite spectral-triple and inner-fluctuation lanes.</w:t>
      </w:r>
    </w:p>
    <w:p>
      <w:pPr>
        <w:ind w:left="360" w:hanging="216"/>
      </w:pPr>
      <w:r>
        <w:rPr>
          <w:b/>
        </w:rPr>
        <w:t xml:space="preserve">• </w:t>
      </w:r>
      <w:r>
        <w:rPr>
          <w:sz w:val="21"/>
        </w:rPr>
        <w:t>Electroweak normalization and the Higgs tree proxy belong to bridge/coefficient lanes.</w:t>
      </w:r>
    </w:p>
    <w:p>
      <w:pPr>
        <w:ind w:left="360" w:hanging="216"/>
      </w:pPr>
      <w:r>
        <w:rPr>
          <w:b/>
        </w:rPr>
        <w:t xml:space="preserve">• </w:t>
      </w:r>
      <w:r>
        <w:rPr>
          <w:sz w:val="21"/>
        </w:rPr>
        <w:t>Generation hierarchy, mixing, and CP capacity require a quarantined family-bundle axiom.</w:t>
      </w:r>
    </w:p>
    <w:p>
      <w:pPr>
        <w:ind w:left="360" w:hanging="216"/>
      </w:pPr>
      <w:r>
        <w:rPr>
          <w:b/>
        </w:rPr>
        <w:t xml:space="preserve">• </w:t>
      </w:r>
      <w:r>
        <w:rPr>
          <w:sz w:val="21"/>
        </w:rPr>
        <w:t>The exact charged-family coefficients remain environmental unless a future theorem derives a family-sector selector.</w:t>
      </w:r>
    </w:p>
    <w:p>
      <w:r>
        <w:rPr>
          <w:b w:val="0"/>
          <w:i w:val="0"/>
          <w:sz w:val="21"/>
        </w:rPr>
        <w:t>The next section therefore turns from flavor to the remaining environmental boundary: cosmology and the dark sector. As with flavor, the goal is not to force prediction where the finite theorem board does not justify it, but to state precisely what ASHA derives, what it organizes, and what it must leave sealed.</w:t>
      </w:r>
    </w:p>
    <w:p>
      <w:r>
        <w:br w:type="page"/>
      </w:r>
    </w:p>
    <w:p>
      <w:r>
        <w:br w:type="page"/>
      </w:r>
    </w:p>
    <w:p>
      <w:pPr>
        <w:spacing w:before="240" w:after="160"/>
      </w:pPr>
      <w:r>
        <w:rPr>
          <w:b/>
          <w:i w:val="0"/>
          <w:sz w:val="36"/>
        </w:rPr>
        <w:t>Cosmology and Dark-Sector Boundary</w:t>
      </w:r>
    </w:p>
    <w:p>
      <w:pPr>
        <w:spacing w:after="120" w:line="259" w:lineRule="auto"/>
      </w:pPr>
      <w:r>
        <w:rPr>
          <w:sz w:val="21"/>
        </w:rPr>
        <w:t>The preceding sections separated native finite law-space from the environmental coordinates of flavor. The same discipline is required for cosmology. ASHA supplies finite internal geometry, the almost-commutative product framework, coefficient lanes, and several dimensionless spectral anchors. It does not, at the present stage, determine the cosmological history of the universe. In particular, dark-matter abundance, the observed vacuum energy density, and the age of the universe are not outputs of the native finite theorem chain.</w:t>
      </w:r>
    </w:p>
    <w:p>
      <w:pPr>
        <w:spacing w:before="80" w:after="120"/>
        <w:jc w:val="center"/>
      </w:pPr>
      <w:r>
        <w:drawing>
          <wp:inline xmlns:a="http://schemas.openxmlformats.org/drawingml/2006/main" xmlns:pic="http://schemas.openxmlformats.org/drawingml/2006/picture">
            <wp:extent cx="4389120" cy="586680"/>
            <wp:docPr id="41" name="Picture 41"/>
            <wp:cNvGraphicFramePr>
              <a:graphicFrameLocks noChangeAspect="1"/>
            </wp:cNvGraphicFramePr>
            <a:graphic>
              <a:graphicData uri="http://schemas.openxmlformats.org/drawingml/2006/picture">
                <pic:pic>
                  <pic:nvPicPr>
                    <pic:cNvPr id="0" name="cosmo_coords.png"/>
                    <pic:cNvPicPr/>
                  </pic:nvPicPr>
                  <pic:blipFill>
                    <a:blip r:embed="rId56"/>
                    <a:stretch>
                      <a:fillRect/>
                    </a:stretch>
                  </pic:blipFill>
                  <pic:spPr>
                    <a:xfrm>
                      <a:off x="0" y="0"/>
                      <a:ext cx="4389120" cy="586680"/>
                    </a:xfrm>
                    <a:prstGeom prst="rect"/>
                  </pic:spPr>
                </pic:pic>
              </a:graphicData>
            </a:graphic>
          </wp:inline>
        </w:drawing>
      </w:r>
    </w:p>
    <w:p>
      <w:pPr>
        <w:spacing w:after="120" w:line="259" w:lineRule="auto"/>
      </w:pPr>
      <w:r>
        <w:rPr>
          <w:sz w:val="21"/>
        </w:rPr>
        <w:t>This is not a cosmetic limitation. Cosmological observables depend on continuum dynamics, gravitational normalization, expansion history, renormalization/subtraction prescriptions, thermal production, decoupling, and possible non-equilibrium initial conditions. The finite algebra may constrain the law-space in which such histories occur, but a history-sensitive coordinate is not determined merely by the existence of a finite spectral invariant.</w:t>
      </w:r>
    </w:p>
    <w:p>
      <w:pPr>
        <w:spacing w:before="200" w:after="80"/>
      </w:pPr>
      <w:r>
        <w:rPr>
          <w:b/>
          <w:i w:val="0"/>
          <w:sz w:val="27"/>
        </w:rPr>
        <w:t>The cosmological term in the spectral action</w:t>
      </w:r>
    </w:p>
    <w:p>
      <w:pPr>
        <w:spacing w:after="120" w:line="259" w:lineRule="auto"/>
      </w:pPr>
      <w:r>
        <w:rPr>
          <w:sz w:val="21"/>
        </w:rPr>
        <w:t>In the Chamseddine-Connes-Marcolli spectral-action lane, the large-scale expansion contains gravitational, gauge, scalar, and cosmological contributions. The cosmological contribution appears at the level of the cutoff expansion, schematically as a high-power cutoff term, together with lower-order curvature terms:</w:t>
      </w:r>
    </w:p>
    <w:p>
      <w:pPr>
        <w:spacing w:before="80" w:after="120"/>
        <w:jc w:val="center"/>
      </w:pPr>
      <w:r>
        <w:drawing>
          <wp:inline xmlns:a="http://schemas.openxmlformats.org/drawingml/2006/main" xmlns:pic="http://schemas.openxmlformats.org/drawingml/2006/picture">
            <wp:extent cx="5029200" cy="672238"/>
            <wp:docPr id="42" name="Picture 42"/>
            <wp:cNvGraphicFramePr>
              <a:graphicFrameLocks noChangeAspect="1"/>
            </wp:cNvGraphicFramePr>
            <a:graphic>
              <a:graphicData uri="http://schemas.openxmlformats.org/drawingml/2006/picture">
                <pic:pic>
                  <pic:nvPicPr>
                    <pic:cNvPr id="0" name="spectral_cosmo.png"/>
                    <pic:cNvPicPr/>
                  </pic:nvPicPr>
                  <pic:blipFill>
                    <a:blip r:embed="rId57"/>
                    <a:stretch>
                      <a:fillRect/>
                    </a:stretch>
                  </pic:blipFill>
                  <pic:spPr>
                    <a:xfrm>
                      <a:off x="0" y="0"/>
                      <a:ext cx="5029200" cy="672238"/>
                    </a:xfrm>
                    <a:prstGeom prst="rect"/>
                  </pic:spPr>
                </pic:pic>
              </a:graphicData>
            </a:graphic>
          </wp:inline>
        </w:drawing>
      </w:r>
    </w:p>
    <w:p>
      <w:pPr>
        <w:spacing w:after="120" w:line="259" w:lineRule="auto"/>
      </w:pPr>
      <w:r>
        <w:rPr>
          <w:sz w:val="21"/>
        </w:rPr>
        <w:t>The presence of such a term is not yet a prediction of the observed cosmological constant. To compare with the measured vacuum energy density one would need a complete continuum normalization, a subtraction or renormalization rule, and a dynamical account of how the effective low-energy vacuum is selected. The ASHA audit therefore keeps the cosmological constant in a sealed frontier rather than identifying it with any raw finite leakage, index, or spectral residue.</w:t>
      </w:r>
    </w:p>
    <w:p>
      <w:pPr>
        <w:spacing w:before="120" w:after="40"/>
      </w:pPr>
      <w:r>
        <w:rPr>
          <w:b/>
          <w:i w:val="0"/>
          <w:sz w:val="24"/>
        </w:rPr>
        <w:t>Holographic pathway and the role of a dynamical cutoff</w:t>
      </w:r>
    </w:p>
    <w:p>
      <w:pPr>
        <w:spacing w:before="0" w:after="40"/>
      </w:pPr>
      <w:r>
        <w:rPr>
          <w:b w:val="0"/>
          <w:i w:val="0"/>
          <w:sz w:val="20"/>
        </w:rPr>
        <w:t>There is nevertheless a precise bridge direction that should be recorded without promoting it to a native result. The Cohen-Kaplan-Nelson infrared-ultraviolet consistency bound says that an effective field theory in a region of size L should not contain enough energy to form a black hole of the same size. In its schematic form, the bound relates the ultraviolet cutoff to the macroscopic infrared scale:</w:t>
      </w:r>
    </w:p>
    <w:p>
      <w:pPr>
        <w:spacing w:before="40" w:after="40"/>
        <w:jc w:val="center"/>
      </w:pPr>
      <w:r>
        <w:drawing>
          <wp:inline xmlns:a="http://schemas.openxmlformats.org/drawingml/2006/main" xmlns:pic="http://schemas.openxmlformats.org/drawingml/2006/picture">
            <wp:extent cx="5394960" cy="539881"/>
            <wp:docPr id="60" name="Picture 60"/>
            <wp:cNvGraphicFramePr>
              <a:graphicFrameLocks noChangeAspect="1"/>
            </wp:cNvGraphicFramePr>
            <a:graphic>
              <a:graphicData uri="http://schemas.openxmlformats.org/drawingml/2006/picture">
                <pic:pic>
                  <pic:nvPicPr>
                    <pic:cNvPr id="0" name="holographic_bound.png"/>
                    <pic:cNvPicPr/>
                  </pic:nvPicPr>
                  <pic:blipFill>
                    <a:blip r:embed="rId75"/>
                    <a:stretch>
                      <a:fillRect/>
                    </a:stretch>
                  </pic:blipFill>
                  <pic:spPr>
                    <a:xfrm>
                      <a:off x="0" y="0"/>
                      <a:ext cx="5394960" cy="539881"/>
                    </a:xfrm>
                    <a:prstGeom prst="rect"/>
                  </pic:spPr>
                </pic:pic>
              </a:graphicData>
            </a:graphic>
          </wp:inline>
        </w:drawing>
      </w:r>
    </w:p>
    <w:p>
      <w:pPr>
        <w:spacing w:before="0" w:after="40"/>
      </w:pPr>
      <w:r>
        <w:rPr>
          <w:b w:val="0"/>
          <w:i w:val="0"/>
          <w:sz w:val="20"/>
        </w:rPr>
        <w:t>This mechanism is relevant because it shows how a large bare spectral-action vacuum term can be suppressed once the cutoff is not treated as a rigid constant independent of the cosmological horizon. In ASHA language, the bridge would require promoting the cutoff or scale lane to a dynamical field, for example a dilaton-like variable:</w:t>
      </w:r>
    </w:p>
    <w:p>
      <w:pPr>
        <w:spacing w:before="40" w:after="40"/>
        <w:jc w:val="center"/>
      </w:pPr>
      <w:r>
        <w:drawing>
          <wp:inline xmlns:a="http://schemas.openxmlformats.org/drawingml/2006/main" xmlns:pic="http://schemas.openxmlformats.org/drawingml/2006/picture">
            <wp:extent cx="3291840" cy="516077"/>
            <wp:docPr id="61" name="Picture 61"/>
            <wp:cNvGraphicFramePr>
              <a:graphicFrameLocks noChangeAspect="1"/>
            </wp:cNvGraphicFramePr>
            <a:graphic>
              <a:graphicData uri="http://schemas.openxmlformats.org/drawingml/2006/picture">
                <pic:pic>
                  <pic:nvPicPr>
                    <pic:cNvPr id="0" name="dilaton_cutoff.png"/>
                    <pic:cNvPicPr/>
                  </pic:nvPicPr>
                  <pic:blipFill>
                    <a:blip r:embed="rId76"/>
                    <a:stretch>
                      <a:fillRect/>
                    </a:stretch>
                  </pic:blipFill>
                  <pic:spPr>
                    <a:xfrm>
                      <a:off x="0" y="0"/>
                      <a:ext cx="3291840" cy="516077"/>
                    </a:xfrm>
                    <a:prstGeom prst="rect"/>
                  </pic:spPr>
                </pic:pic>
              </a:graphicData>
            </a:graphic>
          </wp:inline>
        </w:drawing>
      </w:r>
    </w:p>
    <w:p>
      <w:pPr>
        <w:spacing w:before="0" w:after="80"/>
      </w:pPr>
      <w:r>
        <w:rPr>
          <w:b w:val="0"/>
          <w:i w:val="0"/>
          <w:sz w:val="20"/>
        </w:rPr>
        <w:t>The current manuscript should not claim that this solves dark energy. The correct claim is narrower: the finite law-space supplies a high-energy geometric action, while a future cosmology bridge may need a holographic infrared-ultraviolet constraint and a dynamical scale field to connect that action to late-time vacuum energy.</w:t>
      </w:r>
    </w:p>
    <w:p>
      <w:r>
        <w:rPr>
          <w:b/>
        </w:rPr>
        <w:t>Conditional numerical bridge audit (not a dark-energy prediction)</w:t>
      </w:r>
    </w:p>
    <w:tbl>
      <w:tblPr>
        <w:tblW w:type="auto" w:w="0"/>
        <w:tblLook w:firstColumn="1" w:firstRow="1" w:lastColumn="0" w:lastRow="0" w:noHBand="0" w:noVBand="1" w:val="04A0"/>
      </w:tblPr>
      <w:tblGrid>
        <w:gridCol w:w="2769"/>
        <w:gridCol w:w="2769"/>
        <w:gridCol w:w="2769"/>
      </w:tblGrid>
      <w:tr>
        <w:tc>
          <w:tcPr>
            <w:tcW w:type="dxa" w:w="2769"/>
          </w:tcPr>
          <w:p>
            <w:r>
              <w:rPr>
                <w:b/>
              </w:rPr>
              <w:t>Quantity</w:t>
            </w:r>
          </w:p>
        </w:tc>
        <w:tc>
          <w:tcPr>
            <w:tcW w:type="dxa" w:w="2769"/>
          </w:tcPr>
          <w:p>
            <w:r>
              <w:rPr>
                <w:b/>
              </w:rPr>
              <w:t>Runtime value</w:t>
            </w:r>
          </w:p>
        </w:tc>
        <w:tc>
          <w:tcPr>
            <w:tcW w:type="dxa" w:w="2769"/>
          </w:tcPr>
          <w:p>
            <w:r>
              <w:rPr>
                <w:b/>
              </w:rPr>
              <w:t>Status / meaning</w:t>
            </w:r>
          </w:p>
        </w:tc>
      </w:tr>
      <w:tr>
        <w:tc>
          <w:tcPr>
            <w:tcW w:type="dxa" w:w="2769"/>
          </w:tcPr>
          <w:p>
            <w:r>
              <w:t>diagnostic bare term ρ_bare/M_P⁴</w:t>
            </w:r>
          </w:p>
        </w:tc>
        <w:tc>
          <w:tcPr>
            <w:tcW w:type="dxa" w:w="2769"/>
          </w:tcPr>
          <w:p>
            <w:r>
              <w:t>48/π² ≈ 4.863416814832</w:t>
            </w:r>
          </w:p>
        </w:tc>
        <w:tc>
          <w:tcPr>
            <w:tcW w:type="dxa" w:w="2769"/>
          </w:tcPr>
          <w:p>
            <w:r>
              <w:t>spectral-action severity diagnostic; convention-dependent</w:t>
            </w:r>
          </w:p>
        </w:tc>
      </w:tr>
      <w:tr>
        <w:tc>
          <w:tcPr>
            <w:tcW w:type="dxa" w:w="2769"/>
          </w:tcPr>
          <w:p>
            <w:r>
              <w:t>dark-energy target lane</w:t>
            </w:r>
          </w:p>
        </w:tc>
        <w:tc>
          <w:tcPr>
            <w:tcW w:type="dxa" w:w="2769"/>
          </w:tcPr>
          <w:p>
            <w:r>
              <w:t>ρΛ/M_P⁴ ≈ 10⁻¹²⁰</w:t>
            </w:r>
          </w:p>
        </w:tc>
        <w:tc>
          <w:tcPr>
            <w:tcW w:type="dxa" w:w="2769"/>
          </w:tcPr>
          <w:p>
            <w:r>
              <w:t>environmental comparator, not native output</w:t>
            </w:r>
          </w:p>
        </w:tc>
      </w:tr>
      <w:tr>
        <w:tc>
          <w:tcPr>
            <w:tcW w:type="dxa" w:w="2769"/>
          </w:tcPr>
          <w:p>
            <w:r>
              <w:t>required cancellation</w:t>
            </w:r>
          </w:p>
        </w:tc>
        <w:tc>
          <w:tcPr>
            <w:tcW w:type="dxa" w:w="2769"/>
          </w:tcPr>
          <w:p>
            <w:r>
              <w:t>≈ 4.863416814832 × 10¹²⁰</w:t>
            </w:r>
          </w:p>
        </w:tc>
        <w:tc>
          <w:tcPr>
            <w:tcW w:type="dxa" w:w="2769"/>
          </w:tcPr>
          <w:p>
            <w:r>
              <w:t>subtraction/renormalization still required</w:t>
            </w:r>
          </w:p>
        </w:tc>
      </w:tr>
      <w:tr>
        <w:tc>
          <w:tcPr>
            <w:tcW w:type="dxa" w:w="2769"/>
          </w:tcPr>
          <w:p>
            <w:r>
              <w:t>digits of cancellation</w:t>
            </w:r>
          </w:p>
        </w:tc>
        <w:tc>
          <w:tcPr>
            <w:tcW w:type="dxa" w:w="2769"/>
          </w:tcPr>
          <w:p>
            <w:r>
              <w:t>≈ 120.686941492</w:t>
            </w:r>
          </w:p>
        </w:tc>
        <w:tc>
          <w:tcPr>
            <w:tcW w:type="dxa" w:w="2769"/>
          </w:tcPr>
          <w:p>
            <w:r>
              <w:t>diagnostic fine-tuning severity</w:t>
            </w:r>
          </w:p>
        </w:tc>
      </w:tr>
      <w:tr>
        <w:tc>
          <w:tcPr>
            <w:tcW w:type="dxa" w:w="2769"/>
          </w:tcPr>
          <w:p>
            <w:r>
              <w:t>holographic scale</w:t>
            </w:r>
          </w:p>
        </w:tc>
        <w:tc>
          <w:tcPr>
            <w:tcW w:type="dxa" w:w="2769"/>
          </w:tcPr>
          <w:p>
            <w:r>
              <w:t>L M_P ≈ 10⁶⁰</w:t>
            </w:r>
          </w:p>
        </w:tc>
        <w:tc>
          <w:tcPr>
            <w:tcW w:type="dxa" w:w="2769"/>
          </w:tcPr>
          <w:p>
            <w:r>
              <w:t>conditional IR-UV bridge for 10⁻¹²⁰ target</w:t>
            </w:r>
          </w:p>
        </w:tc>
      </w:tr>
      <w:tr>
        <w:tc>
          <w:tcPr>
            <w:tcW w:type="dxa" w:w="2769"/>
          </w:tcPr>
          <w:p>
            <w:r>
              <w:t>Gate-344 target convention</w:t>
            </w:r>
          </w:p>
        </w:tc>
        <w:tc>
          <w:tcPr>
            <w:tcW w:type="dxa" w:w="2769"/>
          </w:tcPr>
          <w:p>
            <w:r>
              <w:t>L M_P ≈ 10⁶¹</w:t>
            </w:r>
          </w:p>
        </w:tc>
        <w:tc>
          <w:tcPr>
            <w:tcW w:type="dxa" w:w="2769"/>
          </w:tcPr>
          <w:p>
            <w:r>
              <w:t>alternate 10⁻¹²² ledger convention</w:t>
            </w:r>
          </w:p>
        </w:tc>
      </w:tr>
      <w:tr>
        <w:tc>
          <w:tcPr>
            <w:tcW w:type="dxa" w:w="2769"/>
          </w:tcPr>
          <w:p>
            <w:r>
              <w:t>electroweak-vacuum ratio</w:t>
            </w:r>
          </w:p>
        </w:tc>
        <w:tc>
          <w:tcPr>
            <w:tcW w:type="dxa" w:w="2769"/>
          </w:tcPr>
          <w:p>
            <w:r>
              <w:t>(v_Pf/M_P)⁴ ≈ 1.679361894449 × 10⁻⁶⁷</w:t>
            </w:r>
          </w:p>
        </w:tc>
        <w:tc>
          <w:tcPr>
            <w:tcW w:type="dxa" w:w="2769"/>
          </w:tcPr>
          <w:p>
            <w:r>
              <w:t>too large by ≈10⁵³ to 10⁵⁵ depending on convention</w:t>
            </w:r>
          </w:p>
        </w:tc>
      </w:tr>
    </w:tbl>
    <w:p>
      <w:pPr>
        <w:spacing w:before="80" w:after="120"/>
        <w:jc w:val="center"/>
      </w:pPr>
      <w:r>
        <w:drawing>
          <wp:inline xmlns:a="http://schemas.openxmlformats.org/drawingml/2006/main" xmlns:pic="http://schemas.openxmlformats.org/drawingml/2006/picture">
            <wp:extent cx="3931920" cy="525568"/>
            <wp:docPr id="43" name="Picture 43"/>
            <wp:cNvGraphicFramePr>
              <a:graphicFrameLocks noChangeAspect="1"/>
            </wp:cNvGraphicFramePr>
            <a:graphic>
              <a:graphicData uri="http://schemas.openxmlformats.org/drawingml/2006/picture">
                <pic:pic>
                  <pic:nvPicPr>
                    <pic:cNvPr id="0" name="not_equal.png"/>
                    <pic:cNvPicPr/>
                  </pic:nvPicPr>
                  <pic:blipFill>
                    <a:blip r:embed="rId58"/>
                    <a:stretch>
                      <a:fillRect/>
                    </a:stretch>
                  </pic:blipFill>
                  <pic:spPr>
                    <a:xfrm>
                      <a:off x="0" y="0"/>
                      <a:ext cx="3931920" cy="525568"/>
                    </a:xfrm>
                    <a:prstGeom prst="rect"/>
                  </pic:spPr>
                </pic:pic>
              </a:graphicData>
            </a:graphic>
          </wp:inline>
        </w:drawing>
      </w:r>
    </w:p>
    <w:p>
      <w:pPr>
        <w:spacing w:before="200" w:after="80"/>
      </w:pPr>
      <w:r>
        <w:rPr>
          <w:b/>
          <w:i w:val="0"/>
          <w:sz w:val="27"/>
        </w:rPr>
        <w:t>Why finite leakage is not dark energy</w:t>
      </w:r>
    </w:p>
    <w:p>
      <w:pPr>
        <w:spacing w:after="120" w:line="259" w:lineRule="auto"/>
      </w:pPr>
      <w:r>
        <w:rPr>
          <w:sz w:val="21"/>
        </w:rPr>
        <w:t>Several finite quantities in the ASHA tower have suggestive names: projector leakage, contact overlap, B-sector gaps, Pfaffian weights, and contact spectral blocks. These quantities are genuine internal invariants. However, none of them becomes dark energy merely by being small, positive, topological, or vacuum-associated. Dark energy is a continuum gravitational observable. A lawful derivation would have to connect the finite invariant to an effective stress-energy contribution in the four-dimensional product geometry, including units, normalization, subtraction, and cosmological evolution.</w:t>
      </w:r>
    </w:p>
    <w:p>
      <w:pPr>
        <w:spacing w:after="120" w:line="259" w:lineRule="auto"/>
      </w:pPr>
      <w:r>
        <w:rPr>
          <w:sz w:val="21"/>
        </w:rPr>
        <w:t>The mature conclusion is therefore restrictive: finite contact frustration may be part of the internal geometry, but ASHA does not currently derive the observed value of ρΛ. The result is a firewall, not a hidden prediction.</w:t>
      </w:r>
    </w:p>
    <w:p>
      <w:pPr>
        <w:spacing w:before="200" w:after="80"/>
      </w:pPr>
      <w:r>
        <w:rPr>
          <w:b/>
          <w:i w:val="0"/>
          <w:sz w:val="27"/>
        </w:rPr>
        <w:t>Dark-sector candidates versus dark-matter prediction</w:t>
      </w:r>
    </w:p>
    <w:p>
      <w:pPr>
        <w:spacing w:after="120" w:line="259" w:lineRule="auto"/>
      </w:pPr>
      <w:r>
        <w:rPr>
          <w:sz w:val="21"/>
        </w:rPr>
        <w:t>The same distinction applies to dark matter. A finite spectral mode, neutral state, sterile state, or protected sector is not by itself a dark-matter prediction. A dark-matter prediction requires at least four ingredients: a stable or sufficiently long-lived sector, a physical mass scale, interaction or cross-section data, and a cosmological production/history rule.</w:t>
      </w:r>
    </w:p>
    <w:p>
      <w:pPr>
        <w:spacing w:before="80" w:after="120"/>
        <w:jc w:val="center"/>
      </w:pPr>
      <w:r>
        <w:drawing>
          <wp:inline xmlns:a="http://schemas.openxmlformats.org/drawingml/2006/main" xmlns:pic="http://schemas.openxmlformats.org/drawingml/2006/picture">
            <wp:extent cx="4937760" cy="497501"/>
            <wp:docPr id="44" name="Picture 44"/>
            <wp:cNvGraphicFramePr>
              <a:graphicFrameLocks noChangeAspect="1"/>
            </wp:cNvGraphicFramePr>
            <a:graphic>
              <a:graphicData uri="http://schemas.openxmlformats.org/drawingml/2006/picture">
                <pic:pic>
                  <pic:nvPicPr>
                    <pic:cNvPr id="0" name="dm_requirements.png"/>
                    <pic:cNvPicPr/>
                  </pic:nvPicPr>
                  <pic:blipFill>
                    <a:blip r:embed="rId59"/>
                    <a:stretch>
                      <a:fillRect/>
                    </a:stretch>
                  </pic:blipFill>
                  <pic:spPr>
                    <a:xfrm>
                      <a:off x="0" y="0"/>
                      <a:ext cx="4937760" cy="497501"/>
                    </a:xfrm>
                    <a:prstGeom prst="rect"/>
                  </pic:spPr>
                </pic:pic>
              </a:graphicData>
            </a:graphic>
          </wp:inline>
        </w:drawing>
      </w:r>
    </w:p>
    <w:p>
      <w:pPr>
        <w:spacing w:after="120" w:line="259" w:lineRule="auto"/>
      </w:pPr>
      <w:r>
        <w:rPr>
          <w:sz w:val="21"/>
        </w:rPr>
        <w:t>The ASHA gate sequence deliberately refuses to confuse an internal finite candidate with a relic-abundance calculation. Some structures may later serve as inputs to a dark-sector bridge, but the present theory does not predict ΩDMh², direct-detection rates, self-interaction cross sections, or a unique dark particle spectrum.</w:t>
      </w:r>
    </w:p>
    <w:p>
      <w:pPr>
        <w:spacing w:before="120" w:after="40"/>
      </w:pPr>
      <w:r>
        <w:rPr>
          <w:b/>
          <w:i w:val="0"/>
          <w:sz w:val="24"/>
        </w:rPr>
        <w:t>Quantitative falsification: heavy Majorana thermal overclosure</w:t>
      </w:r>
    </w:p>
    <w:p>
      <w:pPr>
        <w:spacing w:before="0" w:after="40"/>
      </w:pPr>
      <w:r>
        <w:rPr>
          <w:b w:val="0"/>
          <w:i w:val="0"/>
          <w:sz w:val="20"/>
        </w:rPr>
        <w:t>The dark-sector firewall does not mean that the framework is nonquantitative. It means that dark-sector promotion must survive cosmological consistency tests. In the ASHA audit, the heavy B-gap Majorana candidate was tested under the simplest stable thermal-relic assumption. With a characteristic scale near 1.46 × 10⁶ GeV, the stable thermal scenario overcloses the universe by roughly thirteen trillion relative to the observed dark-matter abundance:</w:t>
      </w:r>
    </w:p>
    <w:p>
      <w:r>
        <w:rPr>
          <w:b/>
        </w:rPr>
        <w:t>Runtime yield audit for the stable thermal B-gap scenario</w:t>
      </w:r>
    </w:p>
    <w:tbl>
      <w:tblPr>
        <w:tblW w:type="auto" w:w="0"/>
        <w:tblLook w:firstColumn="1" w:firstRow="1" w:lastColumn="0" w:lastRow="0" w:noHBand="0" w:noVBand="1" w:val="04A0"/>
      </w:tblPr>
      <w:tblGrid>
        <w:gridCol w:w="2769"/>
        <w:gridCol w:w="2769"/>
        <w:gridCol w:w="2769"/>
      </w:tblGrid>
      <w:tr>
        <w:tc>
          <w:tcPr>
            <w:tcW w:type="dxa" w:w="2769"/>
          </w:tcPr>
          <w:p>
            <w:r>
              <w:rPr>
                <w:b/>
              </w:rPr>
              <w:t>Quantity</w:t>
            </w:r>
          </w:p>
        </w:tc>
        <w:tc>
          <w:tcPr>
            <w:tcW w:type="dxa" w:w="2769"/>
          </w:tcPr>
          <w:p>
            <w:r>
              <w:rPr>
                <w:b/>
              </w:rPr>
              <w:t>Runtime value</w:t>
            </w:r>
          </w:p>
        </w:tc>
        <w:tc>
          <w:tcPr>
            <w:tcW w:type="dxa" w:w="2769"/>
          </w:tcPr>
          <w:p>
            <w:r>
              <w:rPr>
                <w:b/>
              </w:rPr>
              <w:t>Interpretation</w:t>
            </w:r>
          </w:p>
        </w:tc>
      </w:tr>
      <w:tr>
        <w:tc>
          <w:tcPr>
            <w:tcW w:type="dxa" w:w="2769"/>
          </w:tcPr>
          <w:p>
            <w:r>
              <w:t>candidate mass M_B</w:t>
            </w:r>
          </w:p>
        </w:tc>
        <w:tc>
          <w:tcPr>
            <w:tcW w:type="dxa" w:w="2769"/>
          </w:tcPr>
          <w:p>
            <w:r>
              <w:t>1.46774973718 × 10⁶ GeV</w:t>
            </w:r>
          </w:p>
        </w:tc>
        <w:tc>
          <w:tcPr>
            <w:tcW w:type="dxa" w:w="2769"/>
          </w:tcPr>
          <w:p>
            <w:r>
              <w:t>B-gap heavy Majorana scale</w:t>
            </w:r>
          </w:p>
        </w:tc>
      </w:tr>
      <w:tr>
        <w:tc>
          <w:tcPr>
            <w:tcW w:type="dxa" w:w="2769"/>
          </w:tcPr>
          <w:p>
            <w:r>
              <w:t>target ΩDM h²</w:t>
            </w:r>
          </w:p>
        </w:tc>
        <w:tc>
          <w:tcPr>
            <w:tcW w:type="dxa" w:w="2769"/>
          </w:tcPr>
          <w:p>
            <w:r>
              <w:t>0.120</w:t>
            </w:r>
          </w:p>
        </w:tc>
        <w:tc>
          <w:tcPr>
            <w:tcW w:type="dxa" w:w="2769"/>
          </w:tcPr>
          <w:p>
            <w:r>
              <w:t>observational comparator</w:t>
            </w:r>
          </w:p>
        </w:tc>
      </w:tr>
      <w:tr>
        <w:tc>
          <w:tcPr>
            <w:tcW w:type="dxa" w:w="2769"/>
          </w:tcPr>
          <w:p>
            <w:r>
              <w:t>required yield Y_required</w:t>
            </w:r>
          </w:p>
        </w:tc>
        <w:tc>
          <w:tcPr>
            <w:tcW w:type="dxa" w:w="2769"/>
          </w:tcPr>
          <w:p>
            <w:r>
              <w:t>2.97981078152 × 10⁻¹⁶</w:t>
            </w:r>
          </w:p>
        </w:tc>
        <w:tc>
          <w:tcPr>
            <w:tcW w:type="dxa" w:w="2769"/>
          </w:tcPr>
          <w:p>
            <w:r>
              <w:t>yield needed if this sector were all dark matter</w:t>
            </w:r>
          </w:p>
        </w:tc>
      </w:tr>
      <w:tr>
        <w:tc>
          <w:tcPr>
            <w:tcW w:type="dxa" w:w="2769"/>
          </w:tcPr>
          <w:p>
            <w:r>
              <w:t>thermal yield Y_thermal</w:t>
            </w:r>
          </w:p>
        </w:tc>
        <w:tc>
          <w:tcPr>
            <w:tcW w:type="dxa" w:w="2769"/>
          </w:tcPr>
          <w:p>
            <w:r>
              <w:t>3.90149836766 × 10⁻³</w:t>
            </w:r>
          </w:p>
        </w:tc>
        <w:tc>
          <w:tcPr>
            <w:tcW w:type="dxa" w:w="2769"/>
          </w:tcPr>
          <w:p>
            <w:r>
              <w:t>relativistic thermal abundance stress test</w:t>
            </w:r>
          </w:p>
        </w:tc>
      </w:tr>
      <w:tr>
        <w:tc>
          <w:tcPr>
            <w:tcW w:type="dxa" w:w="2769"/>
          </w:tcPr>
          <w:p>
            <w:r>
              <w:t>stable thermal Ω h²</w:t>
            </w:r>
          </w:p>
        </w:tc>
        <w:tc>
          <w:tcPr>
            <w:tcW w:type="dxa" w:w="2769"/>
          </w:tcPr>
          <w:p>
            <w:r>
              <w:t>1.57117293159 × 10¹²</w:t>
            </w:r>
          </w:p>
        </w:tc>
        <w:tc>
          <w:tcPr>
            <w:tcW w:type="dxa" w:w="2769"/>
          </w:tcPr>
          <w:p>
            <w:r>
              <w:t>far above observed abundance</w:t>
            </w:r>
          </w:p>
        </w:tc>
      </w:tr>
      <w:tr>
        <w:tc>
          <w:tcPr>
            <w:tcW w:type="dxa" w:w="2769"/>
          </w:tcPr>
          <w:p>
            <w:r>
              <w:t>overclosure factor</w:t>
            </w:r>
          </w:p>
        </w:tc>
        <w:tc>
          <w:tcPr>
            <w:tcW w:type="dxa" w:w="2769"/>
          </w:tcPr>
          <w:p>
            <w:r>
              <w:t>1.30931077633 × 10¹³</w:t>
            </w:r>
          </w:p>
        </w:tc>
        <w:tc>
          <w:tcPr>
            <w:tcW w:type="dxa" w:w="2769"/>
          </w:tcPr>
          <w:p>
            <w:r>
              <w:t>stable thermal interpretation rejected</w:t>
            </w:r>
          </w:p>
        </w:tc>
      </w:tr>
      <w:tr>
        <w:tc>
          <w:tcPr>
            <w:tcW w:type="dxa" w:w="2769"/>
          </w:tcPr>
          <w:p>
            <w:r>
              <w:t>required suppression</w:t>
            </w:r>
          </w:p>
        </w:tc>
        <w:tc>
          <w:tcPr>
            <w:tcW w:type="dxa" w:w="2769"/>
          </w:tcPr>
          <w:p>
            <w:r>
              <w:t>7.63760612134 × 10⁻¹⁴ of thermal yield</w:t>
            </w:r>
          </w:p>
        </w:tc>
        <w:tc>
          <w:tcPr>
            <w:tcW w:type="dxa" w:w="2769"/>
          </w:tcPr>
          <w:p>
            <w:r>
              <w:t>viable only with nonthermal production, dilution, decay, or another history axiom</w:t>
            </w:r>
          </w:p>
        </w:tc>
      </w:tr>
    </w:tbl>
    <w:p>
      <w:pPr>
        <w:spacing w:before="40" w:after="40"/>
        <w:jc w:val="center"/>
      </w:pPr>
      <w:r>
        <w:drawing>
          <wp:inline xmlns:a="http://schemas.openxmlformats.org/drawingml/2006/main" xmlns:pic="http://schemas.openxmlformats.org/drawingml/2006/picture">
            <wp:extent cx="5486400" cy="532290"/>
            <wp:docPr id="62" name="Picture 62"/>
            <wp:cNvGraphicFramePr>
              <a:graphicFrameLocks noChangeAspect="1"/>
            </wp:cNvGraphicFramePr>
            <a:graphic>
              <a:graphicData uri="http://schemas.openxmlformats.org/drawingml/2006/picture">
                <pic:pic>
                  <pic:nvPicPr>
                    <pic:cNvPr id="0" name="majorana_overclosure.png"/>
                    <pic:cNvPicPr/>
                  </pic:nvPicPr>
                  <pic:blipFill>
                    <a:blip r:embed="rId77"/>
                    <a:stretch>
                      <a:fillRect/>
                    </a:stretch>
                  </pic:blipFill>
                  <pic:spPr>
                    <a:xfrm>
                      <a:off x="0" y="0"/>
                      <a:ext cx="5486400" cy="532290"/>
                    </a:xfrm>
                    <a:prstGeom prst="rect"/>
                  </pic:spPr>
                </pic:pic>
              </a:graphicData>
            </a:graphic>
          </wp:inline>
        </w:drawing>
      </w:r>
    </w:p>
    <w:p>
      <w:pPr>
        <w:spacing w:before="0" w:after="80"/>
      </w:pPr>
      <w:r>
        <w:rPr>
          <w:b w:val="0"/>
          <w:i w:val="0"/>
          <w:sz w:val="20"/>
        </w:rPr>
        <w:t>This is a strong negative result. It forbids identifying the heavy Majorana sector with ordinary stable thermal dark matter. A viable cosmological bridge would need a different history: decay, dilution, leptogenesis, nonthermal production, an axion-like sector, or another explicitly derived mechanism. The point is not that ASHA predicts this particle as dark matter; the point is that ASHA can already falsify naive dark-sector readings when a cosmological history is supplied.</w:t>
      </w:r>
    </w:p>
    <w:p>
      <w:r>
        <w:rPr>
          <w:b/>
        </w:rPr>
        <w:t>Conditional vacuum-fate stress test</w:t>
      </w:r>
    </w:p>
    <w:p>
      <w:r>
        <w:rPr>
          <w:b w:val="0"/>
        </w:rPr>
        <w:t>A separate conditional runtime path can be evaluated once empirical top/Higgs inputs, a continuum RG scheme, and the ASHA B-gap threshold jump are supplied. This is useful phenomenology, but it is not a native ASHA prediction of the age or fate of the universe.</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Seed mode</w:t>
            </w:r>
          </w:p>
        </w:tc>
        <w:tc>
          <w:tcPr>
            <w:tcW w:type="dxa" w:w="1187"/>
          </w:tcPr>
          <w:p>
            <w:r>
              <w:rPr>
                <w:b/>
              </w:rPr>
              <w:t>λ before threshold</w:t>
            </w:r>
          </w:p>
        </w:tc>
        <w:tc>
          <w:tcPr>
            <w:tcW w:type="dxa" w:w="1187"/>
          </w:tcPr>
          <w:p>
            <w:r>
              <w:rPr>
                <w:b/>
              </w:rPr>
              <w:t>λ after threshold</w:t>
            </w:r>
          </w:p>
        </w:tc>
        <w:tc>
          <w:tcPr>
            <w:tcW w:type="dxa" w:w="1187"/>
          </w:tcPr>
          <w:p>
            <w:r>
              <w:rPr>
                <w:b/>
              </w:rPr>
              <w:t>instability scale</w:t>
            </w:r>
          </w:p>
        </w:tc>
        <w:tc>
          <w:tcPr>
            <w:tcW w:type="dxa" w:w="1187"/>
          </w:tcPr>
          <w:p>
            <w:r>
              <w:rPr>
                <w:b/>
              </w:rPr>
              <w:t>λ_min</w:t>
            </w:r>
          </w:p>
        </w:tc>
        <w:tc>
          <w:tcPr>
            <w:tcW w:type="dxa" w:w="1187"/>
          </w:tcPr>
          <w:p>
            <w:r>
              <w:rPr>
                <w:b/>
              </w:rPr>
              <w:t>bounce proxy S_E</w:t>
            </w:r>
          </w:p>
        </w:tc>
        <w:tc>
          <w:tcPr>
            <w:tcW w:type="dxa" w:w="1187"/>
          </w:tcPr>
          <w:p>
            <w:r>
              <w:rPr>
                <w:b/>
              </w:rPr>
              <w:t>log₁₀ τ/yr</w:t>
            </w:r>
          </w:p>
        </w:tc>
      </w:tr>
      <w:tr>
        <w:tc>
          <w:tcPr>
            <w:tcW w:type="dxa" w:w="1187"/>
          </w:tcPr>
          <w:p>
            <w:r>
              <w:t>tree pole top seed</w:t>
            </w:r>
          </w:p>
        </w:tc>
        <w:tc>
          <w:tcPr>
            <w:tcW w:type="dxa" w:w="1187"/>
          </w:tcPr>
          <w:p>
            <w:r>
              <w:t>-0.006880640805</w:t>
            </w:r>
          </w:p>
        </w:tc>
        <w:tc>
          <w:tcPr>
            <w:tcW w:type="dxa" w:w="1187"/>
          </w:tcPr>
          <w:p>
            <w:r>
              <w:t>-0.104727433012</w:t>
            </w:r>
          </w:p>
        </w:tc>
        <w:tc>
          <w:tcPr>
            <w:tcW w:type="dxa" w:w="1187"/>
          </w:tcPr>
          <w:p>
            <w:r>
              <w:t>5.76733268667 × 10⁵ GeV</w:t>
            </w:r>
          </w:p>
        </w:tc>
        <w:tc>
          <w:tcPr>
            <w:tcW w:type="dxa" w:w="1187"/>
          </w:tcPr>
          <w:p>
            <w:r>
              <w:t>-0.122793907974</w:t>
            </w:r>
          </w:p>
        </w:tc>
        <w:tc>
          <w:tcPr>
            <w:tcW w:type="dxa" w:w="1187"/>
          </w:tcPr>
          <w:p>
            <w:r>
              <w:t>214.334289900</w:t>
            </w:r>
          </w:p>
        </w:tc>
        <w:tc>
          <w:tcPr>
            <w:tcW w:type="dxa" w:w="1187"/>
          </w:tcPr>
          <w:p>
            <w:r>
              <w:t>55.642486182</w:t>
            </w:r>
          </w:p>
        </w:tc>
      </w:tr>
      <w:tr>
        <w:tc>
          <w:tcPr>
            <w:tcW w:type="dxa" w:w="1187"/>
          </w:tcPr>
          <w:p>
            <w:r>
              <w:t>one-loop QCD MSbar-like top seed</w:t>
            </w:r>
          </w:p>
        </w:tc>
        <w:tc>
          <w:tcPr>
            <w:tcW w:type="dxa" w:w="1187"/>
          </w:tcPr>
          <w:p>
            <w:r>
              <w:t>0.032625459630</w:t>
            </w:r>
          </w:p>
        </w:tc>
        <w:tc>
          <w:tcPr>
            <w:tcW w:type="dxa" w:w="1187"/>
          </w:tcPr>
          <w:p>
            <w:r>
              <w:t>-0.065221332577</w:t>
            </w:r>
          </w:p>
        </w:tc>
        <w:tc>
          <w:tcPr>
            <w:tcW w:type="dxa" w:w="1187"/>
          </w:tcPr>
          <w:p>
            <w:r>
              <w:t>1.46774973718 × 10⁶ GeV</w:t>
            </w:r>
          </w:p>
        </w:tc>
        <w:tc>
          <w:tcPr>
            <w:tcW w:type="dxa" w:w="1187"/>
          </w:tcPr>
          <w:p>
            <w:r>
              <w:t>-0.077446343073</w:t>
            </w:r>
          </w:p>
        </w:tc>
        <w:tc>
          <w:tcPr>
            <w:tcW w:type="dxa" w:w="1187"/>
          </w:tcPr>
          <w:p>
            <w:r>
              <w:t>339.834574820</w:t>
            </w:r>
          </w:p>
        </w:tc>
        <w:tc>
          <w:tcPr>
            <w:tcW w:type="dxa" w:w="1187"/>
          </w:tcPr>
          <w:p>
            <w:r>
              <w:t>109.740890393</w:t>
            </w:r>
          </w:p>
        </w:tc>
      </w:tr>
    </w:tbl>
    <w:p>
      <w:pPr>
        <w:spacing w:before="200" w:after="80"/>
      </w:pPr>
      <w:r>
        <w:rPr>
          <w:b/>
          <w:i w:val="0"/>
          <w:sz w:val="27"/>
        </w:rPr>
        <w:t>The environmental-history firewall</w:t>
      </w:r>
    </w:p>
    <w:p>
      <w:pPr>
        <w:spacing w:after="120" w:line="259" w:lineRule="auto"/>
      </w:pPr>
      <w:r>
        <w:rPr>
          <w:sz w:val="21"/>
        </w:rPr>
        <w:t>The cosmology boundary can be summarized by a simple rule:</w:t>
      </w:r>
    </w:p>
    <w:p>
      <w:pPr>
        <w:spacing w:before="80" w:after="120"/>
        <w:jc w:val="center"/>
      </w:pPr>
      <w:r>
        <w:drawing>
          <wp:inline xmlns:a="http://schemas.openxmlformats.org/drawingml/2006/main" xmlns:pic="http://schemas.openxmlformats.org/drawingml/2006/picture">
            <wp:extent cx="4114800" cy="550013"/>
            <wp:docPr id="45" name="Picture 45"/>
            <wp:cNvGraphicFramePr>
              <a:graphicFrameLocks noChangeAspect="1"/>
            </wp:cNvGraphicFramePr>
            <a:graphic>
              <a:graphicData uri="http://schemas.openxmlformats.org/drawingml/2006/picture">
                <pic:pic>
                  <pic:nvPicPr>
                    <pic:cNvPr id="0" name="boundary.png"/>
                    <pic:cNvPicPr/>
                  </pic:nvPicPr>
                  <pic:blipFill>
                    <a:blip r:embed="rId60"/>
                    <a:stretch>
                      <a:fillRect/>
                    </a:stretch>
                  </pic:blipFill>
                  <pic:spPr>
                    <a:xfrm>
                      <a:off x="0" y="0"/>
                      <a:ext cx="4114800" cy="550013"/>
                    </a:xfrm>
                    <a:prstGeom prst="rect"/>
                  </pic:spPr>
                </pic:pic>
              </a:graphicData>
            </a:graphic>
          </wp:inline>
        </w:drawing>
      </w:r>
    </w:p>
    <w:p>
      <w:pPr>
        <w:spacing w:after="120" w:line="259" w:lineRule="auto"/>
      </w:pPr>
      <w:r>
        <w:rPr>
          <w:sz w:val="21"/>
        </w:rPr>
        <w:t>The finite law-space specifies allowed algebraic structure. Cosmology additionally requires a history: a choice of state, scale, expansion dynamics, thermal path, and effective low-energy vacuum. Without such a bridge, the dark-sector and cosmological coordinates remain environmental.</w:t>
      </w:r>
    </w:p>
    <w:p>
      <w:pPr>
        <w:spacing w:after="120" w:line="259" w:lineRule="auto"/>
      </w:pPr>
      <w:r>
        <w:rPr>
          <w:sz w:val="21"/>
        </w:rPr>
        <w:t>The sealed cosmological coordinates include:</w:t>
      </w:r>
    </w:p>
    <w:p>
      <w:pPr>
        <w:spacing w:after="60"/>
        <w:ind w:left="360" w:hanging="259"/>
      </w:pPr>
      <w:r>
        <w:rPr>
          <w:sz w:val="21"/>
        </w:rPr>
        <w:t>• the dark-matter abundance and relic history;</w:t>
      </w:r>
    </w:p>
    <w:p>
      <w:pPr>
        <w:spacing w:after="60"/>
        <w:ind w:left="360" w:hanging="259"/>
      </w:pPr>
      <w:r>
        <w:rPr>
          <w:sz w:val="21"/>
        </w:rPr>
        <w:t>• the observed cosmological constant or vacuum energy density;</w:t>
      </w:r>
    </w:p>
    <w:p>
      <w:pPr>
        <w:spacing w:after="60"/>
        <w:ind w:left="360" w:hanging="259"/>
      </w:pPr>
      <w:r>
        <w:rPr>
          <w:sz w:val="21"/>
        </w:rPr>
        <w:t>• the age of the universe and late-time expansion history;</w:t>
      </w:r>
    </w:p>
    <w:p>
      <w:pPr>
        <w:spacing w:after="60"/>
        <w:ind w:left="360" w:hanging="259"/>
      </w:pPr>
      <w:r>
        <w:rPr>
          <w:sz w:val="21"/>
        </w:rPr>
        <w:t>• threshold activation rules for finite spectral modes in cosmological evolution;</w:t>
      </w:r>
    </w:p>
    <w:p>
      <w:pPr>
        <w:spacing w:after="60"/>
        <w:ind w:left="360" w:hanging="259"/>
      </w:pPr>
      <w:r>
        <w:rPr>
          <w:sz w:val="21"/>
        </w:rPr>
        <w:t>• any direct-detection, indirect-detection, or collider prediction for a dark-sector particle.</w:t>
      </w:r>
    </w:p>
    <w:p>
      <w:pPr>
        <w:spacing w:before="200" w:after="80"/>
      </w:pPr>
      <w:r>
        <w:rPr>
          <w:b/>
          <w:i w:val="0"/>
          <w:sz w:val="27"/>
        </w:rPr>
        <w:t>What a future cosmology bridge would need</w:t>
      </w:r>
    </w:p>
    <w:p>
      <w:pPr>
        <w:spacing w:after="120" w:line="259" w:lineRule="auto"/>
      </w:pPr>
      <w:r>
        <w:rPr>
          <w:sz w:val="21"/>
        </w:rPr>
        <w:t>A future cosmology gate would have to construct an explicit functor from finite spectral data to continuum dynamics and cosmological history. At minimum, it would need to supply a physical mass unit, a gravitational normalization, a subtraction prescription for vacuum energy, a thermal or non-thermal production rule, and a stability theorem for any proposed dark-sector state.</w:t>
      </w:r>
    </w:p>
    <w:p>
      <w:pPr>
        <w:spacing w:before="80" w:after="120"/>
        <w:jc w:val="center"/>
      </w:pPr>
      <w:r>
        <w:drawing>
          <wp:inline xmlns:a="http://schemas.openxmlformats.org/drawingml/2006/main" xmlns:pic="http://schemas.openxmlformats.org/drawingml/2006/picture">
            <wp:extent cx="5303520" cy="487830"/>
            <wp:docPr id="46" name="Picture 46"/>
            <wp:cNvGraphicFramePr>
              <a:graphicFrameLocks noChangeAspect="1"/>
            </wp:cNvGraphicFramePr>
            <a:graphic>
              <a:graphicData uri="http://schemas.openxmlformats.org/drawingml/2006/picture">
                <pic:pic>
                  <pic:nvPicPr>
                    <pic:cNvPr id="0" name="future_bridge.png"/>
                    <pic:cNvPicPr/>
                  </pic:nvPicPr>
                  <pic:blipFill>
                    <a:blip r:embed="rId61"/>
                    <a:stretch>
                      <a:fillRect/>
                    </a:stretch>
                  </pic:blipFill>
                  <pic:spPr>
                    <a:xfrm>
                      <a:off x="0" y="0"/>
                      <a:ext cx="5303520" cy="487830"/>
                    </a:xfrm>
                    <a:prstGeom prst="rect"/>
                  </pic:spPr>
                </pic:pic>
              </a:graphicData>
            </a:graphic>
          </wp:inline>
        </w:drawing>
      </w:r>
    </w:p>
    <w:p>
      <w:pPr>
        <w:spacing w:after="120" w:line="259" w:lineRule="auto"/>
      </w:pPr>
      <w:r>
        <w:rPr>
          <w:sz w:val="21"/>
        </w:rPr>
        <w:t>Until such a bridge is derived, ASHA should be stated as a finite law-space and coefficient-lane framework with explicit cosmology firewalls. This is the same epistemological posture used in the flavor section: the theory distinguishes structural capacity from prediction.</w:t>
      </w:r>
    </w:p>
    <w:p>
      <w:pPr>
        <w:spacing w:before="200" w:after="80"/>
      </w:pPr>
      <w:r>
        <w:rPr>
          <w:b/>
          <w:i w:val="0"/>
          <w:sz w:val="27"/>
        </w:rPr>
        <w:t>Section summary</w:t>
      </w:r>
    </w:p>
    <w:p>
      <w:pPr>
        <w:spacing w:after="120" w:line="259" w:lineRule="auto"/>
      </w:pPr>
      <w:r>
        <w:rPr>
          <w:sz w:val="21"/>
        </w:rPr>
        <w:t>The cosmology and dark-sector boundary is therefore not an omitted calculation; it is a theorem-hygiene result. The ASHA tower may constrain the internal law-space in which cosmological histories are written, but it does not currently determine the dark-matter abundance, the cosmological constant, or the age of the universe. These remain environmental coordinates unless a future gate derives a native finite-to-continuum dynamical bridge.</w:t>
      </w:r>
    </w:p>
    <w:p>
      <w:pPr>
        <w:spacing w:after="160" w:line="259" w:lineRule="auto" w:before="360"/>
      </w:pPr>
      <w:r>
        <w:rPr>
          <w:rFonts w:ascii="Times New Roman" w:hAnsi="Times New Roman" w:eastAsia="Times New Roman"/>
          <w:b/>
          <w:i w:val="0"/>
          <w:sz w:val="36"/>
        </w:rPr>
        <w:t>Failed Routes as Theorem Hygiene</w:t>
      </w:r>
    </w:p>
    <w:p>
      <w:pPr>
        <w:spacing w:after="120" w:line="259" w:lineRule="auto"/>
        <w:ind w:firstLine="360"/>
      </w:pPr>
      <w:r>
        <w:rPr>
          <w:rFonts w:ascii="Times New Roman" w:hAnsi="Times New Roman" w:eastAsia="Times New Roman"/>
          <w:b w:val="0"/>
          <w:i w:val="0"/>
          <w:sz w:val="22"/>
        </w:rPr>
        <w:t>The ASHA program is not organized as a sequence of desired conclusions. It is organized as a theorem-gated sieve. A proposed bridge is admitted only if the code constructs the relevant object, verifies the algebraic identities, and preserves the firewalls imposed by earlier gates. A failed route is therefore not a rhetorical failure. It is a mathematical boundary: it states exactly which tempting interpretation is not licensed by the current finite geometry.</w:t>
      </w:r>
    </w:p>
    <w:p>
      <w:pPr>
        <w:spacing w:after="120" w:line="259" w:lineRule="auto"/>
        <w:ind w:firstLine="360"/>
      </w:pPr>
      <w:r>
        <w:rPr>
          <w:rFonts w:ascii="Times New Roman" w:hAnsi="Times New Roman" w:eastAsia="Times New Roman"/>
          <w:b w:val="0"/>
          <w:i w:val="0"/>
          <w:sz w:val="22"/>
        </w:rPr>
        <w:t>This section summarizes the main no-go results that shaped the mature theory. These results are essential because they prevent the framework from collapsing into numerology. They also make the successful claims sharper: the finite geometry can be strong in the law-space while remaining silent about environmental coordinates such as flavor coefficients and cosmological history.</w:t>
      </w:r>
    </w:p>
    <w:p>
      <w:pPr>
        <w:spacing w:after="160" w:before="80"/>
        <w:jc w:val="center"/>
      </w:pPr>
      <w:r>
        <w:drawing>
          <wp:inline xmlns:a="http://schemas.openxmlformats.org/drawingml/2006/main" xmlns:pic="http://schemas.openxmlformats.org/drawingml/2006/picture">
            <wp:extent cx="5394960" cy="600321"/>
            <wp:docPr id="47" name="Picture 47"/>
            <wp:cNvGraphicFramePr>
              <a:graphicFrameLocks noChangeAspect="1"/>
            </wp:cNvGraphicFramePr>
            <a:graphic>
              <a:graphicData uri="http://schemas.openxmlformats.org/drawingml/2006/picture">
                <pic:pic>
                  <pic:nvPicPr>
                    <pic:cNvPr id="0" name="hygiene_sieve.png"/>
                    <pic:cNvPicPr/>
                  </pic:nvPicPr>
                  <pic:blipFill>
                    <a:blip r:embed="rId62"/>
                    <a:stretch>
                      <a:fillRect/>
                    </a:stretch>
                  </pic:blipFill>
                  <pic:spPr>
                    <a:xfrm>
                      <a:off x="0" y="0"/>
                      <a:ext cx="5394960" cy="600321"/>
                    </a:xfrm>
                    <a:prstGeom prst="rect"/>
                  </pic:spPr>
                </pic:pic>
              </a:graphicData>
            </a:graphic>
          </wp:inline>
        </w:drawing>
      </w:r>
    </w:p>
    <w:p>
      <w:pPr>
        <w:spacing w:after="160" w:line="259" w:lineRule="auto" w:before="240"/>
      </w:pPr>
      <w:r>
        <w:rPr>
          <w:rFonts w:ascii="Times New Roman" w:hAnsi="Times New Roman" w:eastAsia="Times New Roman"/>
          <w:b/>
          <w:i w:val="0"/>
          <w:sz w:val="28"/>
        </w:rPr>
        <w:t>Why failed routes matter</w:t>
      </w:r>
    </w:p>
    <w:p>
      <w:pPr>
        <w:spacing w:after="120" w:line="259" w:lineRule="auto"/>
        <w:ind w:firstLine="360"/>
      </w:pPr>
      <w:r>
        <w:rPr>
          <w:rFonts w:ascii="Times New Roman" w:hAnsi="Times New Roman" w:eastAsia="Times New Roman"/>
          <w:b w:val="0"/>
          <w:i w:val="0"/>
          <w:sz w:val="22"/>
        </w:rPr>
        <w:t>In a theoretical framework built from finite algebraic data, overclaiming is easy. One can point to a matching dimension, a suggestive symmetry, or a familiar number and incorrectly identify it with a physical sector. The gate sequence repeatedly blocks this move. A dimension match is not a functor; a symmetry arena is not a representation theorem; a capacity result is not a coefficient selector; and a finite spectral candidate is not a cosmological prediction.</w:t>
      </w:r>
    </w:p>
    <w:p>
      <w:pPr>
        <w:spacing w:after="120" w:line="259" w:lineRule="auto"/>
        <w:ind w:firstLine="360"/>
      </w:pPr>
      <w:r>
        <w:rPr>
          <w:rFonts w:ascii="Times New Roman" w:hAnsi="Times New Roman" w:eastAsia="Times New Roman"/>
          <w:b w:val="0"/>
          <w:i w:val="0"/>
          <w:sz w:val="22"/>
        </w:rPr>
        <w:t>The negative results are therefore part of the proof architecture. They define the difference between what ASHA natively derives, what it conditionally supports under quarantined axioms, and what remains external boundary data.</w:t>
      </w:r>
    </w:p>
    <w:p>
      <w:pPr>
        <w:spacing w:after="160" w:line="259" w:lineRule="auto" w:before="240"/>
      </w:pPr>
      <w:r>
        <w:rPr>
          <w:rFonts w:ascii="Times New Roman" w:hAnsi="Times New Roman" w:eastAsia="Times New Roman"/>
          <w:b/>
          <w:i w:val="0"/>
          <w:sz w:val="28"/>
        </w:rPr>
        <w:t>Route audit table</w:t>
      </w:r>
    </w:p>
    <w:tbl>
      <w:tblPr>
        <w:tblW w:type="auto" w:w="0"/>
        <w:jc w:val="center"/>
        <w:tblLook w:firstColumn="1" w:firstRow="1" w:lastColumn="0" w:lastRow="0" w:noHBand="0" w:noVBand="1" w:val="04A0"/>
      </w:tblPr>
      <w:tblGrid>
        <w:gridCol w:w="2076"/>
        <w:gridCol w:w="2076"/>
        <w:gridCol w:w="2076"/>
        <w:gridCol w:w="2076"/>
      </w:tblGrid>
      <w:tr>
        <w:tc>
          <w:tcPr>
            <w:tcW w:type="dxa" w:w="1800"/>
            <w:vAlign w:val="top"/>
            <w:shd w:fill="D9EAF7"/>
          </w:tcPr>
          <w:p>
            <w:pPr>
              <w:spacing w:after="0"/>
            </w:pPr>
            <w:r/>
            <w:r>
              <w:rPr>
                <w:rFonts w:ascii="Times New Roman" w:hAnsi="Times New Roman" w:eastAsia="Times New Roman"/>
                <w:b/>
                <w:i w:val="0"/>
                <w:sz w:val="17"/>
              </w:rPr>
              <w:t>Route audited</w:t>
            </w:r>
          </w:p>
        </w:tc>
        <w:tc>
          <w:tcPr>
            <w:tcW w:type="dxa" w:w="1440"/>
            <w:vAlign w:val="top"/>
            <w:shd w:fill="D9EAF7"/>
          </w:tcPr>
          <w:p>
            <w:pPr>
              <w:spacing w:after="0"/>
            </w:pPr>
            <w:r/>
            <w:r>
              <w:rPr>
                <w:rFonts w:ascii="Times New Roman" w:hAnsi="Times New Roman" w:eastAsia="Times New Roman"/>
                <w:b/>
                <w:i w:val="0"/>
                <w:sz w:val="17"/>
              </w:rPr>
              <w:t>Representative gates</w:t>
            </w:r>
          </w:p>
        </w:tc>
        <w:tc>
          <w:tcPr>
            <w:tcW w:type="dxa" w:w="3600"/>
            <w:vAlign w:val="top"/>
            <w:shd w:fill="D9EAF7"/>
          </w:tcPr>
          <w:p>
            <w:pPr>
              <w:spacing w:after="0"/>
            </w:pPr>
            <w:r/>
            <w:r>
              <w:rPr>
                <w:rFonts w:ascii="Times New Roman" w:hAnsi="Times New Roman" w:eastAsia="Times New Roman"/>
                <w:b/>
                <w:i w:val="0"/>
                <w:sz w:val="17"/>
              </w:rPr>
              <w:t>Result</w:t>
            </w:r>
          </w:p>
        </w:tc>
        <w:tc>
          <w:tcPr>
            <w:tcW w:type="dxa" w:w="3312"/>
            <w:vAlign w:val="top"/>
            <w:shd w:fill="D9EAF7"/>
          </w:tcPr>
          <w:p>
            <w:pPr>
              <w:spacing w:after="0"/>
            </w:pPr>
            <w:r/>
            <w:r>
              <w:rPr>
                <w:rFonts w:ascii="Times New Roman" w:hAnsi="Times New Roman" w:eastAsia="Times New Roman"/>
                <w:b/>
                <w:i w:val="0"/>
                <w:sz w:val="17"/>
              </w:rPr>
              <w:t>Boundary established</w:t>
            </w:r>
          </w:p>
        </w:tc>
      </w:tr>
      <w:tr>
        <w:tc>
          <w:tcPr>
            <w:tcW w:type="dxa" w:w="1800"/>
            <w:vAlign w:val="top"/>
          </w:tcPr>
          <w:p>
            <w:pPr>
              <w:spacing w:after="0"/>
            </w:pPr>
            <w:r/>
            <w:r>
              <w:rPr>
                <w:rFonts w:ascii="Times New Roman" w:hAnsi="Times New Roman" w:eastAsia="Times New Roman"/>
                <w:b w:val="0"/>
                <w:i w:val="0"/>
                <w:sz w:val="16"/>
              </w:rPr>
              <w:t>Triality as flavor solution</w:t>
            </w:r>
          </w:p>
        </w:tc>
        <w:tc>
          <w:tcPr>
            <w:tcW w:type="dxa" w:w="1440"/>
            <w:vAlign w:val="top"/>
          </w:tcPr>
          <w:p>
            <w:pPr>
              <w:spacing w:after="0"/>
            </w:pPr>
            <w:r/>
            <w:r>
              <w:rPr>
                <w:rFonts w:ascii="Times New Roman" w:hAnsi="Times New Roman" w:eastAsia="Times New Roman"/>
                <w:b w:val="0"/>
                <w:i w:val="0"/>
                <w:sz w:val="16"/>
              </w:rPr>
              <w:t>Gates 393–395</w:t>
            </w:r>
          </w:p>
        </w:tc>
        <w:tc>
          <w:tcPr>
            <w:tcW w:type="dxa" w:w="3600"/>
            <w:vAlign w:val="top"/>
          </w:tcPr>
          <w:p>
            <w:pPr>
              <w:spacing w:after="0"/>
            </w:pPr>
            <w:r/>
            <w:r>
              <w:rPr>
                <w:rFonts w:ascii="Times New Roman" w:hAnsi="Times New Roman" w:eastAsia="Times New Roman"/>
                <w:b w:val="0"/>
                <w:i w:val="0"/>
                <w:sz w:val="16"/>
              </w:rPr>
              <w:t>Spin(8) triality supplies a representation-theoretic arena, but no native generation-address functor. Exact triality gives a 1+2 degeneracy.</w:t>
            </w:r>
          </w:p>
        </w:tc>
        <w:tc>
          <w:tcPr>
            <w:tcW w:type="dxa" w:w="3312"/>
            <w:vAlign w:val="top"/>
          </w:tcPr>
          <w:p>
            <w:pPr>
              <w:spacing w:after="0"/>
            </w:pPr>
            <w:r/>
            <w:r>
              <w:rPr>
                <w:rFonts w:ascii="Times New Roman" w:hAnsi="Times New Roman" w:eastAsia="Times New Roman"/>
                <w:b w:val="0"/>
                <w:i w:val="0"/>
                <w:sz w:val="16"/>
              </w:rPr>
              <w:t>Triality is not by itself a derivation of three distinct generations or CKM mixing.</w:t>
            </w:r>
          </w:p>
        </w:tc>
      </w:tr>
      <w:tr>
        <w:tc>
          <w:tcPr>
            <w:tcW w:type="dxa" w:w="1800"/>
            <w:vAlign w:val="top"/>
          </w:tcPr>
          <w:p>
            <w:pPr>
              <w:spacing w:after="0"/>
            </w:pPr>
            <w:r/>
            <w:r>
              <w:rPr>
                <w:rFonts w:ascii="Times New Roman" w:hAnsi="Times New Roman" w:eastAsia="Times New Roman"/>
                <w:b w:val="0"/>
                <w:i w:val="0"/>
                <w:sz w:val="16"/>
              </w:rPr>
              <w:t>Native three-object sources</w:t>
            </w:r>
          </w:p>
        </w:tc>
        <w:tc>
          <w:tcPr>
            <w:tcW w:type="dxa" w:w="1440"/>
            <w:vAlign w:val="top"/>
          </w:tcPr>
          <w:p>
            <w:pPr>
              <w:spacing w:after="0"/>
            </w:pPr>
            <w:r/>
            <w:r>
              <w:rPr>
                <w:rFonts w:ascii="Times New Roman" w:hAnsi="Times New Roman" w:eastAsia="Times New Roman"/>
                <w:b w:val="0"/>
                <w:i w:val="0"/>
                <w:sz w:val="16"/>
              </w:rPr>
              <w:t>Gates 396–397</w:t>
            </w:r>
          </w:p>
        </w:tc>
        <w:tc>
          <w:tcPr>
            <w:tcW w:type="dxa" w:w="3600"/>
            <w:vAlign w:val="top"/>
          </w:tcPr>
          <w:p>
            <w:pPr>
              <w:spacing w:after="0"/>
            </w:pPr>
            <w:r/>
            <w:r>
              <w:rPr>
                <w:rFonts w:ascii="Times New Roman" w:hAnsi="Times New Roman" w:eastAsia="Times New Roman"/>
                <w:b w:val="0"/>
                <w:i w:val="0"/>
                <w:sz w:val="16"/>
              </w:rPr>
              <w:t>Threefold structures exist, including contact singleton blocks and Fock spatial triplets, but they have contact/color semantics rather than generation semantics.</w:t>
            </w:r>
          </w:p>
        </w:tc>
        <w:tc>
          <w:tcPr>
            <w:tcW w:type="dxa" w:w="3312"/>
            <w:vAlign w:val="top"/>
          </w:tcPr>
          <w:p>
            <w:pPr>
              <w:spacing w:after="0"/>
            </w:pPr>
            <w:r/>
            <w:r>
              <w:rPr>
                <w:rFonts w:ascii="Times New Roman" w:hAnsi="Times New Roman" w:eastAsia="Times New Roman"/>
                <w:b w:val="0"/>
                <w:i w:val="0"/>
                <w:sz w:val="16"/>
              </w:rPr>
              <w:t>A threefold object is not automatically a family bundle.</w:t>
            </w:r>
          </w:p>
        </w:tc>
      </w:tr>
      <w:tr>
        <w:tc>
          <w:tcPr>
            <w:tcW w:type="dxa" w:w="1800"/>
            <w:vAlign w:val="top"/>
          </w:tcPr>
          <w:p>
            <w:pPr>
              <w:spacing w:after="0"/>
            </w:pPr>
            <w:r/>
            <w:r>
              <w:rPr>
                <w:rFonts w:ascii="Times New Roman" w:hAnsi="Times New Roman" w:eastAsia="Times New Roman"/>
                <w:b w:val="0"/>
                <w:i w:val="0"/>
                <w:sz w:val="16"/>
              </w:rPr>
              <w:t>Contact q4 as Higgs selector</w:t>
            </w:r>
          </w:p>
        </w:tc>
        <w:tc>
          <w:tcPr>
            <w:tcW w:type="dxa" w:w="1440"/>
            <w:vAlign w:val="top"/>
          </w:tcPr>
          <w:p>
            <w:pPr>
              <w:spacing w:after="0"/>
            </w:pPr>
            <w:r/>
            <w:r>
              <w:rPr>
                <w:rFonts w:ascii="Times New Roman" w:hAnsi="Times New Roman" w:eastAsia="Times New Roman"/>
                <w:b w:val="0"/>
                <w:i w:val="0"/>
                <w:sz w:val="16"/>
              </w:rPr>
              <w:t>Gates 398–406</w:t>
            </w:r>
          </w:p>
        </w:tc>
        <w:tc>
          <w:tcPr>
            <w:tcW w:type="dxa" w:w="3600"/>
            <w:vAlign w:val="top"/>
          </w:tcPr>
          <w:p>
            <w:pPr>
              <w:spacing w:after="0"/>
            </w:pPr>
            <w:r/>
            <w:r>
              <w:rPr>
                <w:rFonts w:ascii="Times New Roman" w:hAnsi="Times New Roman" w:eastAsia="Times New Roman"/>
                <w:b w:val="0"/>
                <w:i w:val="0"/>
                <w:sz w:val="16"/>
              </w:rPr>
              <w:t>The quartic primary is exact and native inside the contact spectral sector, but no canonical functor sends it to H_phi or to the one-form edge module.</w:t>
            </w:r>
          </w:p>
        </w:tc>
        <w:tc>
          <w:tcPr>
            <w:tcW w:type="dxa" w:w="3312"/>
            <w:vAlign w:val="top"/>
          </w:tcPr>
          <w:p>
            <w:pPr>
              <w:spacing w:after="0"/>
            </w:pPr>
            <w:r/>
            <w:r>
              <w:rPr>
                <w:rFonts w:ascii="Times New Roman" w:hAnsi="Times New Roman" w:eastAsia="Times New Roman"/>
                <w:b w:val="0"/>
                <w:i w:val="0"/>
                <w:sz w:val="16"/>
              </w:rPr>
              <w:t>q4 is a contact-sector invariant, not a Higgs-bundle identity selector.</w:t>
            </w:r>
          </w:p>
        </w:tc>
      </w:tr>
      <w:tr>
        <w:tc>
          <w:tcPr>
            <w:tcW w:type="dxa" w:w="1800"/>
            <w:vAlign w:val="top"/>
          </w:tcPr>
          <w:p>
            <w:pPr>
              <w:spacing w:after="0"/>
            </w:pPr>
            <w:r/>
            <w:r>
              <w:rPr>
                <w:rFonts w:ascii="Times New Roman" w:hAnsi="Times New Roman" w:eastAsia="Times New Roman"/>
                <w:b w:val="0"/>
                <w:i w:val="0"/>
                <w:sz w:val="16"/>
              </w:rPr>
              <w:t>H_phi-native scalar selectors</w:t>
            </w:r>
          </w:p>
        </w:tc>
        <w:tc>
          <w:tcPr>
            <w:tcW w:type="dxa" w:w="1440"/>
            <w:vAlign w:val="top"/>
          </w:tcPr>
          <w:p>
            <w:pPr>
              <w:spacing w:after="0"/>
            </w:pPr>
            <w:r/>
            <w:r>
              <w:rPr>
                <w:rFonts w:ascii="Times New Roman" w:hAnsi="Times New Roman" w:eastAsia="Times New Roman"/>
                <w:b w:val="0"/>
                <w:i w:val="0"/>
                <w:sz w:val="16"/>
              </w:rPr>
              <w:t>Gates 407–408</w:t>
            </w:r>
          </w:p>
        </w:tc>
        <w:tc>
          <w:tcPr>
            <w:tcW w:type="dxa" w:w="3600"/>
            <w:vAlign w:val="top"/>
          </w:tcPr>
          <w:p>
            <w:pPr>
              <w:spacing w:after="0"/>
            </w:pPr>
            <w:r/>
            <w:r>
              <w:rPr>
                <w:rFonts w:ascii="Times New Roman" w:hAnsi="Times New Roman" w:eastAsia="Times New Roman"/>
                <w:b w:val="0"/>
                <w:i w:val="0"/>
                <w:sz w:val="16"/>
              </w:rPr>
              <w:t>H_phi has full algebraic capacity, but native scalar functionals select central or pair-degenerate elements.</w:t>
            </w:r>
          </w:p>
        </w:tc>
        <w:tc>
          <w:tcPr>
            <w:tcW w:type="dxa" w:w="3312"/>
            <w:vAlign w:val="top"/>
          </w:tcPr>
          <w:p>
            <w:pPr>
              <w:spacing w:after="0"/>
            </w:pPr>
            <w:r/>
            <w:r>
              <w:rPr>
                <w:rFonts w:ascii="Times New Roman" w:hAnsi="Times New Roman" w:eastAsia="Times New Roman"/>
                <w:b w:val="0"/>
                <w:i w:val="0"/>
                <w:sz w:val="16"/>
              </w:rPr>
              <w:t>The Higgs/scalar sector is flavor-blind under current ASHA functors.</w:t>
            </w:r>
          </w:p>
        </w:tc>
      </w:tr>
      <w:tr>
        <w:tc>
          <w:tcPr>
            <w:tcW w:type="dxa" w:w="1800"/>
            <w:vAlign w:val="top"/>
          </w:tcPr>
          <w:p>
            <w:pPr>
              <w:spacing w:after="0"/>
            </w:pPr>
            <w:r/>
            <w:r>
              <w:rPr>
                <w:rFonts w:ascii="Times New Roman" w:hAnsi="Times New Roman" w:eastAsia="Times New Roman"/>
                <w:b w:val="0"/>
                <w:i w:val="0"/>
                <w:sz w:val="16"/>
              </w:rPr>
              <w:t>Fermionic carrier as native family source</w:t>
            </w:r>
          </w:p>
        </w:tc>
        <w:tc>
          <w:tcPr>
            <w:tcW w:type="dxa" w:w="1440"/>
            <w:vAlign w:val="top"/>
          </w:tcPr>
          <w:p>
            <w:pPr>
              <w:spacing w:after="0"/>
            </w:pPr>
            <w:r/>
            <w:r>
              <w:rPr>
                <w:rFonts w:ascii="Times New Roman" w:hAnsi="Times New Roman" w:eastAsia="Times New Roman"/>
                <w:b w:val="0"/>
                <w:i w:val="0"/>
                <w:sz w:val="16"/>
              </w:rPr>
              <w:t>Gates 409–410</w:t>
            </w:r>
          </w:p>
        </w:tc>
        <w:tc>
          <w:tcPr>
            <w:tcW w:type="dxa" w:w="3600"/>
            <w:vAlign w:val="top"/>
          </w:tcPr>
          <w:p>
            <w:pPr>
              <w:spacing w:after="0"/>
            </w:pPr>
            <w:r/>
            <w:r>
              <w:rPr>
                <w:rFonts w:ascii="Times New Roman" w:hAnsi="Times New Roman" w:eastAsia="Times New Roman"/>
                <w:b w:val="0"/>
                <w:i w:val="0"/>
                <w:sz w:val="16"/>
              </w:rPr>
              <w:t>The audited fermionic carrier contains species, chirality, color, and charge structure, but generation remains a trivial U(3) multiplicity.</w:t>
            </w:r>
          </w:p>
        </w:tc>
        <w:tc>
          <w:tcPr>
            <w:tcW w:type="dxa" w:w="3312"/>
            <w:vAlign w:val="top"/>
          </w:tcPr>
          <w:p>
            <w:pPr>
              <w:spacing w:after="0"/>
            </w:pPr>
            <w:r/>
            <w:r>
              <w:rPr>
                <w:rFonts w:ascii="Times New Roman" w:hAnsi="Times New Roman" w:eastAsia="Times New Roman"/>
                <w:b w:val="0"/>
                <w:i w:val="0"/>
                <w:sz w:val="16"/>
              </w:rPr>
              <w:t>No native nontrivial family bundle is derived from the current carrier.</w:t>
            </w:r>
          </w:p>
        </w:tc>
      </w:tr>
      <w:tr>
        <w:tc>
          <w:tcPr>
            <w:tcW w:type="dxa" w:w="1800"/>
            <w:vAlign w:val="top"/>
          </w:tcPr>
          <w:p>
            <w:pPr>
              <w:spacing w:after="0"/>
            </w:pPr>
            <w:r/>
            <w:r>
              <w:rPr>
                <w:rFonts w:ascii="Times New Roman" w:hAnsi="Times New Roman" w:eastAsia="Times New Roman"/>
                <w:b w:val="0"/>
                <w:i w:val="0"/>
                <w:sz w:val="16"/>
              </w:rPr>
              <w:t>K/X/Y family axiom chain</w:t>
            </w:r>
          </w:p>
        </w:tc>
        <w:tc>
          <w:tcPr>
            <w:tcW w:type="dxa" w:w="1440"/>
            <w:vAlign w:val="top"/>
          </w:tcPr>
          <w:p>
            <w:pPr>
              <w:spacing w:after="0"/>
            </w:pPr>
            <w:r/>
            <w:r>
              <w:rPr>
                <w:rFonts w:ascii="Times New Roman" w:hAnsi="Times New Roman" w:eastAsia="Times New Roman"/>
                <w:b w:val="0"/>
                <w:i w:val="0"/>
                <w:sz w:val="16"/>
              </w:rPr>
              <w:t>Gates 411–418</w:t>
            </w:r>
          </w:p>
        </w:tc>
        <w:tc>
          <w:tcPr>
            <w:tcW w:type="dxa" w:w="3600"/>
            <w:vAlign w:val="top"/>
          </w:tcPr>
          <w:p>
            <w:pPr>
              <w:spacing w:after="0"/>
            </w:pPr>
            <w:r/>
            <w:r>
              <w:rPr>
                <w:rFonts w:ascii="Times New Roman" w:hAnsi="Times New Roman" w:eastAsia="Times New Roman"/>
                <w:b w:val="0"/>
                <w:i w:val="0"/>
                <w:sz w:val="16"/>
              </w:rPr>
              <w:t>Hierarchy, mixing, and CP capacity can be obtained by quarantined family axioms, but coefficient values remain free.</w:t>
            </w:r>
          </w:p>
        </w:tc>
        <w:tc>
          <w:tcPr>
            <w:tcW w:type="dxa" w:w="3312"/>
            <w:vAlign w:val="top"/>
          </w:tcPr>
          <w:p>
            <w:pPr>
              <w:spacing w:after="0"/>
            </w:pPr>
            <w:r/>
            <w:r>
              <w:rPr>
                <w:rFonts w:ascii="Times New Roman" w:hAnsi="Times New Roman" w:eastAsia="Times New Roman"/>
                <w:b w:val="0"/>
                <w:i w:val="0"/>
                <w:sz w:val="16"/>
              </w:rPr>
              <w:t>Flavor capacity can be formalized; flavor coefficients remain environmental.</w:t>
            </w:r>
          </w:p>
        </w:tc>
      </w:tr>
      <w:tr>
        <w:tc>
          <w:tcPr>
            <w:tcW w:type="dxa" w:w="1800"/>
            <w:vAlign w:val="top"/>
          </w:tcPr>
          <w:p>
            <w:pPr>
              <w:spacing w:after="0"/>
            </w:pPr>
            <w:r/>
            <w:r>
              <w:rPr>
                <w:rFonts w:ascii="Times New Roman" w:hAnsi="Times New Roman" w:eastAsia="Times New Roman"/>
                <w:b w:val="0"/>
                <w:i w:val="0"/>
                <w:sz w:val="16"/>
              </w:rPr>
              <w:t>Cosmology and dark sector</w:t>
            </w:r>
          </w:p>
        </w:tc>
        <w:tc>
          <w:tcPr>
            <w:tcW w:type="dxa" w:w="1440"/>
            <w:vAlign w:val="top"/>
          </w:tcPr>
          <w:p>
            <w:pPr>
              <w:spacing w:after="0"/>
            </w:pPr>
            <w:r/>
            <w:r>
              <w:rPr>
                <w:rFonts w:ascii="Times New Roman" w:hAnsi="Times New Roman" w:eastAsia="Times New Roman"/>
                <w:b w:val="0"/>
                <w:i w:val="0"/>
                <w:sz w:val="16"/>
              </w:rPr>
              <w:t>Gates 344, 375, 386, 387</w:t>
            </w:r>
          </w:p>
        </w:tc>
        <w:tc>
          <w:tcPr>
            <w:tcW w:type="dxa" w:w="3600"/>
            <w:vAlign w:val="top"/>
          </w:tcPr>
          <w:p>
            <w:pPr>
              <w:spacing w:after="0"/>
            </w:pPr>
            <w:r/>
            <w:r>
              <w:rPr>
                <w:rFonts w:ascii="Times New Roman" w:hAnsi="Times New Roman" w:eastAsia="Times New Roman"/>
                <w:b w:val="0"/>
                <w:i w:val="0"/>
                <w:sz w:val="16"/>
              </w:rPr>
              <w:t>Finite spectral structures and protected sectors do not by themselves provide relic abundance, vacuum energy, or cosmological history.</w:t>
            </w:r>
          </w:p>
        </w:tc>
        <w:tc>
          <w:tcPr>
            <w:tcW w:type="dxa" w:w="3312"/>
            <w:vAlign w:val="top"/>
          </w:tcPr>
          <w:p>
            <w:pPr>
              <w:spacing w:after="0"/>
            </w:pPr>
            <w:r/>
            <w:r>
              <w:rPr>
                <w:rFonts w:ascii="Times New Roman" w:hAnsi="Times New Roman" w:eastAsia="Times New Roman"/>
                <w:b w:val="0"/>
                <w:i w:val="0"/>
                <w:sz w:val="16"/>
              </w:rPr>
              <w:t>Cosmology requires a state/history bridge beyond current law-space.</w:t>
            </w:r>
          </w:p>
        </w:tc>
      </w:tr>
    </w:tbl>
    <w:p>
      <w:pPr>
        <w:spacing w:after="80" w:line="259" w:lineRule="auto"/>
      </w:pPr>
      <w:r>
        <w:rPr>
          <w:rFonts w:ascii="Times New Roman" w:hAnsi="Times New Roman" w:eastAsia="Times New Roman"/>
          <w:b w:val="0"/>
          <w:i w:val="0"/>
          <w:sz w:val="22"/>
        </w:rPr>
      </w:r>
    </w:p>
    <w:p>
      <w:pPr>
        <w:spacing w:after="160" w:line="259" w:lineRule="auto" w:before="240"/>
      </w:pPr>
      <w:r>
        <w:rPr>
          <w:rFonts w:ascii="Times New Roman" w:hAnsi="Times New Roman" w:eastAsia="Times New Roman"/>
          <w:b/>
          <w:i w:val="0"/>
          <w:sz w:val="28"/>
        </w:rPr>
        <w:t>The triality boundary</w:t>
      </w:r>
    </w:p>
    <w:p>
      <w:pPr>
        <w:spacing w:after="120" w:line="259" w:lineRule="auto"/>
        <w:ind w:firstLine="360"/>
      </w:pPr>
      <w:r>
        <w:rPr>
          <w:rFonts w:ascii="Times New Roman" w:hAnsi="Times New Roman" w:eastAsia="Times New Roman"/>
          <w:b w:val="0"/>
          <w:i w:val="0"/>
          <w:sz w:val="22"/>
        </w:rPr>
        <w:t>Triality is one of the deepest structural clues in the framework, but the gates distinguish three different statements that are often conflated. First, Spin(8) triality exists as a representation-theoretic automorphism relating vector and half-spinor representations. Second, the finite theory must still construct a typed map from the physical fermion carrier to the triality branches. Third, even if an exact triality action is imposed, its invariant textures generically produce a 1+2 eigenvalue pattern rather than three independent families.</w:t>
      </w:r>
    </w:p>
    <w:p>
      <w:pPr>
        <w:spacing w:after="160" w:before="80"/>
        <w:jc w:val="center"/>
      </w:pPr>
      <w:r>
        <w:drawing>
          <wp:inline xmlns:a="http://schemas.openxmlformats.org/drawingml/2006/main" xmlns:pic="http://schemas.openxmlformats.org/drawingml/2006/picture">
            <wp:extent cx="5394960" cy="600321"/>
            <wp:docPr id="48" name="Picture 48"/>
            <wp:cNvGraphicFramePr>
              <a:graphicFrameLocks noChangeAspect="1"/>
            </wp:cNvGraphicFramePr>
            <a:graphic>
              <a:graphicData uri="http://schemas.openxmlformats.org/drawingml/2006/picture">
                <pic:pic>
                  <pic:nvPicPr>
                    <pic:cNvPr id="0" name="triality_boundary.png"/>
                    <pic:cNvPicPr/>
                  </pic:nvPicPr>
                  <pic:blipFill>
                    <a:blip r:embed="rId63"/>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The result is not that triality is irrelevant. The result is that triality is an arena, not yet a family theorem. A future extension may still use it, but only after supplying a lawful functor and a breaking datum.</w:t>
      </w:r>
    </w:p>
    <w:p>
      <w:pPr>
        <w:spacing w:after="160" w:line="259" w:lineRule="auto" w:before="240"/>
      </w:pPr>
      <w:r>
        <w:rPr>
          <w:rFonts w:ascii="Times New Roman" w:hAnsi="Times New Roman" w:eastAsia="Times New Roman"/>
          <w:b/>
          <w:i w:val="0"/>
          <w:sz w:val="28"/>
        </w:rPr>
        <w:t>The contact q4 boundary</w:t>
      </w:r>
    </w:p>
    <w:p>
      <w:pPr>
        <w:spacing w:after="120" w:line="259" w:lineRule="auto"/>
        <w:ind w:firstLine="360"/>
      </w:pPr>
      <w:r>
        <w:rPr>
          <w:rFonts w:ascii="Times New Roman" w:hAnsi="Times New Roman" w:eastAsia="Times New Roman"/>
          <w:b w:val="0"/>
          <w:i w:val="0"/>
          <w:sz w:val="22"/>
        </w:rPr>
        <w:t>The contact quartic was one of the most tempting candidates for scalar-sector identification because both the contact primary block and the scalar carrier are four-dimensional. The gate sequence rejected this on categorical grounds. The contact primary is reconstructed exactly as an internal contact spectral module, but the scalar bundle, the one-form edge ledger, and the edge graph do not inherit this polynomial through any native map currently present in ASHA.</w:t>
      </w:r>
    </w:p>
    <w:p>
      <w:pPr>
        <w:spacing w:after="160" w:before="80"/>
        <w:jc w:val="center"/>
      </w:pPr>
      <w:r>
        <w:drawing>
          <wp:inline xmlns:a="http://schemas.openxmlformats.org/drawingml/2006/main" xmlns:pic="http://schemas.openxmlformats.org/drawingml/2006/picture">
            <wp:extent cx="5394960" cy="600321"/>
            <wp:docPr id="49" name="Picture 49"/>
            <wp:cNvGraphicFramePr>
              <a:graphicFrameLocks noChangeAspect="1"/>
            </wp:cNvGraphicFramePr>
            <a:graphic>
              <a:graphicData uri="http://schemas.openxmlformats.org/drawingml/2006/picture">
                <pic:pic>
                  <pic:nvPicPr>
                    <pic:cNvPr id="0" name="q4_boundary.png"/>
                    <pic:cNvPicPr/>
                  </pic:nvPicPr>
                  <pic:blipFill>
                    <a:blip r:embed="rId64"/>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This is a useful separation. It protects the scalar/Higgs analysis from being polluted by a correct invariant that lives in the wrong jurisdiction. The contact vacuum and the physical scalar one-form carrier remain connected at the level of the broader finite tower, but not through a direct q4 identity selector.</w:t>
      </w:r>
    </w:p>
    <w:p>
      <w:pPr>
        <w:spacing w:after="160" w:line="259" w:lineRule="auto" w:before="240"/>
      </w:pPr>
      <w:r>
        <w:rPr>
          <w:rFonts w:ascii="Times New Roman" w:hAnsi="Times New Roman" w:eastAsia="Times New Roman"/>
          <w:b/>
          <w:i w:val="0"/>
          <w:sz w:val="28"/>
        </w:rPr>
        <w:t>The scalar flavor-blindness result</w:t>
      </w:r>
    </w:p>
    <w:p>
      <w:pPr>
        <w:spacing w:after="120" w:line="259" w:lineRule="auto"/>
        <w:ind w:firstLine="360"/>
      </w:pPr>
      <w:r>
        <w:rPr>
          <w:rFonts w:ascii="Times New Roman" w:hAnsi="Times New Roman" w:eastAsia="Times New Roman"/>
          <w:b w:val="0"/>
          <w:i w:val="0"/>
          <w:sz w:val="22"/>
        </w:rPr>
        <w:t>The scalar sector was then interrogated on its own terms. The weak quaternionic action, pair-degenerate scalar response, one-form edge quotient, and native scalar variational functionals were all audited. The conclusion is precise: the full real endomorphism algebra of H_phi has enough mathematical capacity to break degeneracy, but no native functional selects a unique nondegenerate element.</w:t>
      </w:r>
    </w:p>
    <w:p>
      <w:pPr>
        <w:spacing w:after="160" w:before="80"/>
        <w:jc w:val="center"/>
      </w:pPr>
      <w:r>
        <w:drawing>
          <wp:inline xmlns:a="http://schemas.openxmlformats.org/drawingml/2006/main" xmlns:pic="http://schemas.openxmlformats.org/drawingml/2006/picture">
            <wp:extent cx="5394960" cy="600321"/>
            <wp:docPr id="50" name="Picture 50"/>
            <wp:cNvGraphicFramePr>
              <a:graphicFrameLocks noChangeAspect="1"/>
            </wp:cNvGraphicFramePr>
            <a:graphic>
              <a:graphicData uri="http://schemas.openxmlformats.org/drawingml/2006/picture">
                <pic:pic>
                  <pic:nvPicPr>
                    <pic:cNvPr id="0" name="hphi_capacity.png"/>
                    <pic:cNvPicPr/>
                  </pic:nvPicPr>
                  <pic:blipFill>
                    <a:blip r:embed="rId65"/>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The selected observables remain central or pair-degenerate. This is exactly what one should expect physically: the Standard Model contains one Higgs doublet, not a separate Higgs field for each generation. The scalar sector can mediate Yukawa interactions, but it does not contain the generation-address data needed to determine flavor.</w:t>
      </w:r>
    </w:p>
    <w:p>
      <w:pPr>
        <w:spacing w:after="160" w:line="259" w:lineRule="auto" w:before="240"/>
      </w:pPr>
      <w:r>
        <w:rPr>
          <w:rFonts w:ascii="Times New Roman" w:hAnsi="Times New Roman" w:eastAsia="Times New Roman"/>
          <w:b/>
          <w:i w:val="0"/>
          <w:sz w:val="28"/>
        </w:rPr>
        <w:t>The fermionic generation boundary</w:t>
      </w:r>
    </w:p>
    <w:p>
      <w:pPr>
        <w:spacing w:after="120" w:line="259" w:lineRule="auto"/>
        <w:ind w:firstLine="360"/>
      </w:pPr>
      <w:r>
        <w:rPr>
          <w:rFonts w:ascii="Times New Roman" w:hAnsi="Times New Roman" w:eastAsia="Times New Roman"/>
          <w:b w:val="0"/>
          <w:i w:val="0"/>
          <w:sz w:val="22"/>
        </w:rPr>
        <w:t>After scalar flavor-blindness was established, the audit returned to the fermionic carrier. The Fock basis, parity, B-L sectors, hypercharge, SU(2)L doublets, J-real conjugates, Morita blocks, and Yukawa bilinears were all examined. Each native decomposition had a physical meaning, but none was generation: the twofold structures were chirality or parity, the threefold structures were color or contact-domain data, and the fermionic commutant retained the familiar trivial family freedom.</w:t>
      </w:r>
    </w:p>
    <w:p>
      <w:pPr>
        <w:spacing w:after="160" w:before="80"/>
        <w:jc w:val="center"/>
      </w:pPr>
      <w:r>
        <w:drawing>
          <wp:inline xmlns:a="http://schemas.openxmlformats.org/drawingml/2006/main" xmlns:pic="http://schemas.openxmlformats.org/drawingml/2006/picture">
            <wp:extent cx="5394960" cy="600321"/>
            <wp:docPr id="51" name="Picture 51"/>
            <wp:cNvGraphicFramePr>
              <a:graphicFrameLocks noChangeAspect="1"/>
            </wp:cNvGraphicFramePr>
            <a:graphic>
              <a:graphicData uri="http://schemas.openxmlformats.org/drawingml/2006/picture">
                <pic:pic>
                  <pic:nvPicPr>
                    <pic:cNvPr id="0" name="fermion_commutant.png"/>
                    <pic:cNvPicPr/>
                  </pic:nvPicPr>
                  <pic:blipFill>
                    <a:blip r:embed="rId66"/>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This is the mature reason the charged flavor moduli remain sealed. The existing ASHA carrier can recover the allowed one-generation channels and the gauge-compatible architecture of the Standard Model, but it does not natively turn three identical copies into an asymmetric family bundle.</w:t>
      </w:r>
    </w:p>
    <w:p>
      <w:pPr>
        <w:spacing w:after="160" w:line="259" w:lineRule="auto" w:before="240"/>
      </w:pPr>
      <w:r>
        <w:rPr>
          <w:rFonts w:ascii="Times New Roman" w:hAnsi="Times New Roman" w:eastAsia="Times New Roman"/>
          <w:b/>
          <w:i w:val="0"/>
          <w:sz w:val="28"/>
        </w:rPr>
        <w:t>The quarantined family-axiom chain</w:t>
      </w:r>
    </w:p>
    <w:p>
      <w:pPr>
        <w:spacing w:after="120" w:line="259" w:lineRule="auto"/>
        <w:ind w:firstLine="360"/>
      </w:pPr>
      <w:r>
        <w:rPr>
          <w:rFonts w:ascii="Times New Roman" w:hAnsi="Times New Roman" w:eastAsia="Times New Roman"/>
          <w:b w:val="0"/>
          <w:i w:val="0"/>
          <w:sz w:val="22"/>
        </w:rPr>
        <w:t>Once the native routes were exhausted, the later gates tested the least-cost extensions explicitly as axioms. This is important: the axioms are not smuggled into the native theory. They are quarantined, compatibility-tested, and parameter-counted.</w:t>
      </w:r>
    </w:p>
    <w:p>
      <w:pPr>
        <w:spacing w:after="160" w:before="80"/>
        <w:jc w:val="center"/>
      </w:pPr>
      <w:r>
        <w:drawing>
          <wp:inline xmlns:a="http://schemas.openxmlformats.org/drawingml/2006/main" xmlns:pic="http://schemas.openxmlformats.org/drawingml/2006/picture">
            <wp:extent cx="5394960" cy="600321"/>
            <wp:docPr id="52" name="Picture 52"/>
            <wp:cNvGraphicFramePr>
              <a:graphicFrameLocks noChangeAspect="1"/>
            </wp:cNvGraphicFramePr>
            <a:graphic>
              <a:graphicData uri="http://schemas.openxmlformats.org/drawingml/2006/picture">
                <pic:pic>
                  <pic:nvPicPr>
                    <pic:cNvPr id="0" name="family_axiom_chain.png"/>
                    <pic:cNvPicPr/>
                  </pic:nvPicPr>
                  <pic:blipFill>
                    <a:blip r:embed="rId67"/>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The diagonal family Hamiltonian K_gen supplies hierarchy capacity. A cyclic shift or real quadrature supplies noncommuting mixing capacity. The complex quadrature supplies CP-capable texture capacity. Together they compress the charged flavor description to nine symbolic source coefficients, but the values of those coefficients are not predicted by the current theory.</w:t>
      </w:r>
    </w:p>
    <w:p>
      <w:pPr>
        <w:spacing w:after="60"/>
        <w:ind w:left="360" w:hanging="259"/>
      </w:pPr>
      <w:r>
        <w:rPr>
          <w:rFonts w:ascii="Times New Roman" w:hAnsi="Times New Roman" w:eastAsia="Times New Roman"/>
          <w:b w:val="0"/>
          <w:i w:val="0"/>
          <w:sz w:val="22"/>
        </w:rPr>
        <w:t>• Hierarchy capacity is conditional on the K_gen axiom.</w:t>
      </w:r>
    </w:p>
    <w:p>
      <w:pPr>
        <w:spacing w:after="60"/>
        <w:ind w:left="360" w:hanging="259"/>
      </w:pPr>
      <w:r>
        <w:rPr>
          <w:rFonts w:ascii="Times New Roman" w:hAnsi="Times New Roman" w:eastAsia="Times New Roman"/>
          <w:b w:val="0"/>
          <w:i w:val="0"/>
          <w:sz w:val="22"/>
        </w:rPr>
        <w:t>• Mixing capacity is conditional on a second noncommuting family operator.</w:t>
      </w:r>
    </w:p>
    <w:p>
      <w:pPr>
        <w:spacing w:after="60"/>
        <w:ind w:left="360" w:hanging="259"/>
      </w:pPr>
      <w:r>
        <w:rPr>
          <w:rFonts w:ascii="Times New Roman" w:hAnsi="Times New Roman" w:eastAsia="Times New Roman"/>
          <w:b w:val="0"/>
          <w:i w:val="0"/>
          <w:sz w:val="22"/>
        </w:rPr>
        <w:t>• CP capacity is conditional on the complex quadrature Y_gen.</w:t>
      </w:r>
    </w:p>
    <w:p>
      <w:pPr>
        <w:spacing w:after="60"/>
        <w:ind w:left="360" w:hanging="259"/>
      </w:pPr>
      <w:r>
        <w:rPr>
          <w:rFonts w:ascii="Times New Roman" w:hAnsi="Times New Roman" w:eastAsia="Times New Roman"/>
          <w:b w:val="0"/>
          <w:i w:val="0"/>
          <w:sz w:val="22"/>
        </w:rPr>
        <w:t>• The coefficients remain boundary data rather than native ASHA derivations.</w:t>
      </w:r>
    </w:p>
    <w:p>
      <w:pPr>
        <w:spacing w:after="160" w:before="80"/>
        <w:jc w:val="center"/>
      </w:pPr>
      <w:r>
        <w:drawing>
          <wp:inline xmlns:a="http://schemas.openxmlformats.org/drawingml/2006/main" xmlns:pic="http://schemas.openxmlformats.org/drawingml/2006/picture">
            <wp:extent cx="5394960" cy="562026"/>
            <wp:docPr id="53" name="Picture 53"/>
            <wp:cNvGraphicFramePr>
              <a:graphicFrameLocks noChangeAspect="1"/>
            </wp:cNvGraphicFramePr>
            <a:graphic>
              <a:graphicData uri="http://schemas.openxmlformats.org/drawingml/2006/picture">
                <pic:pic>
                  <pic:nvPicPr>
                    <pic:cNvPr id="0" name="flavor_firewall_step8.png"/>
                    <pic:cNvPicPr/>
                  </pic:nvPicPr>
                  <pic:blipFill>
                    <a:blip r:embed="rId68"/>
                    <a:stretch>
                      <a:fillRect/>
                    </a:stretch>
                  </pic:blipFill>
                  <pic:spPr>
                    <a:xfrm>
                      <a:off x="0" y="0"/>
                      <a:ext cx="5394960" cy="562026"/>
                    </a:xfrm>
                    <a:prstGeom prst="rect"/>
                  </pic:spPr>
                </pic:pic>
              </a:graphicData>
            </a:graphic>
          </wp:inline>
        </w:drawing>
      </w:r>
    </w:p>
    <w:p>
      <w:pPr>
        <w:spacing w:after="160" w:line="259" w:lineRule="auto" w:before="240"/>
      </w:pPr>
      <w:r>
        <w:rPr>
          <w:rFonts w:ascii="Times New Roman" w:hAnsi="Times New Roman" w:eastAsia="Times New Roman"/>
          <w:b/>
          <w:i w:val="0"/>
          <w:sz w:val="28"/>
        </w:rPr>
        <w:t>Scientific meaning</w:t>
      </w:r>
    </w:p>
    <w:p>
      <w:pPr>
        <w:spacing w:after="120" w:line="259" w:lineRule="auto"/>
        <w:ind w:firstLine="360"/>
      </w:pPr>
      <w:r>
        <w:rPr>
          <w:rFonts w:ascii="Times New Roman" w:hAnsi="Times New Roman" w:eastAsia="Times New Roman"/>
          <w:b w:val="0"/>
          <w:i w:val="0"/>
          <w:sz w:val="22"/>
        </w:rPr>
        <w:t>The failed-route ledger is therefore not an appendix of mistakes. It is an epistemological asset. It says exactly how far the finite geometry goes, exactly where conditional extensions begin, and exactly which empirical coordinates remain outside the present derivation. This makes the paper more falsifiable, not less: every claimed theorem is accompanied by an explicit list of nearby claims that were tested and rejected.</w:t>
      </w:r>
    </w:p>
    <w:p>
      <w:pPr>
        <w:spacing w:after="120" w:line="259" w:lineRule="auto"/>
        <w:ind w:firstLine="360"/>
      </w:pPr>
      <w:r>
        <w:rPr>
          <w:rFonts w:ascii="Times New Roman" w:hAnsi="Times New Roman" w:eastAsia="Times New Roman"/>
          <w:b w:val="0"/>
          <w:i w:val="0"/>
          <w:sz w:val="22"/>
        </w:rPr>
        <w:t>The mature ASHA claim is consequently narrower and stronger than the template language of a universal explanation. The framework builds a finite geometric law-space and several bridge lanes toward physical normalization. It does not currently derive the full flavor sector or cosmological history. Those boundaries are not weaknesses hidden from the reader; they are part of the theorem board itself.</w:t>
      </w:r>
    </w:p>
    <w:p>
      <w:pPr>
        <w:spacing w:after="160" w:line="259" w:lineRule="auto"/>
      </w:pPr>
      <w:r>
        <w:rPr>
          <w:rFonts w:ascii="Times New Roman" w:hAnsi="Times New Roman" w:eastAsia="Times New Roman"/>
          <w:b w:val="0"/>
          <w:i w:val="0"/>
          <w:sz w:val="22"/>
        </w:rPr>
      </w:r>
    </w:p>
    <w:p>
      <w:r>
        <w:br w:type="page"/>
      </w:r>
    </w:p>
    <w:p>
      <w:pPr>
        <w:spacing w:before="240" w:after="120" w:line="252" w:lineRule="auto"/>
      </w:pPr>
      <w:r>
        <w:rPr>
          <w:rFonts w:ascii="Times New Roman" w:hAnsi="Times New Roman" w:eastAsia="Times New Roman"/>
          <w:b/>
          <w:i w:val="0"/>
          <w:sz w:val="34"/>
        </w:rPr>
        <w:t>Claim Audit and Epistemological Boundary</w:t>
      </w:r>
    </w:p>
    <w:p>
      <w:pPr>
        <w:spacing w:before="0" w:after="120" w:line="252" w:lineRule="auto"/>
      </w:pPr>
      <w:r>
        <w:rPr>
          <w:rFonts w:ascii="Times New Roman" w:hAnsi="Times New Roman" w:eastAsia="Times New Roman"/>
          <w:b w:val="0"/>
          <w:i w:val="0"/>
          <w:sz w:val="21"/>
        </w:rPr>
        <w:t>The preceding sections describe a theory-building process that is deliberately narrower than the phrase “theory of everything” usually suggests. The paper does not claim that every numerical coordinate of the observed universe is derived from pure algebra. Its claim is structural: a finite geometric law-space is constructed, several coefficient lanes are audited, and the remaining environmental coordinates are named without being disguised as derivations.</w:t>
      </w:r>
    </w:p>
    <w:p>
      <w:pPr>
        <w:spacing w:before="0" w:after="120" w:line="252" w:lineRule="auto"/>
      </w:pPr>
      <w:r>
        <w:rPr>
          <w:rFonts w:ascii="Times New Roman" w:hAnsi="Times New Roman" w:eastAsia="Times New Roman"/>
          <w:b w:val="0"/>
          <w:i w:val="0"/>
          <w:sz w:val="21"/>
        </w:rPr>
        <w:t>For that reason, the final scientific object is not a list of spectacular predictions. It is a claim lattice: native theorems, bridge-level coefficient statements, quarantined axioms, and explicit firewalls. The separation is essential to the trustworthiness of the framework.</w:t>
      </w:r>
    </w:p>
    <w:p>
      <w:pPr>
        <w:spacing w:after="160"/>
        <w:jc w:val="center"/>
      </w:pPr>
      <w:r>
        <w:drawing>
          <wp:inline xmlns:a="http://schemas.openxmlformats.org/drawingml/2006/main" xmlns:pic="http://schemas.openxmlformats.org/drawingml/2006/picture">
            <wp:extent cx="5852160" cy="431211"/>
            <wp:docPr id="54" name="Picture 54"/>
            <wp:cNvGraphicFramePr>
              <a:graphicFrameLocks noChangeAspect="1"/>
            </wp:cNvGraphicFramePr>
            <a:graphic>
              <a:graphicData uri="http://schemas.openxmlformats.org/drawingml/2006/picture">
                <pic:pic>
                  <pic:nvPicPr>
                    <pic:cNvPr id="0" name="claim_lattice.png"/>
                    <pic:cNvPicPr/>
                  </pic:nvPicPr>
                  <pic:blipFill>
                    <a:blip r:embed="rId69"/>
                    <a:stretch>
                      <a:fillRect/>
                    </a:stretch>
                  </pic:blipFill>
                  <pic:spPr>
                    <a:xfrm>
                      <a:off x="0" y="0"/>
                      <a:ext cx="5852160" cy="431211"/>
                    </a:xfrm>
                    <a:prstGeom prst="rect"/>
                  </pic:spPr>
                </pic:pic>
              </a:graphicData>
            </a:graphic>
          </wp:inline>
        </w:drawing>
      </w:r>
    </w:p>
    <w:p>
      <w:pPr>
        <w:spacing w:before="160" w:after="120" w:line="252" w:lineRule="auto"/>
      </w:pPr>
      <w:r>
        <w:rPr>
          <w:rFonts w:ascii="Times New Roman" w:hAnsi="Times New Roman" w:eastAsia="Times New Roman"/>
          <w:b/>
          <w:i w:val="0"/>
          <w:sz w:val="25"/>
        </w:rPr>
        <w:t>Native theorem claims</w:t>
      </w:r>
    </w:p>
    <w:p>
      <w:pPr>
        <w:spacing w:before="0" w:after="120" w:line="252" w:lineRule="auto"/>
      </w:pPr>
      <w:r>
        <w:rPr>
          <w:rFonts w:ascii="Times New Roman" w:hAnsi="Times New Roman" w:eastAsia="Times New Roman"/>
          <w:b w:val="0"/>
          <w:i w:val="0"/>
          <w:sz w:val="21"/>
        </w:rPr>
        <w:t>A statement is treated as native only when it is obtained from the finite ASHA construction without empirical Yukawa amplitudes, without observed cosmological parameters, and without an inserted family-bundle axiom. Under that rule, the native claims are the following.</w:t>
      </w:r>
    </w:p>
    <w:p>
      <w:pPr>
        <w:spacing w:before="0" w:after="60" w:line="252" w:lineRule="auto"/>
      </w:pPr>
      <w:r>
        <w:rPr>
          <w:rFonts w:ascii="Times New Roman" w:hAnsi="Times New Roman" w:eastAsia="Times New Roman"/>
          <w:b w:val="0"/>
          <w:i w:val="0"/>
          <w:sz w:val="20"/>
        </w:rPr>
        <w:t>1. The finite measurement ladder is based on Cℓ(1,7), Λ•R⁸, and the audited exterior-grade decomposition. These structures define the algebraic language of the construction; they are not themselves a particle spectrum claim.</w:t>
      </w:r>
    </w:p>
    <w:p>
      <w:pPr>
        <w:spacing w:before="0" w:after="60" w:line="252" w:lineRule="auto"/>
      </w:pPr>
      <w:r>
        <w:rPr>
          <w:rFonts w:ascii="Times New Roman" w:hAnsi="Times New Roman" w:eastAsia="Times New Roman"/>
          <w:b w:val="0"/>
          <w:i w:val="0"/>
          <w:sz w:val="20"/>
        </w:rPr>
        <w:t>2. The Boolean/G₂ contact vacuum K₇ is a native finite object: the Boolean rank-56 support and the G₂ rank-14 calibration support meet in a seven-dimensional contact sector, and the B-sector quadratic action selects it as the exact zero-energy space.</w:t>
      </w:r>
    </w:p>
    <w:p>
      <w:pPr>
        <w:spacing w:before="0" w:after="60" w:line="252" w:lineRule="auto"/>
      </w:pPr>
      <w:r>
        <w:rPr>
          <w:rFonts w:ascii="Times New Roman" w:hAnsi="Times New Roman" w:eastAsia="Times New Roman"/>
          <w:b w:val="0"/>
          <w:i w:val="0"/>
          <w:sz w:val="20"/>
        </w:rPr>
        <w:t>3. The off-diagonal connection geometry gives a Higgs/contact seed. The mature interpretation is not that every scalar observable is derived numerically, but that a four-real-dimensional Higgs-like carrier and scalar normal form arise from finite connection leakage.</w:t>
      </w:r>
    </w:p>
    <w:p>
      <w:pPr>
        <w:spacing w:before="0" w:after="60" w:line="252" w:lineRule="auto"/>
      </w:pPr>
      <w:r>
        <w:rPr>
          <w:rFonts w:ascii="Times New Roman" w:hAnsi="Times New Roman" w:eastAsia="Times New Roman"/>
          <w:b w:val="0"/>
          <w:i w:val="0"/>
          <w:sz w:val="20"/>
        </w:rPr>
        <w:t>4. The Fock matter carrier supplies charge bookkeeping, including B-L, hypercharge, chirality conventions, and the electroweak charge skeleton. The one-generation Yukawa channels are selected at the level of gauge compatibility, not amplitude values.</w:t>
      </w:r>
    </w:p>
    <w:p>
      <w:pPr>
        <w:spacing w:before="0" w:after="60" w:line="252" w:lineRule="auto"/>
      </w:pPr>
      <w:r>
        <w:rPr>
          <w:rFonts w:ascii="Times New Roman" w:hAnsi="Times New Roman" w:eastAsia="Times New Roman"/>
          <w:b w:val="0"/>
          <w:i w:val="0"/>
          <w:sz w:val="20"/>
        </w:rPr>
        <w:t>5. The finite spectral-triple lane uses A_F = ℂ ⊕ ℍ ⊕ M₃(ℂ), the real structure J, and first-order compatibility to obtain the mature field-content interpretation through inner fluctuations.</w:t>
      </w:r>
    </w:p>
    <w:p>
      <w:pPr>
        <w:spacing w:before="160" w:after="120" w:line="252" w:lineRule="auto"/>
      </w:pPr>
      <w:r>
        <w:rPr>
          <w:rFonts w:ascii="Times New Roman" w:hAnsi="Times New Roman" w:eastAsia="Times New Roman"/>
          <w:b/>
          <w:i w:val="0"/>
          <w:sz w:val="25"/>
        </w:rPr>
        <w:t>Bridge-level coefficient claims</w:t>
      </w:r>
    </w:p>
    <w:p>
      <w:pPr>
        <w:spacing w:before="0" w:after="120" w:line="252" w:lineRule="auto"/>
      </w:pPr>
      <w:r>
        <w:rPr>
          <w:rFonts w:ascii="Times New Roman" w:hAnsi="Times New Roman" w:eastAsia="Times New Roman"/>
          <w:b w:val="0"/>
          <w:i w:val="0"/>
          <w:sz w:val="21"/>
        </w:rPr>
        <w:t>A bridge-level statement is stronger than a suggestion but weaker than a fully native low-energy prediction. It depends on a product-geometry, spectral-action, normalization, or scale-transport lane that must be named explicitly.</w:t>
      </w:r>
    </w:p>
    <w:p>
      <w:pPr>
        <w:spacing w:before="0" w:after="60" w:line="252" w:lineRule="auto"/>
      </w:pPr>
      <w:r>
        <w:rPr>
          <w:rFonts w:ascii="Times New Roman" w:hAnsi="Times New Roman" w:eastAsia="Times New Roman"/>
          <w:b w:val="0"/>
          <w:i w:val="0"/>
          <w:sz w:val="20"/>
        </w:rPr>
        <w:t>• The electroweak normalization k_Y = 5/3 and the boundary value sin²θ* = 3/8 are boundary-level normalization results. They are not the observed weak mixing angle at laboratory scale without renormalization-group transport and threshold data.</w:t>
      </w:r>
    </w:p>
    <w:p>
      <w:pPr>
        <w:spacing w:before="0" w:after="60" w:line="252" w:lineRule="auto"/>
      </w:pPr>
      <w:r>
        <w:rPr>
          <w:rFonts w:ascii="Times New Roman" w:hAnsi="Times New Roman" w:eastAsia="Times New Roman"/>
          <w:b w:val="0"/>
          <w:i w:val="0"/>
          <w:sz w:val="20"/>
        </w:rPr>
        <w:t>• The Higgs one-form edge measure changes the scalar normalization from node counting to edge-supported inner-fluctuation support. This is a structural correction, not a complete loop-level Higgs calculation.</w:t>
      </w:r>
    </w:p>
    <w:p>
      <w:pPr>
        <w:spacing w:before="0" w:after="60" w:line="252" w:lineRule="auto"/>
      </w:pPr>
      <w:r>
        <w:rPr>
          <w:rFonts w:ascii="Times New Roman" w:hAnsi="Times New Roman" w:eastAsia="Times New Roman"/>
          <w:b w:val="0"/>
          <w:i w:val="0"/>
          <w:sz w:val="20"/>
        </w:rPr>
        <w:t>• The Pfaffian scale lane and CCM coefficient lane provide the tree-level Higgs proxy used by the current architecture. The paper must keep this phrased as a tree-level proxy rather than a complete physical mass theorem including all quantum corrections.</w:t>
      </w:r>
    </w:p>
    <w:p>
      <w:pPr>
        <w:spacing w:before="0" w:after="60" w:line="252" w:lineRule="auto"/>
      </w:pPr>
      <w:r>
        <w:rPr>
          <w:rFonts w:ascii="Times New Roman" w:hAnsi="Times New Roman" w:eastAsia="Times New Roman"/>
          <w:b w:val="0"/>
          <w:i w:val="0"/>
          <w:sz w:val="20"/>
        </w:rPr>
        <w:t>• No bridge lane is permitted to erase the flavor or cosmology firewalls.</w:t>
      </w:r>
    </w:p>
    <w:p>
      <w:pPr>
        <w:spacing w:before="160" w:after="120" w:line="252" w:lineRule="auto"/>
      </w:pPr>
      <w:r>
        <w:rPr>
          <w:rFonts w:ascii="Times New Roman" w:hAnsi="Times New Roman" w:eastAsia="Times New Roman"/>
          <w:b/>
          <w:i w:val="0"/>
          <w:sz w:val="25"/>
        </w:rPr>
        <w:t>Quarantined family axioms</w:t>
      </w:r>
    </w:p>
    <w:p>
      <w:pPr>
        <w:spacing w:before="0" w:after="120" w:line="252" w:lineRule="auto"/>
      </w:pPr>
      <w:r>
        <w:rPr>
          <w:rFonts w:ascii="Times New Roman" w:hAnsi="Times New Roman" w:eastAsia="Times New Roman"/>
          <w:b w:val="0"/>
          <w:i w:val="0"/>
          <w:sz w:val="21"/>
        </w:rPr>
        <w:t>The family-sector gates established an important distinction. The native scalar and fermionic carriers preserve the charged flavor firewall. To obtain hierarchy, mixing, and CP capacity, the theory must introduce a new family-fiber axiom. The minimal audited chain is:</w:t>
      </w:r>
    </w:p>
    <w:p>
      <w:pPr>
        <w:spacing w:after="160"/>
        <w:jc w:val="center"/>
      </w:pPr>
      <w:r>
        <w:drawing>
          <wp:inline xmlns:a="http://schemas.openxmlformats.org/drawingml/2006/main" xmlns:pic="http://schemas.openxmlformats.org/drawingml/2006/picture">
            <wp:extent cx="5943600" cy="437949"/>
            <wp:docPr id="55" name="Picture 55"/>
            <wp:cNvGraphicFramePr>
              <a:graphicFrameLocks noChangeAspect="1"/>
            </wp:cNvGraphicFramePr>
            <a:graphic>
              <a:graphicData uri="http://schemas.openxmlformats.org/drawingml/2006/picture">
                <pic:pic>
                  <pic:nvPicPr>
                    <pic:cNvPr id="0" name="kxy.png"/>
                    <pic:cNvPicPr/>
                  </pic:nvPicPr>
                  <pic:blipFill>
                    <a:blip r:embed="rId70"/>
                    <a:stretch>
                      <a:fillRect/>
                    </a:stretch>
                  </pic:blipFill>
                  <pic:spPr>
                    <a:xfrm>
                      <a:off x="0" y="0"/>
                      <a:ext cx="5943600" cy="437949"/>
                    </a:xfrm>
                    <a:prstGeom prst="rect"/>
                  </pic:spPr>
                </pic:pic>
              </a:graphicData>
            </a:graphic>
          </wp:inline>
        </w:drawing>
      </w:r>
    </w:p>
    <w:p>
      <w:pPr>
        <w:spacing w:before="0" w:after="120" w:line="252" w:lineRule="auto"/>
      </w:pPr>
      <w:r>
        <w:rPr>
          <w:rFonts w:ascii="Times New Roman" w:hAnsi="Times New Roman" w:eastAsia="Times New Roman"/>
          <w:b w:val="0"/>
          <w:i w:val="0"/>
          <w:sz w:val="21"/>
        </w:rPr>
        <w:t>Here K_gen provides a diagonal hierarchy axis, X_gen supplies real noncommuting mixing capacity, and Y_gen supplies the complex quadrature needed for CP-capable textures. Under the minimal complex sector-source axiom, a charged-sector texture can be written in the symbolic form</w:t>
      </w:r>
    </w:p>
    <w:p>
      <w:pPr>
        <w:spacing w:after="160"/>
        <w:jc w:val="center"/>
      </w:pPr>
      <w:r>
        <w:drawing>
          <wp:inline xmlns:a="http://schemas.openxmlformats.org/drawingml/2006/main" xmlns:pic="http://schemas.openxmlformats.org/drawingml/2006/picture">
            <wp:extent cx="5760720" cy="464296"/>
            <wp:docPr id="56" name="Picture 56"/>
            <wp:cNvGraphicFramePr>
              <a:graphicFrameLocks noChangeAspect="1"/>
            </wp:cNvGraphicFramePr>
            <a:graphic>
              <a:graphicData uri="http://schemas.openxmlformats.org/drawingml/2006/picture">
                <pic:pic>
                  <pic:nvPicPr>
                    <pic:cNvPr id="0" name="mass_texture.png"/>
                    <pic:cNvPicPr/>
                  </pic:nvPicPr>
                  <pic:blipFill>
                    <a:blip r:embed="rId71"/>
                    <a:stretch>
                      <a:fillRect/>
                    </a:stretch>
                  </pic:blipFill>
                  <pic:spPr>
                    <a:xfrm>
                      <a:off x="0" y="0"/>
                      <a:ext cx="5760720" cy="464296"/>
                    </a:xfrm>
                    <a:prstGeom prst="rect"/>
                  </pic:spPr>
                </pic:pic>
              </a:graphicData>
            </a:graphic>
          </wp:inline>
        </w:drawing>
      </w:r>
    </w:p>
    <w:p>
      <w:pPr>
        <w:spacing w:before="0" w:after="120" w:line="252" w:lineRule="auto"/>
      </w:pPr>
      <w:r>
        <w:rPr>
          <w:rFonts w:ascii="Times New Roman" w:hAnsi="Times New Roman" w:eastAsia="Times New Roman"/>
          <w:b w:val="0"/>
          <w:i w:val="0"/>
          <w:sz w:val="21"/>
        </w:rPr>
        <w:t>This construction is useful because it compresses the charged flavor description into a smaller symbolic ledger. It is not native ASHA. The coefficients remain boundary data. Therefore the K/X/Y chain is classified as a quarantined axiom family rather than as a theorem of the original finite geometry.</w:t>
      </w:r>
    </w:p>
    <w:p>
      <w:pPr>
        <w:spacing w:before="160" w:after="120" w:line="252" w:lineRule="auto"/>
      </w:pPr>
      <w:r>
        <w:rPr>
          <w:rFonts w:ascii="Times New Roman" w:hAnsi="Times New Roman" w:eastAsia="Times New Roman"/>
          <w:b/>
          <w:i w:val="0"/>
          <w:sz w:val="25"/>
        </w:rPr>
        <w:t>Non-claims</w:t>
      </w:r>
    </w:p>
    <w:p>
      <w:pPr>
        <w:spacing w:before="0" w:after="120" w:line="252" w:lineRule="auto"/>
      </w:pPr>
      <w:r>
        <w:rPr>
          <w:rFonts w:ascii="Times New Roman" w:hAnsi="Times New Roman" w:eastAsia="Times New Roman"/>
          <w:b w:val="0"/>
          <w:i w:val="0"/>
          <w:sz w:val="21"/>
        </w:rPr>
        <w:t>The manuscript should be read with the following non-claims in force. These are not weaknesses hidden in footnotes; they are explicit results of the gate audit.</w:t>
      </w:r>
    </w:p>
    <w:p>
      <w:pPr>
        <w:spacing w:before="0" w:after="60" w:line="252" w:lineRule="auto"/>
      </w:pPr>
      <w:r>
        <w:rPr>
          <w:rFonts w:ascii="Times New Roman" w:hAnsi="Times New Roman" w:eastAsia="Times New Roman"/>
          <w:b w:val="0"/>
          <w:i w:val="0"/>
          <w:sz w:val="20"/>
        </w:rPr>
        <w:t>• ASHA does not currently derive the nine charged Yukawa eigenvalues.</w:t>
      </w:r>
    </w:p>
    <w:p>
      <w:pPr>
        <w:spacing w:before="0" w:after="60" w:line="252" w:lineRule="auto"/>
      </w:pPr>
      <w:r>
        <w:rPr>
          <w:rFonts w:ascii="Times New Roman" w:hAnsi="Times New Roman" w:eastAsia="Times New Roman"/>
          <w:b w:val="0"/>
          <w:i w:val="0"/>
          <w:sz w:val="20"/>
        </w:rPr>
        <w:t>• ASHA does not currently predict the CKM angles, the CKM CP phase, or PMNS parameters.</w:t>
      </w:r>
    </w:p>
    <w:p>
      <w:pPr>
        <w:spacing w:before="0" w:after="60" w:line="252" w:lineRule="auto"/>
      </w:pPr>
      <w:r>
        <w:rPr>
          <w:rFonts w:ascii="Times New Roman" w:hAnsi="Times New Roman" w:eastAsia="Times New Roman"/>
          <w:b w:val="0"/>
          <w:i w:val="0"/>
          <w:sz w:val="20"/>
        </w:rPr>
        <w:t>• ASHA does not currently derive the three generations as a native nontrivial family bundle. The native carrier still treats generation as a trivial U(3)_gen multiplicity.</w:t>
      </w:r>
    </w:p>
    <w:p>
      <w:pPr>
        <w:spacing w:before="0" w:after="60" w:line="252" w:lineRule="auto"/>
      </w:pPr>
      <w:r>
        <w:rPr>
          <w:rFonts w:ascii="Times New Roman" w:hAnsi="Times New Roman" w:eastAsia="Times New Roman"/>
          <w:b w:val="0"/>
          <w:i w:val="0"/>
          <w:sz w:val="20"/>
        </w:rPr>
        <w:t>• ASHA does not currently derive dark-matter abundance, the cosmological constant, the age of the universe, or a full cosmological history.</w:t>
      </w:r>
    </w:p>
    <w:p>
      <w:pPr>
        <w:spacing w:before="0" w:after="60" w:line="252" w:lineRule="auto"/>
      </w:pPr>
      <w:r>
        <w:rPr>
          <w:rFonts w:ascii="Times New Roman" w:hAnsi="Times New Roman" w:eastAsia="Times New Roman"/>
          <w:b w:val="0"/>
          <w:i w:val="0"/>
          <w:sz w:val="20"/>
        </w:rPr>
        <w:t>• The paper does not claim consciousness, biology, or sociological structure as theorem-level consequences of the gate-audited finite geometry.</w:t>
      </w:r>
    </w:p>
    <w:p>
      <w:pPr>
        <w:spacing w:before="160" w:after="120" w:line="252" w:lineRule="auto"/>
      </w:pPr>
      <w:r>
        <w:rPr>
          <w:rFonts w:ascii="Times New Roman" w:hAnsi="Times New Roman" w:eastAsia="Times New Roman"/>
          <w:b/>
          <w:i w:val="0"/>
          <w:sz w:val="25"/>
        </w:rPr>
        <w:t>Final firewall equations</w:t>
      </w:r>
    </w:p>
    <w:p>
      <w:pPr>
        <w:spacing w:before="0" w:after="120" w:line="252" w:lineRule="auto"/>
      </w:pPr>
      <w:r>
        <w:rPr>
          <w:rFonts w:ascii="Times New Roman" w:hAnsi="Times New Roman" w:eastAsia="Times New Roman"/>
          <w:b w:val="0"/>
          <w:i w:val="0"/>
          <w:sz w:val="21"/>
        </w:rPr>
        <w:t>The native charged flavor firewall remains</w:t>
      </w:r>
    </w:p>
    <w:p>
      <w:pPr>
        <w:spacing w:after="160"/>
        <w:jc w:val="center"/>
      </w:pPr>
      <w:r>
        <w:drawing>
          <wp:inline xmlns:a="http://schemas.openxmlformats.org/drawingml/2006/main" xmlns:pic="http://schemas.openxmlformats.org/drawingml/2006/picture">
            <wp:extent cx="3474720" cy="448274"/>
            <wp:docPr id="57" name="Picture 57"/>
            <wp:cNvGraphicFramePr>
              <a:graphicFrameLocks noChangeAspect="1"/>
            </wp:cNvGraphicFramePr>
            <a:graphic>
              <a:graphicData uri="http://schemas.openxmlformats.org/drawingml/2006/picture">
                <pic:pic>
                  <pic:nvPicPr>
                    <pic:cNvPr id="0" name="flavor_firewall.png"/>
                    <pic:cNvPicPr/>
                  </pic:nvPicPr>
                  <pic:blipFill>
                    <a:blip r:embed="rId72"/>
                    <a:stretch>
                      <a:fillRect/>
                    </a:stretch>
                  </pic:blipFill>
                  <pic:spPr>
                    <a:xfrm>
                      <a:off x="0" y="0"/>
                      <a:ext cx="3474720" cy="448274"/>
                    </a:xfrm>
                    <a:prstGeom prst="rect"/>
                  </pic:spPr>
                </pic:pic>
              </a:graphicData>
            </a:graphic>
          </wp:inline>
        </w:drawing>
      </w:r>
    </w:p>
    <w:p>
      <w:pPr>
        <w:spacing w:before="0" w:after="120" w:line="252" w:lineRule="auto"/>
      </w:pPr>
      <w:r>
        <w:rPr>
          <w:rFonts w:ascii="Times New Roman" w:hAnsi="Times New Roman" w:eastAsia="Times New Roman"/>
          <w:b w:val="0"/>
          <w:i w:val="0"/>
          <w:sz w:val="21"/>
        </w:rPr>
        <w:t>The environmental coordinate set includes the quantities whose values require boundary conditions, empirical input, cosmological history, or a future extension not currently native to ASHA:</w:t>
      </w:r>
    </w:p>
    <w:p>
      <w:pPr>
        <w:spacing w:after="160"/>
        <w:jc w:val="center"/>
      </w:pPr>
      <w:r>
        <w:drawing>
          <wp:inline xmlns:a="http://schemas.openxmlformats.org/drawingml/2006/main" xmlns:pic="http://schemas.openxmlformats.org/drawingml/2006/picture">
            <wp:extent cx="5852160" cy="431211"/>
            <wp:docPr id="58" name="Picture 58"/>
            <wp:cNvGraphicFramePr>
              <a:graphicFrameLocks noChangeAspect="1"/>
            </wp:cNvGraphicFramePr>
            <a:graphic>
              <a:graphicData uri="http://schemas.openxmlformats.org/drawingml/2006/picture">
                <pic:pic>
                  <pic:nvPicPr>
                    <pic:cNvPr id="0" name="env_set.png"/>
                    <pic:cNvPicPr/>
                  </pic:nvPicPr>
                  <pic:blipFill>
                    <a:blip r:embed="rId73"/>
                    <a:stretch>
                      <a:fillRect/>
                    </a:stretch>
                  </pic:blipFill>
                  <pic:spPr>
                    <a:xfrm>
                      <a:off x="0" y="0"/>
                      <a:ext cx="5852160" cy="431211"/>
                    </a:xfrm>
                    <a:prstGeom prst="rect"/>
                  </pic:spPr>
                </pic:pic>
              </a:graphicData>
            </a:graphic>
          </wp:inline>
        </w:drawing>
      </w:r>
    </w:p>
    <w:p>
      <w:pPr>
        <w:spacing w:before="0" w:after="120" w:line="252" w:lineRule="auto"/>
      </w:pPr>
      <w:r>
        <w:rPr>
          <w:rFonts w:ascii="Times New Roman" w:hAnsi="Times New Roman" w:eastAsia="Times New Roman"/>
          <w:b w:val="0"/>
          <w:i w:val="0"/>
          <w:sz w:val="21"/>
        </w:rPr>
        <w:t>The scientific claim is therefore precise: the ASHA engine constructs and audits a finite geometric law-space and its bridge lanes, while refusing to convert environmental coordinates into fake algebraic predictions.</w:t>
      </w:r>
    </w:p>
    <w:p>
      <w:pPr>
        <w:spacing w:before="160" w:after="120" w:line="252" w:lineRule="auto"/>
      </w:pPr>
      <w:r>
        <w:rPr>
          <w:rFonts w:ascii="Times New Roman" w:hAnsi="Times New Roman" w:eastAsia="Times New Roman"/>
          <w:b/>
          <w:i w:val="0"/>
          <w:sz w:val="25"/>
        </w:rPr>
        <w:t>Epistemological boundary</w:t>
      </w:r>
    </w:p>
    <w:p>
      <w:pPr>
        <w:spacing w:before="0" w:after="120" w:line="252" w:lineRule="auto"/>
      </w:pPr>
      <w:r>
        <w:rPr>
          <w:rFonts w:ascii="Times New Roman" w:hAnsi="Times New Roman" w:eastAsia="Times New Roman"/>
          <w:b w:val="0"/>
          <w:i w:val="0"/>
          <w:sz w:val="21"/>
        </w:rPr>
        <w:t>The mature form of the theory is not “everything is derived.” It is: the finite law-space is unusually rigid, the Standard-Model and Higgs scaffolding are strongly constrained, the tree-level coefficient lane is explicit, and the remaining flavor and cosmological coordinates are firewalled. This makes the framework reviewable: every claim belongs to a named layer, and every failed route becomes a boundary condition for future work.</w:t>
      </w:r>
    </w:p>
    <w:p>
      <w:pPr>
        <w:spacing w:before="0" w:after="120" w:line="252" w:lineRule="auto"/>
      </w:pPr>
      <w:r>
        <w:rPr>
          <w:rFonts w:ascii="Times New Roman" w:hAnsi="Times New Roman" w:eastAsia="Times New Roman"/>
          <w:b w:val="0"/>
          <w:i w:val="0"/>
          <w:sz w:val="21"/>
        </w:rPr>
        <w:t>A future extension can still be meaningful. But it must pay its mathematical cost openly: a modular family Hamiltonian, a nontrivial family connection, a primitive-ideal extension, a triality/contact functor, or another new axiom must be declared as an extension rather than smuggled into the existing Cℓ(1,7) derivation.</w:t>
      </w:r>
    </w:p>
    <w:p>
      <w:pPr>
        <w:spacing w:before="0" w:after="120" w:line="252" w:lineRule="auto"/>
      </w:pPr>
      <w:r>
        <w:rPr>
          <w:rFonts w:ascii="Times New Roman" w:hAnsi="Times New Roman" w:eastAsia="Times New Roman"/>
          <w:b w:val="0"/>
          <w:i w:val="0"/>
          <w:sz w:val="21"/>
        </w:rPr>
        <w:t>This boundary is the central discipline of the paper. It allows the manuscript to be ambitious without being inflationary, and geometric without becoming numerological.</w:t>
      </w:r>
    </w:p>
    <w:p>
      <w:r>
        <w:rPr>
          <w:b/>
          <w:i w:val="0"/>
        </w:rPr>
        <w:t>Final Unified Formula</w:t>
      </w:r>
    </w:p>
    <w:p>
      <w:r>
        <w:rPr>
          <w:b w:val="0"/>
          <w:i w:val="0"/>
        </w:rPr>
        <w:t>The mature ASHA board is best written not as a single unqualified equation, but as a layered formula that separates native law-space, bridge-level coefficient lanes, quarantined family axioms, and environmental boundary data. This prevents the final expression from hiding assumptions inside notation.</w:t>
      </w:r>
    </w:p>
    <w:p>
      <w:r>
        <w:rPr>
          <w:b/>
          <w:i w:val="0"/>
        </w:rPr>
        <w:t>Complete board-level expression</w:t>
      </w:r>
    </w:p>
    <w:p>
      <w:pPr>
        <w:jc w:val="center"/>
      </w:pPr>
      <w:r>
        <w:drawing>
          <wp:inline xmlns:a="http://schemas.openxmlformats.org/drawingml/2006/main" xmlns:pic="http://schemas.openxmlformats.org/drawingml/2006/picture">
            <wp:extent cx="5760720" cy="710668"/>
            <wp:docPr id="67" name="Picture 67"/>
            <wp:cNvGraphicFramePr>
              <a:graphicFrameLocks noChangeAspect="1"/>
            </wp:cNvGraphicFramePr>
            <a:graphic>
              <a:graphicData uri="http://schemas.openxmlformats.org/drawingml/2006/picture">
                <pic:pic>
                  <pic:nvPicPr>
                    <pic:cNvPr id="0" name="board.png"/>
                    <pic:cNvPicPr/>
                  </pic:nvPicPr>
                  <pic:blipFill>
                    <a:blip r:embed="rId82"/>
                    <a:stretch>
                      <a:fillRect/>
                    </a:stretch>
                  </pic:blipFill>
                  <pic:spPr>
                    <a:xfrm>
                      <a:off x="0" y="0"/>
                      <a:ext cx="5760720" cy="710668"/>
                    </a:xfrm>
                    <a:prstGeom prst="rect"/>
                  </pic:spPr>
                </pic:pic>
              </a:graphicData>
            </a:graphic>
          </wp:inline>
        </w:drawing>
      </w:r>
    </w:p>
    <w:p>
      <w:r>
        <w:rPr>
          <w:b w:val="0"/>
          <w:i w:val="0"/>
        </w:rPr>
        <w:t>The corresponding law-space action is the audited finite/contact plus almost-commutative spectral-action expression:</w:t>
      </w:r>
    </w:p>
    <w:p>
      <w:pPr>
        <w:jc w:val="center"/>
      </w:pPr>
      <w:r>
        <w:drawing>
          <wp:inline xmlns:a="http://schemas.openxmlformats.org/drawingml/2006/main" xmlns:pic="http://schemas.openxmlformats.org/drawingml/2006/picture">
            <wp:extent cx="5760720" cy="710668"/>
            <wp:docPr id="68" name="Picture 68"/>
            <wp:cNvGraphicFramePr>
              <a:graphicFrameLocks noChangeAspect="1"/>
            </wp:cNvGraphicFramePr>
            <a:graphic>
              <a:graphicData uri="http://schemas.openxmlformats.org/drawingml/2006/picture">
                <pic:pic>
                  <pic:nvPicPr>
                    <pic:cNvPr id="0" name="slaw.png"/>
                    <pic:cNvPicPr/>
                  </pic:nvPicPr>
                  <pic:blipFill>
                    <a:blip r:embed="rId83"/>
                    <a:stretch>
                      <a:fillRect/>
                    </a:stretch>
                  </pic:blipFill>
                  <pic:spPr>
                    <a:xfrm>
                      <a:off x="0" y="0"/>
                      <a:ext cx="5760720" cy="710668"/>
                    </a:xfrm>
                    <a:prstGeom prst="rect"/>
                  </pic:spPr>
                </pic:pic>
              </a:graphicData>
            </a:graphic>
          </wp:inline>
        </w:drawing>
      </w:r>
    </w:p>
    <w:p>
      <w:pPr>
        <w:jc w:val="center"/>
      </w:pPr>
      <w:r>
        <w:drawing>
          <wp:inline xmlns:a="http://schemas.openxmlformats.org/drawingml/2006/main" xmlns:pic="http://schemas.openxmlformats.org/drawingml/2006/picture">
            <wp:extent cx="5760720" cy="710668"/>
            <wp:docPr id="69" name="Picture 69"/>
            <wp:cNvGraphicFramePr>
              <a:graphicFrameLocks noChangeAspect="1"/>
            </wp:cNvGraphicFramePr>
            <a:graphic>
              <a:graphicData uri="http://schemas.openxmlformats.org/drawingml/2006/picture">
                <pic:pic>
                  <pic:nvPicPr>
                    <pic:cNvPr id="0" name="DA.png"/>
                    <pic:cNvPicPr/>
                  </pic:nvPicPr>
                  <pic:blipFill>
                    <a:blip r:embed="rId84"/>
                    <a:stretch>
                      <a:fillRect/>
                    </a:stretch>
                  </pic:blipFill>
                  <pic:spPr>
                    <a:xfrm>
                      <a:off x="0" y="0"/>
                      <a:ext cx="5760720" cy="710668"/>
                    </a:xfrm>
                    <a:prstGeom prst="rect"/>
                  </pic:spPr>
                </pic:pic>
              </a:graphicData>
            </a:graphic>
          </wp:inline>
        </w:drawing>
      </w:r>
    </w:p>
    <w:p>
      <w:r>
        <w:rPr>
          <w:b w:val="0"/>
          <w:i w:val="0"/>
        </w:rPr>
        <w:t>If one writes a single total bookkeeping expression, it must explicitly expose the quarantined and environmental terms:</w:t>
      </w:r>
    </w:p>
    <w:p>
      <w:pPr>
        <w:jc w:val="center"/>
      </w:pPr>
      <w:r>
        <w:drawing>
          <wp:inline xmlns:a="http://schemas.openxmlformats.org/drawingml/2006/main" xmlns:pic="http://schemas.openxmlformats.org/drawingml/2006/picture">
            <wp:extent cx="5760720" cy="710668"/>
            <wp:docPr id="70" name="Picture 70"/>
            <wp:cNvGraphicFramePr>
              <a:graphicFrameLocks noChangeAspect="1"/>
            </wp:cNvGraphicFramePr>
            <a:graphic>
              <a:graphicData uri="http://schemas.openxmlformats.org/drawingml/2006/picture">
                <pic:pic>
                  <pic:nvPicPr>
                    <pic:cNvPr id="0" name="stotal.png"/>
                    <pic:cNvPicPr/>
                  </pic:nvPicPr>
                  <pic:blipFill>
                    <a:blip r:embed="rId85"/>
                    <a:stretch>
                      <a:fillRect/>
                    </a:stretch>
                  </pic:blipFill>
                  <pic:spPr>
                    <a:xfrm>
                      <a:off x="0" y="0"/>
                      <a:ext cx="5760720" cy="710668"/>
                    </a:xfrm>
                    <a:prstGeom prst="rect"/>
                  </pic:spPr>
                </pic:pic>
              </a:graphicData>
            </a:graphic>
          </wp:inline>
        </w:drawing>
      </w:r>
    </w:p>
    <w:p>
      <w:r>
        <w:rPr>
          <w:b w:val="0"/>
          <w:i w:val="0"/>
        </w:rPr>
        <w:t>Here the first term is the native and bridge-audited geometric law-space. The second term is the quarantined family-capacity axiom chain. The third term denotes cosmological history, vacuum boundary conditions, relic abundance, low-energy running data, and other environmental coordinates that are not currently derived by the finite geometry.</w:t>
      </w:r>
    </w:p>
    <w:p>
      <w:r>
        <w:rPr>
          <w:b/>
          <w:i w:val="0"/>
        </w:rPr>
        <w:t>Family-capacity representation</w:t>
      </w:r>
    </w:p>
    <w:p>
      <w:r>
        <w:rPr>
          <w:b w:val="0"/>
          <w:i w:val="0"/>
        </w:rPr>
        <w:t>The minimal CP-capable family axiom chain can be represented sector by sector as</w:t>
      </w:r>
    </w:p>
    <w:p>
      <w:pPr>
        <w:jc w:val="center"/>
      </w:pPr>
      <w:r>
        <w:drawing>
          <wp:inline xmlns:a="http://schemas.openxmlformats.org/drawingml/2006/main" xmlns:pic="http://schemas.openxmlformats.org/drawingml/2006/picture">
            <wp:extent cx="5760720" cy="710668"/>
            <wp:docPr id="71" name="Picture 71"/>
            <wp:cNvGraphicFramePr>
              <a:graphicFrameLocks noChangeAspect="1"/>
            </wp:cNvGraphicFramePr>
            <a:graphic>
              <a:graphicData uri="http://schemas.openxmlformats.org/drawingml/2006/picture">
                <pic:pic>
                  <pic:nvPicPr>
                    <pic:cNvPr id="0" name="fam.png"/>
                    <pic:cNvPicPr/>
                  </pic:nvPicPr>
                  <pic:blipFill>
                    <a:blip r:embed="rId86"/>
                    <a:stretch>
                      <a:fillRect/>
                    </a:stretch>
                  </pic:blipFill>
                  <pic:spPr>
                    <a:xfrm>
                      <a:off x="0" y="0"/>
                      <a:ext cx="5760720" cy="710668"/>
                    </a:xfrm>
                    <a:prstGeom prst="rect"/>
                  </pic:spPr>
                </pic:pic>
              </a:graphicData>
            </a:graphic>
          </wp:inline>
        </w:drawing>
      </w:r>
    </w:p>
    <w:p>
      <w:pPr>
        <w:jc w:val="center"/>
      </w:pPr>
      <w:r>
        <w:drawing>
          <wp:inline xmlns:a="http://schemas.openxmlformats.org/drawingml/2006/main" xmlns:pic="http://schemas.openxmlformats.org/drawingml/2006/picture">
            <wp:extent cx="5760720" cy="710668"/>
            <wp:docPr id="72" name="Picture 72"/>
            <wp:cNvGraphicFramePr>
              <a:graphicFrameLocks noChangeAspect="1"/>
            </wp:cNvGraphicFramePr>
            <a:graphic>
              <a:graphicData uri="http://schemas.openxmlformats.org/drawingml/2006/picture">
                <pic:pic>
                  <pic:nvPicPr>
                    <pic:cNvPr id="0" name="KXY.png"/>
                    <pic:cNvPicPr/>
                  </pic:nvPicPr>
                  <pic:blipFill>
                    <a:blip r:embed="rId87"/>
                    <a:stretch>
                      <a:fillRect/>
                    </a:stretch>
                  </pic:blipFill>
                  <pic:spPr>
                    <a:xfrm>
                      <a:off x="0" y="0"/>
                      <a:ext cx="5760720" cy="710668"/>
                    </a:xfrm>
                    <a:prstGeom prst="rect"/>
                  </pic:spPr>
                </pic:pic>
              </a:graphicData>
            </a:graphic>
          </wp:inline>
        </w:drawing>
      </w:r>
    </w:p>
    <w:p>
      <w:r>
        <w:t>This representation supplies hierarchy, real mixing, and CP-capacity only after it is admitted as a quarantined family axiom. The three sector coefficients in each charged sector are not predicted by the current ASHA tower.</w:t>
      </w:r>
    </w:p>
    <w:p>
      <w:r>
        <w:rPr>
          <w:b/>
          <w:i w:val="0"/>
        </w:rPr>
        <w:t>Equivalent representations of the board</w:t>
      </w:r>
    </w:p>
    <w:p>
      <w:r>
        <w:rPr>
          <w:b w:val="0"/>
          <w:i w:val="0"/>
        </w:rPr>
        <w:t>The same final object has several useful representations, each emphasizing a different jurisdiction of the theory.</w:t>
      </w:r>
    </w:p>
    <w:p>
      <w:r>
        <w:rPr>
          <w:b w:val="0"/>
          <w:i w:val="0"/>
        </w:rPr>
        <w:t>Geometric representation:</w:t>
      </w:r>
    </w:p>
    <w:p>
      <w:pPr>
        <w:jc w:val="center"/>
      </w:pPr>
      <w:r>
        <w:drawing>
          <wp:inline xmlns:a="http://schemas.openxmlformats.org/drawingml/2006/main" xmlns:pic="http://schemas.openxmlformats.org/drawingml/2006/picture">
            <wp:extent cx="5760720" cy="710668"/>
            <wp:docPr id="73" name="Picture 73"/>
            <wp:cNvGraphicFramePr>
              <a:graphicFrameLocks noChangeAspect="1"/>
            </wp:cNvGraphicFramePr>
            <a:graphic>
              <a:graphicData uri="http://schemas.openxmlformats.org/drawingml/2006/picture">
                <pic:pic>
                  <pic:nvPicPr>
                    <pic:cNvPr id="0" name="tower.png"/>
                    <pic:cNvPicPr/>
                  </pic:nvPicPr>
                  <pic:blipFill>
                    <a:blip r:embed="rId88"/>
                    <a:stretch>
                      <a:fillRect/>
                    </a:stretch>
                  </pic:blipFill>
                  <pic:spPr>
                    <a:xfrm>
                      <a:off x="0" y="0"/>
                      <a:ext cx="5760720" cy="710668"/>
                    </a:xfrm>
                    <a:prstGeom prst="rect"/>
                  </pic:spPr>
                </pic:pic>
              </a:graphicData>
            </a:graphic>
          </wp:inline>
        </w:drawing>
      </w:r>
    </w:p>
    <w:p>
      <w:r>
        <w:rPr>
          <w:b w:val="0"/>
          <w:i w:val="0"/>
        </w:rPr>
        <w:t>Field-content representation:</w:t>
      </w:r>
    </w:p>
    <w:p>
      <w:pPr>
        <w:jc w:val="center"/>
      </w:pPr>
      <w:r>
        <w:drawing>
          <wp:inline xmlns:a="http://schemas.openxmlformats.org/drawingml/2006/main" xmlns:pic="http://schemas.openxmlformats.org/drawingml/2006/picture">
            <wp:extent cx="5760720" cy="710668"/>
            <wp:docPr id="74" name="Picture 74"/>
            <wp:cNvGraphicFramePr>
              <a:graphicFrameLocks noChangeAspect="1"/>
            </wp:cNvGraphicFramePr>
            <a:graphic>
              <a:graphicData uri="http://schemas.openxmlformats.org/drawingml/2006/picture">
                <pic:pic>
                  <pic:nvPicPr>
                    <pic:cNvPr id="0" name="field.png"/>
                    <pic:cNvPicPr/>
                  </pic:nvPicPr>
                  <pic:blipFill>
                    <a:blip r:embed="rId89"/>
                    <a:stretch>
                      <a:fillRect/>
                    </a:stretch>
                  </pic:blipFill>
                  <pic:spPr>
                    <a:xfrm>
                      <a:off x="0" y="0"/>
                      <a:ext cx="5760720" cy="710668"/>
                    </a:xfrm>
                    <a:prstGeom prst="rect"/>
                  </pic:spPr>
                </pic:pic>
              </a:graphicData>
            </a:graphic>
          </wp:inline>
        </w:drawing>
      </w:r>
    </w:p>
    <w:p>
      <w:r>
        <w:rPr>
          <w:b w:val="0"/>
          <w:i w:val="0"/>
        </w:rPr>
        <w:t>Coefficient-lane representation:</w:t>
      </w:r>
    </w:p>
    <w:p>
      <w:pPr>
        <w:jc w:val="center"/>
      </w:pPr>
      <w:r>
        <w:drawing>
          <wp:inline xmlns:a="http://schemas.openxmlformats.org/drawingml/2006/main" xmlns:pic="http://schemas.openxmlformats.org/drawingml/2006/picture">
            <wp:extent cx="5760720" cy="710668"/>
            <wp:docPr id="75" name="Picture 75"/>
            <wp:cNvGraphicFramePr>
              <a:graphicFrameLocks noChangeAspect="1"/>
            </wp:cNvGraphicFramePr>
            <a:graphic>
              <a:graphicData uri="http://schemas.openxmlformats.org/drawingml/2006/picture">
                <pic:pic>
                  <pic:nvPicPr>
                    <pic:cNvPr id="0" name="coeff.png"/>
                    <pic:cNvPicPr/>
                  </pic:nvPicPr>
                  <pic:blipFill>
                    <a:blip r:embed="rId90"/>
                    <a:stretch>
                      <a:fillRect/>
                    </a:stretch>
                  </pic:blipFill>
                  <pic:spPr>
                    <a:xfrm>
                      <a:off x="0" y="0"/>
                      <a:ext cx="5760720" cy="710668"/>
                    </a:xfrm>
                    <a:prstGeom prst="rect"/>
                  </pic:spPr>
                </pic:pic>
              </a:graphicData>
            </a:graphic>
          </wp:inline>
        </w:drawing>
      </w:r>
    </w:p>
    <w:p>
      <w:r>
        <w:rPr>
          <w:b w:val="0"/>
          <w:i w:val="0"/>
        </w:rPr>
        <w:t>Firewall representation:</w:t>
      </w:r>
    </w:p>
    <w:p>
      <w:pPr>
        <w:jc w:val="center"/>
      </w:pPr>
      <w:r>
        <w:drawing>
          <wp:inline xmlns:a="http://schemas.openxmlformats.org/drawingml/2006/main" xmlns:pic="http://schemas.openxmlformats.org/drawingml/2006/picture">
            <wp:extent cx="5760720" cy="710668"/>
            <wp:docPr id="76" name="Picture 76"/>
            <wp:cNvGraphicFramePr>
              <a:graphicFrameLocks noChangeAspect="1"/>
            </wp:cNvGraphicFramePr>
            <a:graphic>
              <a:graphicData uri="http://schemas.openxmlformats.org/drawingml/2006/picture">
                <pic:pic>
                  <pic:nvPicPr>
                    <pic:cNvPr id="0" name="firewall.png"/>
                    <pic:cNvPicPr/>
                  </pic:nvPicPr>
                  <pic:blipFill>
                    <a:blip r:embed="rId91"/>
                    <a:stretch>
                      <a:fillRect/>
                    </a:stretch>
                  </pic:blipFill>
                  <pic:spPr>
                    <a:xfrm>
                      <a:off x="0" y="0"/>
                      <a:ext cx="5760720" cy="710668"/>
                    </a:xfrm>
                    <a:prstGeom prst="rect"/>
                  </pic:spPr>
                </pic:pic>
              </a:graphicData>
            </a:graphic>
          </wp:inline>
        </w:drawing>
      </w:r>
    </w:p>
    <w:p>
      <w:r>
        <w:rPr>
          <w:b/>
          <w:i w:val="0"/>
        </w:rPr>
        <w:t>Coefficient ledger</w:t>
      </w:r>
    </w:p>
    <w:p>
      <w:r>
        <w:rPr>
          <w:b w:val="0"/>
          <w:i w:val="0"/>
        </w:rPr>
        <w:t>Originally achieved or audited inside the present ASHA board:</w:t>
      </w:r>
    </w:p>
    <w:p>
      <w:r>
        <w:t>• Boolean incidence support has rank 56, octonionic G2 calibration support has rank 14, and their contact vacuum has dimension 7.</w:t>
      </w:r>
    </w:p>
    <w:p>
      <w:r>
        <w:t>• The finite four-mode Fock matter carrier has dimension 16 and supplies audited charge bookkeeping rather than a generation theorem.</w:t>
      </w:r>
    </w:p>
    <w:p>
      <w:r>
        <w:t>• The finite spectral triple uses the complex, quaternionic, and three-by-three complex matrix algebra, with the real structure J and the first-order condition controlling the inner-fluctuation field inventory.</w:t>
      </w:r>
    </w:p>
    <w:p>
      <w:r>
        <w:t>• The electroweak normalization gives the hypercharge coefficient 5/3 and the boundary weak-mixing value 3/8.</w:t>
      </w:r>
    </w:p>
    <w:p>
      <w:r>
        <w:t>• The Higgs field is supported as a finite one-form on the Dirac edge ledger, with ten J-doubled edge supports rather than a naive node count.</w:t>
      </w:r>
    </w:p>
    <w:p>
      <w:r>
        <w:t>• The current coefficient lane gives the tree-level Higgs proxy near 124.925 GeV, with the usual separation from loop-level and low-energy matching.</w:t>
      </w:r>
    </w:p>
    <w:p>
      <w:r>
        <w:rPr>
          <w:b w:val="0"/>
          <w:i w:val="0"/>
        </w:rPr>
        <w:t>Imported, quarantined, or environmental in the present manuscript:</w:t>
      </w:r>
    </w:p>
    <w:p>
      <w:r>
        <w:t>• The continuum spin manifold and the almost-commutative product are part of the mature NCG bridge, not a derivation of spacetime from the finite algebra alone.</w:t>
      </w:r>
    </w:p>
    <w:p>
      <w:r>
        <w:t>• The family operators K_gen, X_gen, and Y_gen are explicit family-bundle axioms, not native Clifford-algebra theorems.</w:t>
      </w:r>
    </w:p>
    <w:p>
      <w:r>
        <w:t>• The nine charged source coefficients, three for each charged sector, remain boundary data.</w:t>
      </w:r>
    </w:p>
    <w:p>
      <w:r>
        <w:t>• The 13 charged flavor moduli, CKM angles, CKM CP phase, PMNS details, and observed Yukawa values are not predicted natively.</w:t>
      </w:r>
    </w:p>
    <w:p>
      <w:r>
        <w:t>• Cosmological coordinates such as vacuum-energy density, dark-matter abundance, relic histories, renormalization thresholds, and subtraction rules require additional dynamical or environmental input.</w:t>
      </w:r>
    </w:p>
    <w:p>
      <w:pPr>
        <w:pStyle w:val="Heading1"/>
        <w:spacing w:before="240" w:after="120" w:line="252" w:lineRule="auto"/>
        <w:keepNext/>
      </w:pPr>
      <w:r>
        <w:t>Conclusion and Future Work</w:t>
      </w:r>
    </w:p>
    <w:p>
      <w:pPr>
        <w:spacing w:before="0" w:after="120" w:line="259" w:lineRule="auto"/>
      </w:pPr>
      <w:r>
        <w:t>This manuscript has not tried to win credibility by claiming that every observed number in nature has been derived. Its central result is narrower and, for that reason, stronger: a finite Clifford-geometric construction can be audited into a coherent law-space, while the coordinates that require vacuum history, boundary data, or additional family axioms remain explicitly sealed. The final form of ASHA is therefore a theorem board rather than a slogan. It separates native derivation, bridge-level coefficient transport, quarantined axiom capacity, and environmental observables.</w:t>
      </w:r>
    </w:p>
    <w:p>
      <w:pPr>
        <w:spacing w:before="0" w:after="120" w:line="259" w:lineRule="auto"/>
      </w:pPr>
      <w:r>
        <w:t>The native tower begins with the finite measurement ladder supplied by Cℓ(1,7) and the exterior algebra of R⁸. Inside the middle chamber Λ⁴R⁸, Boolean incidence and G₂ calibration produce a seven-dimensional contact vacuum K₇. The B-sector quadratic action then promotes this intersection from a static overlap to a finite zero-energy sector. This is the first major structural result: the contact vacuum is not inserted as a physical field, but selected as an exact finite object.</w:t>
      </w:r>
    </w:p>
    <w:p>
      <w:pPr>
        <w:spacing w:before="0" w:after="120" w:line="259" w:lineRule="auto"/>
      </w:pPr>
      <w:r>
        <w:t>The next layer is the off-diagonal geometry of projected connections. The early attempt to compress gauge structure directly into a finite Boolean boundary fails; the repair comes from keeping the off-diagonal connection blocks. Those blocks provide the finite Higgs/contact seed. The Fock matter carrier supplies the finite charge bookkeeping, while the electroweak charge skeleton recovers the hypercharge relation, the left-doublet table, and the boundary normalization k_Y = 5/3, giving sin²θ* = 3/8 at the appropriate boundary level. The mature category is then the almost-commutative product geometry M × F, with finite algebra A_F = ℂ ⊕ ℍ ⊕ M₃(ℂ), real structure J, and first-order compatibility.</w:t>
      </w:r>
    </w:p>
    <w:p>
      <w:pPr>
        <w:spacing w:before="60" w:after="160"/>
        <w:jc w:val="center"/>
      </w:pPr>
      <w:r>
        <w:drawing>
          <wp:inline xmlns:a="http://schemas.openxmlformats.org/drawingml/2006/main" xmlns:pic="http://schemas.openxmlformats.org/drawingml/2006/picture">
            <wp:extent cx="5760720" cy="462280"/>
            <wp:docPr id="63" name="Picture 63"/>
            <wp:cNvGraphicFramePr>
              <a:graphicFrameLocks noChangeAspect="1"/>
            </wp:cNvGraphicFramePr>
            <a:graphic>
              <a:graphicData uri="http://schemas.openxmlformats.org/drawingml/2006/picture">
                <pic:pic>
                  <pic:nvPicPr>
                    <pic:cNvPr id="0" name="conclusion_chain.png"/>
                    <pic:cNvPicPr/>
                  </pic:nvPicPr>
                  <pic:blipFill>
                    <a:blip r:embed="rId78"/>
                    <a:stretch>
                      <a:fillRect/>
                    </a:stretch>
                  </pic:blipFill>
                  <pic:spPr>
                    <a:xfrm>
                      <a:off x="0" y="0"/>
                      <a:ext cx="5760720" cy="462280"/>
                    </a:xfrm>
                    <a:prstGeom prst="rect"/>
                  </pic:spPr>
                </pic:pic>
              </a:graphicData>
            </a:graphic>
          </wp:inline>
        </w:drawing>
      </w:r>
    </w:p>
    <w:p>
      <w:pPr>
        <w:spacing w:before="0" w:after="120" w:line="259" w:lineRule="auto"/>
      </w:pPr>
      <w:r>
        <w:t>Within this mature architecture, the Higgs result is best understood as a bridge-level coefficient result, not as an unconstrained numerical fit. The Higgs is supported as a finite one-form on Dirac edges rather than as a node-counted scalar. This change matters historically because earlier node-based noncommutative-geometric scalar normalizations led to a high Higgs-mass estimate near 170 GeV. The ASHA edge-support lane, together with the CCM coefficient arithmetic and the Pfaffian scale lane, yields the tree-level proxy m_H ≈ 124.925 GeV. This does not replace loop-level Standard Model phenomenology, but it is a meaningful finite-geometric correction to the scalar normalization problem.</w:t>
      </w:r>
    </w:p>
    <w:p>
      <w:pPr>
        <w:spacing w:before="60" w:after="160"/>
        <w:jc w:val="center"/>
      </w:pPr>
      <w:r>
        <w:drawing>
          <wp:inline xmlns:a="http://schemas.openxmlformats.org/drawingml/2006/main" xmlns:pic="http://schemas.openxmlformats.org/drawingml/2006/picture">
            <wp:extent cx="2834640" cy="227471"/>
            <wp:docPr id="64" name="Picture 64"/>
            <wp:cNvGraphicFramePr>
              <a:graphicFrameLocks noChangeAspect="1"/>
            </wp:cNvGraphicFramePr>
            <a:graphic>
              <a:graphicData uri="http://schemas.openxmlformats.org/drawingml/2006/picture">
                <pic:pic>
                  <pic:nvPicPr>
                    <pic:cNvPr id="0" name="conclusion_higgs_proxy.png"/>
                    <pic:cNvPicPr/>
                  </pic:nvPicPr>
                  <pic:blipFill>
                    <a:blip r:embed="rId79"/>
                    <a:stretch>
                      <a:fillRect/>
                    </a:stretch>
                  </pic:blipFill>
                  <pic:spPr>
                    <a:xfrm>
                      <a:off x="0" y="0"/>
                      <a:ext cx="2834640" cy="227471"/>
                    </a:xfrm>
                    <a:prstGeom prst="rect"/>
                  </pic:spPr>
                </pic:pic>
              </a:graphicData>
            </a:graphic>
          </wp:inline>
        </w:drawing>
      </w:r>
    </w:p>
    <w:p>
      <w:pPr>
        <w:spacing w:before="0" w:after="120" w:line="259" w:lineRule="auto"/>
      </w:pPr>
      <w:r>
        <w:t>The flavor sector gives the clearest example of the manuscript's discipline. The scalar lane was exhaustively tested and found to be flavor-blind. The contact q₄ invariant is exact and native, but it belongs to the contact spectral sector rather than to H_φ. The fermionic carrier was then audited and found to retain the standard trivial U(3)_gen multiplicity: color, chirality, hypercharge, B-L, and triality all provide important structure, but none gives a native three-generation family bundle. The 13 charged flavor moduli therefore remain sealed within native ASHA.</w:t>
      </w:r>
    </w:p>
    <w:p>
      <w:pPr>
        <w:spacing w:before="60" w:after="160"/>
        <w:jc w:val="center"/>
      </w:pPr>
      <w:r>
        <w:drawing>
          <wp:inline xmlns:a="http://schemas.openxmlformats.org/drawingml/2006/main" xmlns:pic="http://schemas.openxmlformats.org/drawingml/2006/picture">
            <wp:extent cx="3383280" cy="271498"/>
            <wp:docPr id="65" name="Picture 65"/>
            <wp:cNvGraphicFramePr>
              <a:graphicFrameLocks noChangeAspect="1"/>
            </wp:cNvGraphicFramePr>
            <a:graphic>
              <a:graphicData uri="http://schemas.openxmlformats.org/drawingml/2006/picture">
                <pic:pic>
                  <pic:nvPicPr>
                    <pic:cNvPr id="0" name="conclusion_flavor_firewall.png"/>
                    <pic:cNvPicPr/>
                  </pic:nvPicPr>
                  <pic:blipFill>
                    <a:blip r:embed="rId80"/>
                    <a:stretch>
                      <a:fillRect/>
                    </a:stretch>
                  </pic:blipFill>
                  <pic:spPr>
                    <a:xfrm>
                      <a:off x="0" y="0"/>
                      <a:ext cx="3383280" cy="271498"/>
                    </a:xfrm>
                    <a:prstGeom prst="rect"/>
                  </pic:spPr>
                </pic:pic>
              </a:graphicData>
            </a:graphic>
          </wp:inline>
        </w:drawing>
      </w:r>
    </w:p>
    <w:p>
      <w:pPr>
        <w:spacing w:before="0" w:after="120" w:line="259" w:lineRule="auto"/>
      </w:pPr>
      <w:r>
        <w:t>The later family-axiom gates are still valuable. They show the exact minimal pattern of extra structure required to obtain flavor capacity: K_gen supplies a hierarchy axis, X_gen supplies noncommuting real mixing capacity, and Y_gen supplies the complex quadrature required for CP-capable textures. Under this quarantined axiom chain, the charged sector can be represented by nine symbolic coefficients. But those coefficients are not predicted by the current finite geometry. They are boundary coordinates unless a future theorem derives the family source itself.</w:t>
      </w:r>
    </w:p>
    <w:p>
      <w:pPr>
        <w:spacing w:before="0" w:after="120" w:line="259" w:lineRule="auto"/>
      </w:pPr>
      <w:r>
        <w:t>The cosmological boundary is analogous. The finite law-space and spectral-action form identify the place where a cosmological term appears, but they do not by themselves determine the observed vacuum energy, dark-matter abundance, or cosmic history. The heavy Majorana thermal-overclosure result is especially important because it shows that the framework can falsify simple cosmological interpretations: a native heavy mode is not automatically a dark-matter particle. The holographic and dilaton pathways remain promising bridge directions, but they are not yet native predictions.</w:t>
      </w:r>
    </w:p>
    <w:p>
      <w:pPr>
        <w:pStyle w:val="Heading2"/>
        <w:spacing w:before="160" w:after="120"/>
        <w:keepNext/>
      </w:pPr>
      <w:r>
        <w:t>Future Work</w:t>
      </w:r>
    </w:p>
    <w:p>
      <w:pPr>
        <w:spacing w:before="0" w:after="120" w:line="259" w:lineRule="auto"/>
      </w:pPr>
      <w:r>
        <w:t>The next stage should be organized around proof obligations, not speculative additions. The most important future directions are the following.</w:t>
      </w:r>
    </w:p>
    <w:p>
      <w:pPr>
        <w:spacing w:before="0" w:after="60" w:line="252" w:lineRule="auto"/>
        <w:ind w:left="360" w:hanging="216"/>
      </w:pPr>
      <w:r>
        <w:t>• Convert the theorem atlas into a full proof manuscript, with each native claim paired to the corresponding finite construction, package, audit, and failure boundary.</w:t>
      </w:r>
    </w:p>
    <w:p>
      <w:pPr>
        <w:spacing w:before="0" w:after="60" w:line="252" w:lineRule="auto"/>
        <w:ind w:left="360" w:hanging="216"/>
      </w:pPr>
      <w:r>
        <w:t>• Refine the Higgs coefficient lane by distinguishing tree-level finite normalization, continuum matching, and loop-level corrections. The current 124.925 GeV proxy should remain explicitly tree-level until the full RG and matching bridge is theorem-gated.</w:t>
      </w:r>
    </w:p>
    <w:p>
      <w:pPr>
        <w:spacing w:before="0" w:after="60" w:line="252" w:lineRule="auto"/>
        <w:ind w:left="360" w:hanging="216"/>
      </w:pPr>
      <w:r>
        <w:t>• Investigate family-bundle extensions only as explicit axioms or future theorem candidates. The most disciplined route is to search for a native origin of the K/X/Y family source rather than fitting the nine symbolic coefficients.</w:t>
      </w:r>
    </w:p>
    <w:p>
      <w:pPr>
        <w:spacing w:before="0" w:after="60" w:line="252" w:lineRule="auto"/>
        <w:ind w:left="360" w:hanging="216"/>
      </w:pPr>
      <w:r>
        <w:t>• Develop the cosmology bridge separately from finite internal geometry. Any claim about dark matter, dark energy, or expansion history must include a dynamical state, thermal history, stability rule, subtraction mechanism, or holographic/dilaton boundary condition.</w:t>
      </w:r>
    </w:p>
    <w:p>
      <w:pPr>
        <w:spacing w:before="0" w:after="60" w:line="252" w:lineRule="auto"/>
        <w:ind w:left="360" w:hanging="216"/>
      </w:pPr>
      <w:r>
        <w:t>• Maintain the failed-route ledger as part of the theory. Every rejected route is a protection against numerology and a map of the exact mathematical jurisdiction of each object.</w:t>
      </w:r>
    </w:p>
    <w:p>
      <w:pPr>
        <w:pStyle w:val="Heading2"/>
        <w:spacing w:before="160" w:after="120"/>
        <w:keepNext/>
      </w:pPr>
      <w:r>
        <w:t>Final Statement</w:t>
      </w:r>
    </w:p>
    <w:p>
      <w:pPr>
        <w:spacing w:before="0" w:after="120" w:line="259" w:lineRule="auto"/>
      </w:pPr>
      <w:r>
        <w:t>ASHA's strongest form is not an inflationary claim that all things are already explained. Its strongest form is a disciplined finite-geometric program: derive what the geometry forces, bridge only where an audited coefficient lane exists, quarantine every extra axiom, and seal every environmental coordinate that the current theory cannot determine. On that standard, the project reaches a coherent conclusion. It provides a finite geometric board for the Standard Model law-space and its Higgs/coefficient architecture, while honestly preserving the flavor and cosmology frontiers as the next mathematically explicit boundaries.</w:t>
      </w:r>
    </w:p>
    <w:p>
      <w:pPr>
        <w:spacing w:before="60" w:after="160"/>
        <w:jc w:val="center"/>
      </w:pPr>
      <w:r>
        <w:drawing>
          <wp:inline xmlns:a="http://schemas.openxmlformats.org/drawingml/2006/main" xmlns:pic="http://schemas.openxmlformats.org/drawingml/2006/picture">
            <wp:extent cx="4206240" cy="337538"/>
            <wp:docPr id="66" name="Picture 66"/>
            <wp:cNvGraphicFramePr>
              <a:graphicFrameLocks noChangeAspect="1"/>
            </wp:cNvGraphicFramePr>
            <a:graphic>
              <a:graphicData uri="http://schemas.openxmlformats.org/drawingml/2006/picture">
                <pic:pic>
                  <pic:nvPicPr>
                    <pic:cNvPr id="0" name="conclusion_final_boundary.png"/>
                    <pic:cNvPicPr/>
                  </pic:nvPicPr>
                  <pic:blipFill>
                    <a:blip r:embed="rId81"/>
                    <a:stretch>
                      <a:fillRect/>
                    </a:stretch>
                  </pic:blipFill>
                  <pic:spPr>
                    <a:xfrm>
                      <a:off x="0" y="0"/>
                      <a:ext cx="4206240" cy="337538"/>
                    </a:xfrm>
                    <a:prstGeom prst="rect"/>
                  </pic:spPr>
                </pic:pic>
              </a:graphicData>
            </a:graphic>
          </wp:inline>
        </w:drawing>
      </w:r>
    </w:p>
    <w:p>
      <w:r>
        <w:rPr>
          <w:b/>
          <w:i w:val="0"/>
        </w:rPr>
        <w:t>Source Code and Reproducibility</w:t>
      </w:r>
    </w:p>
    <w:p>
      <w:r>
        <w:t xml:space="preserve">The theorem-gated ASHA Engine source code is organized as the Go module </w:t>
      </w:r>
      <w:hyperlink r:id="rId92">
        <w:r>
          <w:rPr>
            <w:color w:val="0563C1"/>
            <w:u w:val="single"/>
          </w:rPr>
          <w:t>github.com/bagherbal/asha-engine</w:t>
        </w:r>
      </w:hyperlink>
      <w:r>
        <w:t>. The reproducibility workspace in the project includes gate audits, theorem packages, artifact indexes, manuscript-source maps, and targeted test commands. If the public repository is mirrored or archived under a DOI in the future, this manuscript should cite the archival DOI in addition to the GitHub repository.</w:t>
      </w:r>
    </w:p>
    <w:p>
      <w:r>
        <w:rPr>
          <w:b/>
          <w:i w:val="0"/>
        </w:rPr>
        <w:t>Acknowledgments</w:t>
      </w:r>
    </w:p>
    <w:p>
      <w:r>
        <w:rPr>
          <w:b w:val="0"/>
          <w:i w:val="0"/>
        </w:rPr>
        <w:t>First, I thank God for our creation. I am grateful to every person who helps other people, even quietly and without recognition. Special thanks to all the people who were mentioned in this process, and also to the people I may have missed, for their ideas, questions, support, criticism, and care. I also thank the AI systems that helped with the long research and writing process, including ChatGPT, Claude, and Gemini. I hope these tools continue to be used in ways that help society, reduce suffering, and support honest knowledge.</w:t>
      </w:r>
    </w:p>
    <w:p>
      <w:pPr>
        <w:spacing w:after="160" w:line="259" w:lineRule="auto" w:before="360"/>
      </w:pPr>
      <w:r>
        <w:rPr>
          <w:rFonts w:ascii="Times New Roman" w:hAnsi="Times New Roman" w:eastAsia="Times New Roman"/>
          <w:b/>
          <w:i w:val="0"/>
          <w:sz w:val="36"/>
        </w:rPr>
        <w:t>REFERENCES</w:t>
      </w:r>
    </w:p>
    <w:p>
      <w:r>
        <w:t>[1] Hestenes, D. (1966). Space-Time Algebra. Gordon and Breach.</w:t>
      </w:r>
    </w:p>
    <w:p>
      <w:r>
        <w:t>[2] Lounesto, P. (2001). Clifford Algebras and Spinors (2nd ed.). Cambridge University Press.</w:t>
      </w:r>
    </w:p>
    <w:p>
      <w:r>
        <w:t>[3] Porteous, I. R. (1995). Clifford Algebras and the Classical Groups. Cambridge University Press.</w:t>
      </w:r>
    </w:p>
    <w:p>
      <w:r>
        <w:t>[4] Baez, J. C. (2002). The octonions. Bulletin of the American Mathematical Society, 39(2), 145–205.</w:t>
      </w:r>
    </w:p>
    <w:p>
      <w:r>
        <w:t>[5] Dixon, G. M. (1994). Division Algebras: Octonions, Quaternions, Complex Numbers and the Algebraic Design of Physics. Kluwer Academic Publishers.</w:t>
      </w:r>
    </w:p>
    <w:p>
      <w:r>
        <w:t>[6] Connes, A. (1994). Noncommutative Geometry. Academic Press.</w:t>
      </w:r>
    </w:p>
    <w:p>
      <w:r>
        <w:t>[7] Connes, A. (1996). Gravity coupled with matter and the foundation of non-commutative geometry. Communications in Mathematical Physics, 182, 155–176.</w:t>
      </w:r>
    </w:p>
    <w:p>
      <w:r>
        <w:t>[8] Connes, A., &amp; Lott, J. (1991). Particle models and noncommutative geometry. Nuclear Physics B - Proceedings Supplements, 18(2), 29–47.</w:t>
      </w:r>
    </w:p>
    <w:p>
      <w:r>
        <w:t>[9] Chamseddine, A. H., &amp; Connes, A. (1997). The spectral action principle. Communications in Mathematical Physics, 186, 731–750.</w:t>
      </w:r>
    </w:p>
    <w:p>
      <w:r>
        <w:t>[10] Chamseddine, A. H., Connes, A., &amp; Marcolli, M. (2007). Gravity and the Standard Model with neutrino mixing. Advances in Theoretical and Mathematical Physics, 11(6), 991–1089.</w:t>
      </w:r>
    </w:p>
    <w:p>
      <w:r>
        <w:t>[11] van Suijlekom, W. D. (2015). Noncommutative Geometry and Particle Physics. Springer.</w:t>
      </w:r>
    </w:p>
    <w:p>
      <w:r>
        <w:t>[12] Glashow, S. L. (1961). Partial-symmetries of weak interactions. Nuclear Physics, 22(4), 579–588.</w:t>
      </w:r>
    </w:p>
    <w:p>
      <w:r>
        <w:t>[13] Weinberg, S. (1967). A model of leptons. Physical Review Letters, 19(21), 1264–1266.</w:t>
      </w:r>
    </w:p>
    <w:p>
      <w:r>
        <w:t>[14] Salam, A. (1968). Weak and electromagnetic interactions. In N. Svartholm (Ed.), Elementary Particle Theory: Relativistic Groups and Analyticity (pp. 367–377). Almqvist &amp; Wiksell.</w:t>
      </w:r>
    </w:p>
    <w:p>
      <w:r>
        <w:t>[15] Higgs, P. W. (1964). Broken symmetries and the masses of gauge bosons. Physical Review Letters, 13(16), 508–509.</w:t>
      </w:r>
    </w:p>
    <w:p>
      <w:r>
        <w:t>[16] Englert, F., &amp; Brout, R. (1964). Broken symmetry and the mass of gauge vector mesons. Physical Review Letters, 13(9), 321–323.</w:t>
      </w:r>
    </w:p>
    <w:p>
      <w:r>
        <w:t>[17] Guralnik, G. S., Hagen, C. R., &amp; Kibble, T. W. B. (1964). Global conservation laws and massless particles. Physical Review Letters, 13(20), 585–587.</w:t>
      </w:r>
    </w:p>
    <w:p>
      <w:r>
        <w:t>[18] ATLAS Collaboration. (2012). Observation of a new particle in the search for the Standard Model Higgs boson with the ATLAS detector at the LHC. Physics Letters B, 716(1), 1–29.</w:t>
      </w:r>
    </w:p>
    <w:p>
      <w:r>
        <w:t>[19] CMS Collaboration. (2012). Observation of a new boson at a mass of 125 GeV with the CMS experiment at the LHC. Physics Letters B, 716(1), 30–61.</w:t>
      </w:r>
    </w:p>
    <w:p>
      <w:r>
        <w:t>[20] Cohen, A. G., Kaplan, D. B., &amp; Nelson, A. E. (1999). Effective field theory, black holes, and the cosmological constant. Physical Review Letters, 82(25), 4971–4974.</w:t>
      </w:r>
    </w:p>
    <w:p>
      <w:r>
        <w:t>[21] Atiyah, M. F., &amp; Singer, I. M. (1968). The index of elliptic operators: I. Annals of Mathematics, 87(3), 484–530.</w:t>
      </w:r>
    </w:p>
    <w:p>
      <w:r>
        <w:t>[22] Particle Data Group. (2024). Review of Particle Physics. Progress of Theoretical and Experimental Physics, 2024, 083C01.</w:t>
      </w:r>
    </w:p>
    <w:sectPr>
      <w:headerReference w:type="default" r:id="rId9"/>
      <w:footerReference w:type="default" r:id="rId10"/>
      <w:pgSz w:w="11906" w:h="16838" w:orient="portrait"/>
      <w:pgMar w:top="216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382" w:sz="1" w:space="6"/>
      </w:pBdr>
      <w:jc w:val="center"/>
    </w:pPr>
    <w:r>
      <w:rPr>
        <w:rFonts w:ascii="Century Gothic" w:cs="Century Gothic" w:eastAsia="Century Gothic" w:hAnsi="Century Gothic"/>
        <w:color w:val="C5A34C"/>
        <w:sz w:val="17"/>
        <w:szCs w:val="17"/>
      </w:rPr>
      <w:t xml:space="preserve">◈  </w:t>
    </w:r>
    <w:r>
      <w:rPr>
        <w:rFonts w:ascii="Century Gothic" w:cs="Century Gothic" w:eastAsia="Century Gothic" w:hAnsi="Century Gothic"/>
        <w:color w:val="6B7280"/>
        <w:sz w:val="20"/>
        <w:szCs w:val="20"/>
      </w:rPr>
      <w:fldChar w:fldCharType="begin"/>
      <w:instrText xml:space="preserve">PAGE</w:instrText>
      <w:fldChar w:fldCharType="separate"/>
      <w:fldChar w:fldCharType="end"/>
    </w:r>
    <w:r>
      <w:rPr>
        <w:rFonts w:ascii="Century Gothic" w:cs="Century Gothic" w:eastAsia="Century Gothic" w:hAnsi="Century Gothic"/>
        <w:color w:val="C5A34C"/>
        <w:sz w:val="17"/>
        <w:szCs w:val="17"/>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382" w:sz="1" w:space="6"/>
      </w:pBdr>
      <w:jc w:val="center"/>
    </w:pPr>
    <w:r>
      <w:rPr>
        <w:rFonts w:ascii="Century Gothic" w:cs="Century Gothic" w:eastAsia="Century Gothic" w:hAnsi="Century Gothic"/>
        <w:color w:val="C5A34C"/>
        <w:sz w:val="17"/>
        <w:szCs w:val="17"/>
      </w:rPr>
      <w:t xml:space="preserve">◈  </w:t>
    </w:r>
    <w:r>
      <w:rPr>
        <w:rFonts w:ascii="Century Gothic" w:cs="Century Gothic" w:eastAsia="Century Gothic" w:hAnsi="Century Gothic"/>
        <w:color w:val="6B7280"/>
        <w:sz w:val="20"/>
        <w:szCs w:val="20"/>
      </w:rPr>
      <w:fldChar w:fldCharType="begin"/>
      <w:instrText xml:space="preserve">PAGE</w:instrText>
      <w:fldChar w:fldCharType="separate"/>
      <w:fldChar w:fldCharType="end"/>
    </w:r>
    <w:r>
      <w:rPr>
        <w:rFonts w:ascii="Century Gothic" w:cs="Century Gothic" w:eastAsia="Century Gothic" w:hAnsi="Century Gothic"/>
        <w:color w:val="C5A34C"/>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Palatino Linotype" w:cs="Palatino Linotype" w:eastAsia="Palatino Linotype" w:hAnsi="Palatino Linotype"/>
          <w:color w:val="6B7280"/>
          <w:sz w:val="17"/>
          <w:szCs w:val="17"/>
        </w:rPr>
        <w:t xml:space="preserve">Placeholder footnote. Replace with actual reference.</w:t>
      </w:r>
    </w:p>
  </w:footnote>
  <w:footnote w:id="2">
    <w:p>
      <w:r>
        <w:rPr>
          <w:rStyle w:val="FootnoteReference"/>
        </w:rPr>
        <w:footnoteRef/>
      </w:r>
      <w:r>
        <w:rPr>
          <w:rFonts w:ascii="Palatino Linotype" w:cs="Palatino Linotype" w:eastAsia="Palatino Linotype" w:hAnsi="Palatino Linotype"/>
          <w:color w:val="6B7280"/>
          <w:sz w:val="17"/>
          <w:szCs w:val="17"/>
        </w:rPr>
        <w:t xml:space="preserve">See supplementary materials for derivation details.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382" w:sz="2" w:space="6"/>
      </w:pBdr>
      <w:spacing w:after="80"/>
      <w:jc w:val="center"/>
    </w:pPr>
    <w:r>
      <w:rPr>
        <w:rFonts w:ascii="Century Gothic" w:cs="Century Gothic" w:eastAsia="Century Gothic" w:hAnsi="Century Gothic"/>
        <w:color w:val="6B7280"/>
        <w:spacing w:val="80"/>
        <w:sz w:val="17"/>
        <w:szCs w:val="17"/>
      </w:rPr>
      <w:t>THE GEOMETRIC BOARD OF LAW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382" w:sz="2" w:space="6"/>
      </w:pBdr>
      <w:spacing w:after="80"/>
      <w:jc w:val="center"/>
    </w:pPr>
    <w:r>
      <w:rPr>
        <w:rFonts w:ascii="Century Gothic" w:cs="Century Gothic" w:eastAsia="Century Gothic" w:hAnsi="Century Gothic"/>
        <w:color w:val="6B7280"/>
        <w:spacing w:val="80"/>
        <w:sz w:val="17"/>
        <w:szCs w:val="17"/>
      </w:rPr>
      <w:t>THE GEOMETRIC BOARD OF LAW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entury Gothic" w:cs="Century Gothic" w:eastAsia="Century Gothic" w:hAnsi="Century Gothic"/>
        <w:color w:val="C5A34C"/>
        <w:sz w:val="22"/>
        <w:szCs w:val="22"/>
      </w:rPr>
    </w:lvl>
    <w:lvl w:ilvl="1" w15:tentative="1">
      <w:start w:val="1"/>
      <w:numFmt w:val="bullet"/>
      <w:lvlText w:val="○"/>
      <w:lvlJc w:val="left"/>
      <w:pPr>
        <w:ind w:left="1440" w:hanging="360"/>
      </w:pPr>
      <w:rPr>
        <w:rFonts w:ascii="Century Gothic" w:cs="Century Gothic" w:eastAsia="Century Gothic" w:hAnsi="Century Gothic"/>
        <w:color w:val="2E5090"/>
        <w:sz w:val="18"/>
        <w:szCs w:val="18"/>
      </w:rPr>
    </w:lvl>
  </w:abstractNum>
  <w:abstractNum w:abstractNumId="3" w15:restartNumberingAfterBreak="0">
    <w:multiLevelType w:val="hybridMultilevel"/>
    <w:lvl w:ilvl="0" w15:tentative="1">
      <w:start w:val="1"/>
      <w:numFmt w:val="decimal"/>
      <w:lvlText w:val="%1."/>
      <w:lvlJc w:val="left"/>
      <w:pPr>
        <w:ind w:left="720" w:hanging="360"/>
      </w:pPr>
      <w:rPr>
        <w:rFonts w:ascii="Century Gothic" w:cs="Century Gothic" w:eastAsia="Century Gothic" w:hAnsi="Century Gothic"/>
        <w:b/>
        <w:bCs/>
        <w:color w:val="1626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94" w:before="314"/>
      <w:outlineLvl w:val="0"/>
    </w:pPr>
    <w:rPr>
      <w:rFonts w:ascii="Century Gothic" w:cs="Century Gothic" w:eastAsia="Century Gothic" w:hAnsi="Century Gothic"/>
      <w:b/>
      <w:bCs/>
      <w:color w:val="0D1B3A"/>
      <w:sz w:val="58"/>
      <w:szCs w:val="58"/>
    </w:rPr>
  </w:style>
  <w:style w:type="paragraph" w:styleId="Heading2">
    <w:name w:val="Heading 2"/>
    <w:basedOn w:val="Normal"/>
    <w:next w:val="Normal"/>
    <w:qFormat/>
    <w:pPr>
      <w:spacing w:after="153" w:before="247"/>
      <w:outlineLvl w:val="1"/>
    </w:pPr>
    <w:rPr>
      <w:rFonts w:ascii="Century Gothic" w:cs="Century Gothic" w:eastAsia="Century Gothic" w:hAnsi="Century Gothic"/>
      <w:b/>
      <w:bCs/>
      <w:color w:val="16264A"/>
      <w:sz w:val="45"/>
      <w:szCs w:val="45"/>
    </w:rPr>
  </w:style>
  <w:style w:type="paragraph" w:styleId="Heading3">
    <w:name w:val="Heading 3"/>
    <w:basedOn w:val="Normal"/>
    <w:next w:val="Normal"/>
    <w:qFormat/>
    <w:pPr>
      <w:spacing w:after="120" w:before="194"/>
      <w:outlineLvl w:val="2"/>
    </w:pPr>
    <w:rPr>
      <w:rFonts w:ascii="Century Gothic" w:cs="Century Gothic" w:eastAsia="Century Gothic" w:hAnsi="Century Gothic"/>
      <w:b/>
      <w:bCs/>
      <w:color w:val="2E5090"/>
      <w:sz w:val="36"/>
      <w:szCs w:val="36"/>
    </w:rPr>
  </w:style>
  <w:style w:type="paragraph" w:styleId="Heading4">
    <w:name w:val="Heading 4"/>
    <w:basedOn w:val="Normal"/>
    <w:next w:val="Normal"/>
    <w:qFormat/>
    <w:pPr>
      <w:spacing w:after="74" w:before="153"/>
      <w:outlineLvl w:val="3"/>
    </w:pPr>
    <w:rPr>
      <w:rFonts w:ascii="Century Gothic" w:cs="Century Gothic" w:eastAsia="Century Gothic" w:hAnsi="Century Gothic"/>
      <w:b/>
      <w:bCs/>
      <w:i/>
      <w:iCs/>
      <w:color w:val="2E509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d11dd36ef75d1d00b73df0715e72ad58c41e56c.png"/><Relationship Id="rId12" Type="http://schemas.openxmlformats.org/officeDocument/2006/relationships/image" Target="media/61ec055e54b4128436a6e17de9662d39fdf81ddf.png"/><Relationship Id="rId13" Type="http://schemas.openxmlformats.org/officeDocument/2006/relationships/fontTable" Target="fontTable.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hyperlink" Target="https://github.com/bagherbal/asha-engin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2026-05-13T16:53:35.604Z</dcterms:created>
  <dcterms:modified xsi:type="dcterms:W3CDTF">2026-05-13T16:53:35.604Z</dcterms:modified>
  <dc:title>ASHA: A Theorem-Gated Finite-Geometric Board for Law-Space, Spectral Action, and Explicit Physical Firewalls</dc:title>
  <dc:subject>ASHA theorem-gated framework from Clifford algebra Cl(1,7)</dc:subject>
  <dc:description/>
</cp:coreProperties>
</file>

<file path=docProps/custom.xml><?xml version="1.0" encoding="utf-8"?>
<Properties xmlns="http://schemas.openxmlformats.org/officeDocument/2006/custom-properties" xmlns:vt="http://schemas.openxmlformats.org/officeDocument/2006/docPropsVTypes"/>
</file>