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200" w:before="0" w:line="288" w:lineRule="auto"/>
        <w:jc w:val="right"/>
      </w:pPr>
    </w:p>
    <w:p>
      <w:pPr>
        <w:bidi w:val="1"/>
        <w:spacing w:after="200" w:before="0" w:line="288" w:lineRule="auto"/>
        <w:jc w:val="right"/>
      </w:pPr>
    </w:p>
    <w:p>
      <w:pPr>
        <w:bidi w:val="1"/>
        <w:spacing w:after="200" w:before="0" w:line="288" w:lineRule="auto"/>
        <w:jc w:val="right"/>
      </w:pPr>
    </w:p>
    <w:p>
      <w:pPr>
        <w:bidi w:val="1"/>
        <w:spacing w:after="200" w:before="0" w:line="288" w:lineRule="auto"/>
        <w:jc w:val="right"/>
      </w:pPr>
    </w:p>
    <w:p>
      <w:pPr>
        <w:bidi w:val="1"/>
        <w:spacing w:after="40" w:before="0" w:line="288" w:lineRule="auto"/>
        <w:jc w:val="right"/>
      </w:pPr>
      <w:r>
        <w:rPr>
          <w:b/>
          <w:i w:val="0"/>
          <w:color w:val="173154"/>
          <w:sz w:val="48"/>
        </w:rPr>
        <w:t>رویه استاندارد فرآیندهای</w:t>
      </w:r>
    </w:p>
    <w:p>
      <w:pPr>
        <w:bidi w:val="1"/>
        <w:spacing w:after="240" w:before="0" w:line="288" w:lineRule="auto"/>
        <w:jc w:val="right"/>
      </w:pPr>
      <w:r>
        <w:rPr>
          <w:b/>
          <w:i w:val="0"/>
          <w:color w:val="173154"/>
          <w:sz w:val="48"/>
        </w:rPr>
        <w:t>تأمین، تولید، فروش و قیمت‌گذاری</w:t>
      </w:r>
    </w:p>
    <w:p>
      <w:pPr>
        <w:bidi w:val="1"/>
        <w:spacing w:after="200" w:before="0" w:line="240" w:lineRule="auto"/>
        <w:jc w:val="right"/>
      </w:pPr>
      <w:r>
        <w:rPr>
          <w:b w:val="0"/>
          <w:i w:val="0"/>
          <w:color w:val="333D4A"/>
          <w:sz w:val="22"/>
        </w:rPr>
        <w:t>مدل مرجع مبتنی بر ISO 9001:2015، چارچوب کنترل داخلی COSO (2013)، استانداردهای حسابداری و گزارشگری مالی IAS 2 و IFRS 15 و مدل Stage-Gate برای پروژه‌های راه‌اندازی</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4819"/>
        <w:gridCol w:w="4819"/>
      </w:tblGrid>
      <w:tr>
        <w:tc>
          <w:tcPr>
            <w:tcW w:type="dxa" w:w="238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20"/>
              </w:rPr>
              <w:t>کد سند</w:t>
            </w:r>
          </w:p>
        </w:tc>
        <w:tc>
          <w:tcPr>
            <w:tcW w:type="dxa" w:w="7257"/>
            <w:shd w:val="clear" w:color="auto" w:fill="FFFFFF"/>
            <w:tcMar>
              <w:top w:w="45" w:type="dxa"/>
              <w:left w:w="90" w:type="dxa"/>
              <w:bottom w:w="45" w:type="dxa"/>
              <w:right w:w="90" w:type="dxa"/>
            </w:tcMar>
            <w:vAlign w:val="center"/>
          </w:tcPr>
          <w:p>
            <w:pPr>
              <w:bidi w:val="1"/>
              <w:spacing w:after="0" w:before="0" w:line="276" w:lineRule="auto"/>
              <w:jc w:val="right"/>
            </w:pPr>
            <w:r>
              <w:rPr>
                <w:b w:val="0"/>
                <w:i w:val="0"/>
                <w:color w:val="1F2933"/>
                <w:sz w:val="20"/>
              </w:rPr>
              <w:t>SOP-OPS-001</w:t>
            </w:r>
          </w:p>
        </w:tc>
      </w:tr>
      <w:tr>
        <w:tc>
          <w:tcPr>
            <w:tcW w:type="dxa" w:w="238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20"/>
              </w:rPr>
              <w:t>نسخه</w:t>
            </w:r>
          </w:p>
        </w:tc>
        <w:tc>
          <w:tcPr>
            <w:tcW w:type="dxa" w:w="7257"/>
            <w:shd w:val="clear" w:color="auto" w:fill="FFFFFF"/>
            <w:tcMar>
              <w:top w:w="45" w:type="dxa"/>
              <w:left w:w="90" w:type="dxa"/>
              <w:bottom w:w="45" w:type="dxa"/>
              <w:right w:w="90" w:type="dxa"/>
            </w:tcMar>
            <w:vAlign w:val="center"/>
          </w:tcPr>
          <w:p>
            <w:pPr>
              <w:bidi w:val="1"/>
              <w:spacing w:after="0" w:before="0" w:line="276" w:lineRule="auto"/>
              <w:jc w:val="right"/>
            </w:pPr>
            <w:r>
              <w:rPr>
                <w:b w:val="0"/>
                <w:i w:val="0"/>
                <w:color w:val="1F2933"/>
                <w:sz w:val="20"/>
              </w:rPr>
              <w:t>۱.۰ — نهایی</w:t>
            </w:r>
          </w:p>
        </w:tc>
      </w:tr>
      <w:tr>
        <w:tc>
          <w:tcPr>
            <w:tcW w:type="dxa" w:w="238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20"/>
              </w:rPr>
              <w:t>تاریخ انتشار</w:t>
            </w:r>
          </w:p>
        </w:tc>
        <w:tc>
          <w:tcPr>
            <w:tcW w:type="dxa" w:w="7257"/>
            <w:shd w:val="clear" w:color="auto" w:fill="FFFFFF"/>
            <w:tcMar>
              <w:top w:w="45" w:type="dxa"/>
              <w:left w:w="90" w:type="dxa"/>
              <w:bottom w:w="45" w:type="dxa"/>
              <w:right w:w="90" w:type="dxa"/>
            </w:tcMar>
            <w:vAlign w:val="center"/>
          </w:tcPr>
          <w:p>
            <w:pPr>
              <w:bidi w:val="1"/>
              <w:spacing w:after="0" w:before="0" w:line="276" w:lineRule="auto"/>
              <w:jc w:val="right"/>
            </w:pPr>
            <w:r>
              <w:rPr>
                <w:b w:val="0"/>
                <w:i w:val="0"/>
                <w:color w:val="1F2933"/>
                <w:sz w:val="20"/>
              </w:rPr>
              <w:t>۲۲ سپتامبر ۲۰۲۶ (۱۴۰۵/۰۷/۰۲)</w:t>
            </w:r>
          </w:p>
        </w:tc>
      </w:tr>
      <w:tr>
        <w:tc>
          <w:tcPr>
            <w:tcW w:type="dxa" w:w="238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20"/>
              </w:rPr>
              <w:t>وضعیت</w:t>
            </w:r>
          </w:p>
        </w:tc>
        <w:tc>
          <w:tcPr>
            <w:tcW w:type="dxa" w:w="7257"/>
            <w:shd w:val="clear" w:color="auto" w:fill="FFFFFF"/>
            <w:tcMar>
              <w:top w:w="45" w:type="dxa"/>
              <w:left w:w="90" w:type="dxa"/>
              <w:bottom w:w="45" w:type="dxa"/>
              <w:right w:w="90" w:type="dxa"/>
            </w:tcMar>
            <w:vAlign w:val="center"/>
          </w:tcPr>
          <w:p>
            <w:pPr>
              <w:bidi w:val="1"/>
              <w:spacing w:after="0" w:before="0" w:line="276" w:lineRule="auto"/>
              <w:jc w:val="right"/>
            </w:pPr>
            <w:r>
              <w:rPr>
                <w:b w:val="0"/>
                <w:i w:val="0"/>
                <w:color w:val="1F2933"/>
                <w:sz w:val="20"/>
              </w:rPr>
              <w:t>تأییدشده برای اجرا، دانلود و ارائه</w:t>
            </w:r>
          </w:p>
        </w:tc>
      </w:tr>
      <w:tr>
        <w:tc>
          <w:tcPr>
            <w:tcW w:type="dxa" w:w="238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20"/>
              </w:rPr>
              <w:t>طبقه‌بندی</w:t>
            </w:r>
          </w:p>
        </w:tc>
        <w:tc>
          <w:tcPr>
            <w:tcW w:type="dxa" w:w="7257"/>
            <w:shd w:val="clear" w:color="auto" w:fill="FFFFFF"/>
            <w:tcMar>
              <w:top w:w="45" w:type="dxa"/>
              <w:left w:w="90" w:type="dxa"/>
              <w:bottom w:w="45" w:type="dxa"/>
              <w:right w:w="90" w:type="dxa"/>
            </w:tcMar>
            <w:vAlign w:val="center"/>
          </w:tcPr>
          <w:p>
            <w:pPr>
              <w:bidi w:val="1"/>
              <w:spacing w:after="0" w:before="0" w:line="276" w:lineRule="auto"/>
              <w:jc w:val="right"/>
            </w:pPr>
            <w:r>
              <w:rPr>
                <w:b w:val="0"/>
                <w:i w:val="0"/>
                <w:color w:val="1F2933"/>
                <w:sz w:val="20"/>
              </w:rPr>
              <w:t>داخلی — مدل مرجع مستقل از ساختار هر سازمان</w:t>
            </w:r>
          </w:p>
        </w:tc>
      </w:tr>
      <w:tr>
        <w:tc>
          <w:tcPr>
            <w:tcW w:type="dxa" w:w="238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20"/>
              </w:rPr>
              <w:t>مالک سند</w:t>
            </w:r>
          </w:p>
        </w:tc>
        <w:tc>
          <w:tcPr>
            <w:tcW w:type="dxa" w:w="7257"/>
            <w:shd w:val="clear" w:color="auto" w:fill="FFFFFF"/>
            <w:tcMar>
              <w:top w:w="45" w:type="dxa"/>
              <w:left w:w="90" w:type="dxa"/>
              <w:bottom w:w="45" w:type="dxa"/>
              <w:right w:w="90" w:type="dxa"/>
            </w:tcMar>
            <w:vAlign w:val="center"/>
          </w:tcPr>
          <w:p>
            <w:pPr>
              <w:bidi w:val="1"/>
              <w:spacing w:after="0" w:before="0" w:line="276" w:lineRule="auto"/>
              <w:jc w:val="right"/>
            </w:pPr>
            <w:r>
              <w:rPr>
                <w:b w:val="0"/>
                <w:i w:val="0"/>
                <w:color w:val="1F2933"/>
                <w:sz w:val="20"/>
              </w:rPr>
              <w:t>کارگروه تحلیل سیستم و فرآیند و مدیریت سازمانی</w:t>
            </w:r>
          </w:p>
        </w:tc>
      </w:tr>
      <w:tr>
        <w:tc>
          <w:tcPr>
            <w:tcW w:type="dxa" w:w="238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20"/>
              </w:rPr>
              <w:t>مکانیزم بازنگری</w:t>
            </w:r>
          </w:p>
        </w:tc>
        <w:tc>
          <w:tcPr>
            <w:tcW w:type="dxa" w:w="7257"/>
            <w:shd w:val="clear" w:color="auto" w:fill="FFFFFF"/>
            <w:tcMar>
              <w:top w:w="45" w:type="dxa"/>
              <w:left w:w="90" w:type="dxa"/>
              <w:bottom w:w="45" w:type="dxa"/>
              <w:right w:w="90" w:type="dxa"/>
            </w:tcMar>
            <w:vAlign w:val="center"/>
          </w:tcPr>
          <w:p>
            <w:pPr>
              <w:bidi w:val="1"/>
              <w:spacing w:after="0" w:before="0" w:line="276" w:lineRule="auto"/>
              <w:jc w:val="right"/>
            </w:pPr>
            <w:r>
              <w:rPr>
                <w:b w:val="0"/>
                <w:i w:val="0"/>
                <w:color w:val="1F2933"/>
                <w:sz w:val="20"/>
              </w:rPr>
              <w:t>سالانه یا پس از هر تغییر ساختاری یا بازنگری DOA</w:t>
            </w:r>
          </w:p>
        </w:tc>
      </w:tr>
    </w:tbl>
    <w:p>
      <w:pPr>
        <w:bidi w:val="1"/>
        <w:spacing w:after="200" w:before="0" w:line="288" w:lineRule="auto"/>
        <w:jc w:val="right"/>
      </w:pPr>
    </w:p>
    <w:p>
      <w:pPr>
        <w:bidi w:val="1"/>
        <w:spacing w:after="120" w:before="0" w:line="288" w:lineRule="auto"/>
        <w:jc w:val="right"/>
      </w:pPr>
      <w:r>
        <w:rPr>
          <w:b w:val="0"/>
          <w:i w:val="0"/>
          <w:color w:val="747F8D"/>
          <w:sz w:val="19"/>
        </w:rPr>
        <w:t>این سند یک «مدل مرجع» (Reference Model) است: ساختار، کنترل‌ها و معیارهای آن عمومی و مبتنی بر مراجع بین‌المللی است و برای به‌کارگیری مستقیم در هر سازمان، باید ارقام و عنوان‌های شاخصی آن توسط هیئت‌مدیره همان سازمان تنظیم و تأیید شود.</w:t>
      </w:r>
    </w:p>
    <w:p>
      <w:pPr>
        <w:bidi w:val="1"/>
        <w:spacing w:after="120" w:before="0" w:line="288" w:lineRule="auto"/>
        <w:jc w:val="right"/>
      </w:pP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D9E1EC"/>
              <w:left w:val="single" w:sz="4" w:space="0" w:color="D9E1EC"/>
              <w:bottom w:val="single" w:sz="4" w:space="0" w:color="D9E1EC"/>
              <w:right w:val="single" w:sz="24" w:space="0" w:color="2962A8"/>
            </w:tcBorders>
            <w:shd w:val="clear" w:color="auto" w:fill="E8F0FA"/>
            <w:tcMar>
              <w:top w:w="45" w:type="dxa"/>
              <w:left w:w="90" w:type="dxa"/>
              <w:bottom w:w="45" w:type="dxa"/>
              <w:right w:w="90" w:type="dxa"/>
            </w:tcMar>
            <w:vAlign w:val="center"/>
          </w:tcPr>
          <w:p>
            <w:pPr>
              <w:bidi w:val="1"/>
              <w:spacing w:after="40" w:before="0" w:line="288" w:lineRule="auto"/>
              <w:jc w:val="right"/>
            </w:pPr>
            <w:r>
              <w:rPr>
                <w:b/>
                <w:i w:val="0"/>
                <w:color w:val="173154"/>
                <w:sz w:val="21"/>
              </w:rPr>
              <w:t>چهار ستون اصلی این مدل</w:t>
            </w:r>
          </w:p>
          <w:p>
            <w:pPr>
              <w:bidi w:val="1"/>
              <w:spacing w:after="40" w:before="0" w:line="288" w:lineRule="auto"/>
              <w:jc w:val="right"/>
            </w:pPr>
            <w:r>
              <w:rPr>
                <w:b w:val="0"/>
                <w:i w:val="0"/>
                <w:color w:val="1F2933"/>
                <w:sz w:val="19"/>
              </w:rPr>
              <w:t>۱) کنترل فرآیندی بر مبنای ISO 9001:2015 (بند 8.4) — ۲) تفکیک وظایف (SoD) بر مبنای COSO و اصل ACRR — ۳) تطبیق چهارگانه پرداخت با اسناد (PO / GRN / QC / Invoice) — ۴) راه‌بری پروژه‌های راه‌اندازی با مدل Stage-Gate (چهارگانه تصمیم‌گیری Go / Kill / Hold / Recycle).</w:t>
            </w:r>
          </w:p>
        </w:tc>
      </w:tr>
    </w:tbl>
    <w:p>
      <w:pPr>
        <w:bidi w:val="1"/>
        <w:spacing w:after="60" w:before="0" w:line="288" w:lineRule="auto"/>
        <w:jc w:val="right"/>
      </w:pPr>
    </w:p>
    <w:p>
      <w:pPr>
        <w:bidi w:val="1"/>
        <w:spacing w:after="160" w:before="0" w:line="288" w:lineRule="auto"/>
        <w:jc w:val="right"/>
      </w:pP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173154"/>
              <w:left w:val="single" w:sz="4" w:space="0" w:color="173154"/>
              <w:bottom w:val="single" w:sz="4" w:space="0" w:color="173154"/>
              <w:right w:val="single" w:sz="4" w:space="0" w:color="173154"/>
            </w:tcBorders>
            <w:shd w:val="clear" w:color="auto" w:fill="173154"/>
            <w:tcMar>
              <w:top w:w="45" w:type="dxa"/>
              <w:left w:w="90" w:type="dxa"/>
              <w:bottom w:w="45" w:type="dxa"/>
              <w:right w:w="90" w:type="dxa"/>
            </w:tcMar>
            <w:vAlign w:val="center"/>
          </w:tcPr>
          <w:p>
            <w:pPr>
              <w:bidi w:val="1"/>
              <w:spacing w:after="0" w:before="0" w:line="276" w:lineRule="auto"/>
              <w:jc w:val="center"/>
            </w:pPr>
            <w:r>
              <w:rPr>
                <w:b w:val="0"/>
                <w:i w:val="0"/>
                <w:color w:val="D0DDEE"/>
                <w:sz w:val="18"/>
              </w:rPr>
              <w:t>تهیه و تنظیم: کارگروه تحلیل سیستم و فرآیند و مدیریت سازمانی — ۱۴۰۵</w:t>
            </w:r>
          </w:p>
        </w:tc>
      </w:tr>
    </w:tbl>
    <w:p>
      <w:r>
        <w:br w:type="page"/>
      </w:r>
    </w:p>
    <w:p>
      <w:pPr>
        <w:pBdr>
          <w:bottom w:val="single" w:sz="12" w:space="4" w:color="D4AF37"/>
        </w:pBdr>
        <w:bidi w:val="1"/>
        <w:spacing w:after="200" w:before="320" w:line="264" w:lineRule="auto"/>
        <w:jc w:val="right"/>
        <w:outlineLvl w:val="0"/>
      </w:pPr>
      <w:r>
        <w:rPr>
          <w:b/>
          <w:i w:val="0"/>
          <w:color w:val="173154"/>
          <w:sz w:val="30"/>
        </w:rPr>
        <w:t>فهرست مطالب</w:t>
      </w:r>
    </w:p>
    <w:p>
      <w:pPr>
        <w:bidi w:val="1"/>
        <w:spacing w:after="120" w:before="120" w:line="312" w:lineRule="auto"/>
        <w:jc w:val="right"/>
      </w:pPr>
      <w:r>
        <w:fldChar w:fldCharType="begin"/>
        <w:instrText xml:space="preserve"> TOC \o "1-2" \h \z \u </w:instrText>
        <w:fldChar w:fldCharType="separate"/>
      </w:r>
      <w:r>
        <w:rPr>
          <w:color w:val="747F8D"/>
          <w:sz w:val="19"/>
        </w:rPr>
        <w:t>برای درج شماره صفحات، در Word کل سند را انتخاب کنید (Ctrl+A) و سپس F9 را بزنید — یا هنگام باز شدن پیام به‌روزرسانی فیلدها، «بله» را انتخاب کنید.</w:t>
      </w:r>
      <w:r>
        <w:fldChar w:fldCharType="end"/>
      </w:r>
    </w:p>
    <w:p>
      <w:r>
        <w:br w:type="page"/>
      </w:r>
    </w:p>
    <w:p>
      <w:pPr>
        <w:pBdr>
          <w:bottom w:val="single" w:sz="12" w:space="4" w:color="D4AF37"/>
        </w:pBdr>
        <w:bidi w:val="1"/>
        <w:spacing w:after="200" w:before="320" w:line="264" w:lineRule="auto"/>
        <w:jc w:val="right"/>
        <w:outlineLvl w:val="0"/>
      </w:pPr>
      <w:r>
        <w:rPr>
          <w:b/>
          <w:i w:val="0"/>
          <w:color w:val="173154"/>
          <w:sz w:val="30"/>
        </w:rPr>
        <w:t>خلاصهٔ مدیریتی</w:t>
      </w:r>
    </w:p>
    <w:p>
      <w:pPr>
        <w:bidi w:val="1"/>
        <w:spacing w:after="120" w:before="0" w:line="288" w:lineRule="auto"/>
        <w:jc w:val="right"/>
      </w:pPr>
      <w:r>
        <w:rPr>
          <w:b w:val="0"/>
          <w:i w:val="0"/>
          <w:color w:val="1F2933"/>
          <w:sz w:val="21"/>
        </w:rPr>
        <w:t>این رویه، یک مدل مرجع یکپارچه برای چهار فرآیند حیاتی سازمان — تأمین، تولید، فروش و قیمت‌گذاری — است. هدف، ایجاد زبان مشترک بین واحدها و حذف ابهام در این است که هر تصمیم «چه کسی، چه زمانی، با چه مدارکی و با چه سطحی از تفویض اختیار» گرفته می‌شود. چهار ستون اصلی مدل:</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4819"/>
        <w:gridCol w:w="4819"/>
      </w:tblGrid>
      <w:tr>
        <w:tc>
          <w:tcPr>
            <w:tcW w:type="dxa" w:w="4819"/>
            <w:tcBorders>
              <w:top w:val="single" w:sz="4" w:space="0" w:color="C9D6E8"/>
              <w:left w:val="single" w:sz="4" w:space="0" w:color="C9D6E8"/>
              <w:bottom w:val="single" w:sz="4" w:space="0" w:color="C9D6E8"/>
              <w:right w:val="single" w:sz="4" w:space="0" w:color="C9D6E8"/>
            </w:tcBorders>
            <w:shd w:val="clear" w:color="auto" w:fill="E8F0FA"/>
            <w:tcMar>
              <w:top w:w="45" w:type="dxa"/>
              <w:left w:w="90" w:type="dxa"/>
              <w:bottom w:w="45" w:type="dxa"/>
              <w:right w:w="90" w:type="dxa"/>
            </w:tcMar>
            <w:vAlign w:val="center"/>
          </w:tcPr>
          <w:p>
            <w:pPr>
              <w:bidi w:val="1"/>
              <w:spacing w:after="40" w:before="0" w:line="276" w:lineRule="auto"/>
              <w:jc w:val="right"/>
            </w:pPr>
            <w:r>
              <w:rPr>
                <w:b/>
                <w:i w:val="0"/>
                <w:color w:val="173154"/>
                <w:sz w:val="21"/>
              </w:rPr>
              <w:t>کنترل فرآیندی کیفیت</w:t>
            </w:r>
          </w:p>
          <w:p>
            <w:pPr>
              <w:bidi w:val="1"/>
              <w:spacing w:after="0" w:before="0" w:line="276" w:lineRule="auto"/>
              <w:jc w:val="right"/>
            </w:pPr>
            <w:r>
              <w:rPr>
                <w:b w:val="0"/>
                <w:i w:val="0"/>
                <w:color w:val="333D4A"/>
                <w:sz w:val="18"/>
              </w:rPr>
              <w:t>بر مبنای ISO 9001:2015 بند 8.4؛ هیچ فردی هم‌زمان اختیار، انبارداری، ثبت و تطبیق ندارد.</w:t>
            </w:r>
          </w:p>
        </w:tc>
        <w:tc>
          <w:tcPr>
            <w:tcW w:type="dxa" w:w="4819"/>
            <w:tcBorders>
              <w:top w:val="single" w:sz="4" w:space="0" w:color="C9D6E8"/>
              <w:left w:val="single" w:sz="4" w:space="0" w:color="C9D6E8"/>
              <w:bottom w:val="single" w:sz="4" w:space="0" w:color="C9D6E8"/>
              <w:right w:val="single" w:sz="4" w:space="0" w:color="C9D6E8"/>
            </w:tcBorders>
            <w:shd w:val="clear" w:color="auto" w:fill="E8F0FA"/>
            <w:tcMar>
              <w:top w:w="45" w:type="dxa"/>
              <w:left w:w="90" w:type="dxa"/>
              <w:bottom w:w="45" w:type="dxa"/>
              <w:right w:w="90" w:type="dxa"/>
            </w:tcMar>
            <w:vAlign w:val="center"/>
          </w:tcPr>
          <w:p>
            <w:pPr>
              <w:bidi w:val="1"/>
              <w:spacing w:after="40" w:before="0" w:line="276" w:lineRule="auto"/>
              <w:jc w:val="right"/>
            </w:pPr>
            <w:r>
              <w:rPr>
                <w:b/>
                <w:i w:val="0"/>
                <w:color w:val="173154"/>
                <w:sz w:val="21"/>
              </w:rPr>
              <w:t>تطبیق چهارگانه پرداخت</w:t>
            </w:r>
          </w:p>
          <w:p>
            <w:pPr>
              <w:bidi w:val="1"/>
              <w:spacing w:after="0" w:before="0" w:line="276" w:lineRule="auto"/>
              <w:jc w:val="right"/>
            </w:pPr>
            <w:r>
              <w:rPr>
                <w:b w:val="0"/>
                <w:i w:val="0"/>
                <w:color w:val="333D4A"/>
                <w:sz w:val="18"/>
              </w:rPr>
              <w:t>PO / GRN / QC / Invoice؛ برای ریسک‌های پایین، حداقل تطبیق سه‌نقطه‌ای.</w:t>
            </w:r>
          </w:p>
        </w:tc>
      </w:tr>
      <w:tr>
        <w:tc>
          <w:tcPr>
            <w:tcW w:type="dxa" w:w="4819"/>
            <w:tcBorders>
              <w:top w:val="single" w:sz="4" w:space="0" w:color="C9D6E8"/>
              <w:left w:val="single" w:sz="4" w:space="0" w:color="C9D6E8"/>
              <w:bottom w:val="single" w:sz="4" w:space="0" w:color="C9D6E8"/>
              <w:right w:val="single" w:sz="4" w:space="0" w:color="C9D6E8"/>
            </w:tcBorders>
            <w:shd w:val="clear" w:color="auto" w:fill="E8F0FA"/>
            <w:tcMar>
              <w:top w:w="45" w:type="dxa"/>
              <w:left w:w="90" w:type="dxa"/>
              <w:bottom w:w="45" w:type="dxa"/>
              <w:right w:w="90" w:type="dxa"/>
            </w:tcMar>
            <w:vAlign w:val="center"/>
          </w:tcPr>
          <w:p>
            <w:pPr>
              <w:bidi w:val="1"/>
              <w:spacing w:after="40" w:before="0" w:line="276" w:lineRule="auto"/>
              <w:jc w:val="right"/>
            </w:pPr>
            <w:r>
              <w:rPr>
                <w:b/>
                <w:i w:val="0"/>
                <w:color w:val="173154"/>
                <w:sz w:val="21"/>
              </w:rPr>
              <w:t>تفویض اختیار (DOA) نسبتی</w:t>
            </w:r>
          </w:p>
          <w:p>
            <w:pPr>
              <w:bidi w:val="1"/>
              <w:spacing w:after="0" w:before="0" w:line="276" w:lineRule="auto"/>
              <w:jc w:val="right"/>
            </w:pPr>
            <w:r>
              <w:rPr>
                <w:b w:val="0"/>
                <w:i w:val="0"/>
                <w:color w:val="333D4A"/>
                <w:sz w:val="18"/>
              </w:rPr>
              <w:t>چهار سطح از عملیاتی تا هیئت‌مدیره؛ مبنای سطوح: درصد از هزینه سالانه (B) و خالص‌فروش (S).</w:t>
            </w:r>
          </w:p>
        </w:tc>
        <w:tc>
          <w:tcPr>
            <w:tcW w:type="dxa" w:w="4819"/>
            <w:tcBorders>
              <w:top w:val="single" w:sz="4" w:space="0" w:color="C9D6E8"/>
              <w:left w:val="single" w:sz="4" w:space="0" w:color="C9D6E8"/>
              <w:bottom w:val="single" w:sz="4" w:space="0" w:color="C9D6E8"/>
              <w:right w:val="single" w:sz="4" w:space="0" w:color="C9D6E8"/>
            </w:tcBorders>
            <w:shd w:val="clear" w:color="auto" w:fill="E8F0FA"/>
            <w:tcMar>
              <w:top w:w="45" w:type="dxa"/>
              <w:left w:w="90" w:type="dxa"/>
              <w:bottom w:w="45" w:type="dxa"/>
              <w:right w:w="90" w:type="dxa"/>
            </w:tcMar>
            <w:vAlign w:val="center"/>
          </w:tcPr>
          <w:p>
            <w:pPr>
              <w:bidi w:val="1"/>
              <w:spacing w:after="40" w:before="0" w:line="276" w:lineRule="auto"/>
              <w:jc w:val="right"/>
            </w:pPr>
            <w:r>
              <w:rPr>
                <w:b/>
                <w:i w:val="0"/>
                <w:color w:val="173154"/>
                <w:sz w:val="21"/>
              </w:rPr>
              <w:t>مدیریت پروژهٔ راه‌اندازی</w:t>
            </w:r>
          </w:p>
          <w:p>
            <w:pPr>
              <w:bidi w:val="1"/>
              <w:spacing w:after="0" w:before="0" w:line="276" w:lineRule="auto"/>
              <w:jc w:val="right"/>
            </w:pPr>
            <w:r>
              <w:rPr>
                <w:b w:val="0"/>
                <w:i w:val="0"/>
                <w:color w:val="333D4A"/>
                <w:sz w:val="18"/>
              </w:rPr>
              <w:t>۶ مرحله و ۵ دروازه Stage-Gate؛ FSB و تصمیم سرمایه‌گذاری در دروازهٔ ۳.</w:t>
            </w:r>
          </w:p>
        </w:tc>
      </w:tr>
    </w:tbl>
    <w:p>
      <w:pPr>
        <w:bidi w:val="1"/>
        <w:spacing w:after="80" w:before="0" w:line="288" w:lineRule="auto"/>
        <w:jc w:val="right"/>
      </w:pPr>
    </w:p>
    <w:p>
      <w:pPr>
        <w:bidi w:val="1"/>
        <w:spacing w:after="120" w:before="0" w:line="288" w:lineRule="auto"/>
        <w:jc w:val="right"/>
      </w:pPr>
      <w:r>
        <w:rPr>
          <w:b/>
          <w:i w:val="0"/>
          <w:color w:val="1F2933"/>
          <w:sz w:val="21"/>
        </w:rPr>
        <w:t>شماره‌های کلیدی مدل:</w:t>
      </w:r>
    </w:p>
    <w:p>
      <w:pPr>
        <w:bidi w:val="1"/>
        <w:spacing w:after="80" w:before="0" w:line="288" w:lineRule="auto"/>
        <w:ind w:left="312"/>
        <w:jc w:val="right"/>
      </w:pPr>
      <w:r>
        <w:rPr>
          <w:b/>
          <w:i w:val="0"/>
          <w:color w:val="9E801A"/>
          <w:sz w:val="21"/>
        </w:rPr>
        <w:t xml:space="preserve">•  </w:t>
      </w:r>
      <w:r>
        <w:rPr>
          <w:b w:val="0"/>
          <w:i w:val="0"/>
          <w:color w:val="1F2933"/>
          <w:sz w:val="21"/>
        </w:rPr>
        <w:t>سطح‌بندی ریسک بر مبنای فرمول عملیاتی (مبلغ × ریسک طرف معامله × نوسان قیمت) در ۵ سطح و کنترل‌های متناسب.</w:t>
      </w:r>
    </w:p>
    <w:p>
      <w:pPr>
        <w:bidi w:val="1"/>
        <w:spacing w:after="80" w:before="0" w:line="288" w:lineRule="auto"/>
        <w:ind w:left="312"/>
        <w:jc w:val="right"/>
      </w:pPr>
      <w:r>
        <w:rPr>
          <w:b/>
          <w:i w:val="0"/>
          <w:color w:val="9E801A"/>
          <w:sz w:val="21"/>
        </w:rPr>
        <w:t xml:space="preserve">•  </w:t>
      </w:r>
      <w:r>
        <w:rPr>
          <w:b w:val="0"/>
          <w:i w:val="0"/>
          <w:color w:val="1F2933"/>
          <w:sz w:val="21"/>
        </w:rPr>
        <w:t>حداقل ۳ نقل قول برای خرید کلاس A؛ تأیید قیمت خرید فقط از طریق فرایند قیمت‌گذاری (بند 6.6).</w:t>
      </w:r>
    </w:p>
    <w:p>
      <w:pPr>
        <w:bidi w:val="1"/>
        <w:spacing w:after="80" w:before="0" w:line="288" w:lineRule="auto"/>
        <w:ind w:left="312"/>
        <w:jc w:val="right"/>
      </w:pPr>
      <w:r>
        <w:rPr>
          <w:b/>
          <w:i w:val="0"/>
          <w:color w:val="9E801A"/>
          <w:sz w:val="21"/>
        </w:rPr>
        <w:t xml:space="preserve">•  </w:t>
      </w:r>
      <w:r>
        <w:rPr>
          <w:b w:val="0"/>
          <w:i w:val="0"/>
          <w:color w:val="1F2933"/>
          <w:sz w:val="21"/>
        </w:rPr>
        <w:t>کنترل کیفیت مستقل از خرید، انبار و تولید؛ ترخیص نهایی هرگز توسط واحد تولیدکننده (کنترل غیرقابل حذف).</w:t>
      </w:r>
    </w:p>
    <w:p>
      <w:pPr>
        <w:bidi w:val="1"/>
        <w:spacing w:after="80" w:before="0" w:line="288" w:lineRule="auto"/>
        <w:ind w:left="312"/>
        <w:jc w:val="right"/>
      </w:pPr>
      <w:r>
        <w:rPr>
          <w:b/>
          <w:i w:val="0"/>
          <w:color w:val="9E801A"/>
          <w:sz w:val="21"/>
        </w:rPr>
        <w:t xml:space="preserve">•  </w:t>
      </w:r>
      <w:r>
        <w:rPr>
          <w:b w:val="0"/>
          <w:i w:val="0"/>
          <w:color w:val="1F2933"/>
          <w:sz w:val="21"/>
        </w:rPr>
        <w:t>هدف‌های عملیاتی نمونه: OTD بیش از ۹۵٪، DPPM کمتر از ۱۰۰۰، DSO کمتر از ۳۰ روز، ضایعات کمتر از ۲٪، فروش زیر کف قیمت کمتر از ۵٪.</w:t>
      </w:r>
    </w:p>
    <w:p>
      <w:pPr>
        <w:pBdr>
          <w:bottom w:val="single" w:sz="12" w:space="4" w:color="D4AF37"/>
        </w:pBdr>
        <w:bidi w:val="1"/>
        <w:spacing w:after="200" w:before="320" w:line="264" w:lineRule="auto"/>
        <w:jc w:val="right"/>
        <w:outlineLvl w:val="0"/>
      </w:pPr>
      <w:r>
        <w:rPr>
          <w:b/>
          <w:i w:val="0"/>
          <w:color w:val="9E801A"/>
          <w:sz w:val="30"/>
        </w:rPr>
        <w:t xml:space="preserve">فصل ۱ — </w:t>
      </w:r>
      <w:r>
        <w:rPr>
          <w:b/>
          <w:i w:val="0"/>
          <w:color w:val="173154"/>
          <w:sz w:val="30"/>
        </w:rPr>
        <w:t>مراجع و چارچوب استانداردها</w:t>
      </w:r>
    </w:p>
    <w:p>
      <w:pPr>
        <w:bidi w:val="1"/>
        <w:spacing w:after="120" w:before="0" w:line="288" w:lineRule="auto"/>
        <w:jc w:val="right"/>
      </w:pPr>
      <w:r>
        <w:rPr>
          <w:b w:val="0"/>
          <w:i w:val="0"/>
          <w:color w:val="1F2933"/>
          <w:sz w:val="21"/>
        </w:rPr>
        <w:t>این رویه بر شش مرجع اصلی استوار است. هر بند از رویه به بند مشخص مرجع مربوطه ارجاع می‌دهد تا سازمان بتواند تغییرات مرجع را در مدل بازتاب دهد.</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204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استاندارد / مرجع</w:t>
            </w:r>
          </w:p>
        </w:tc>
        <w:tc>
          <w:tcPr>
            <w:tcW w:type="dxa" w:w="3742"/>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نقش در این مدل</w:t>
            </w:r>
          </w:p>
        </w:tc>
        <w:tc>
          <w:tcPr>
            <w:tcW w:type="dxa" w:w="3855"/>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بند‌های کلیدی</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ISO 9001:2015</w:t>
            </w:r>
          </w:p>
        </w:tc>
        <w:tc>
          <w:tcPr>
            <w:tcW w:type="dxa" w:w="3742"/>
            <w:tcMar>
              <w:top w:w="45" w:type="dxa"/>
              <w:left w:w="90" w:type="dxa"/>
              <w:bottom w:w="45" w:type="dxa"/>
              <w:right w:w="90" w:type="dxa"/>
            </w:tcMar>
            <w:vAlign w:val="center"/>
          </w:tcPr>
          <w:p>
            <w:pPr>
              <w:bidi w:val="1"/>
              <w:spacing w:after="0" w:before="0" w:line="276" w:lineRule="auto"/>
              <w:jc w:val="right"/>
            </w:pPr>
            <w:r>
              <w:rPr>
                <w:b w:val="0"/>
                <w:i w:val="0"/>
                <w:color w:val="1F2933"/>
                <w:sz w:val="18"/>
              </w:rPr>
              <w:t>کنترل فرآیندی کیفیت در تمام چرخهٔ تأمین تا فروش</w:t>
            </w:r>
          </w:p>
        </w:tc>
        <w:tc>
          <w:tcPr>
            <w:tcW w:type="dxa" w:w="3855"/>
            <w:tcMar>
              <w:top w:w="45" w:type="dxa"/>
              <w:left w:w="90" w:type="dxa"/>
              <w:bottom w:w="45" w:type="dxa"/>
              <w:right w:w="90" w:type="dxa"/>
            </w:tcMar>
            <w:vAlign w:val="center"/>
          </w:tcPr>
          <w:p>
            <w:pPr>
              <w:bidi w:val="1"/>
              <w:spacing w:after="0" w:before="0" w:line="276" w:lineRule="auto"/>
              <w:jc w:val="right"/>
            </w:pPr>
            <w:r>
              <w:rPr>
                <w:b w:val="0"/>
                <w:i w:val="0"/>
                <w:color w:val="1F2933"/>
                <w:sz w:val="18"/>
              </w:rPr>
              <w:t>بند 8.4 (تأمین بیرونی)، 8.5 تا 8.7 (تولید و ترخیص)</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ISO 31000:2018</w:t>
            </w:r>
          </w:p>
        </w:tc>
        <w:tc>
          <w:tcPr>
            <w:tcW w:type="dxa" w:w="3742"/>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رویکرد ریسک‌محور و تناسب کنترل‌ها با حجم معامله</w:t>
            </w:r>
          </w:p>
        </w:tc>
        <w:tc>
          <w:tcPr>
            <w:tcW w:type="dxa" w:w="385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مفهوم هدف کنترل، سطوح کنترل</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COSO 2013 (Internal Control)</w:t>
            </w:r>
          </w:p>
        </w:tc>
        <w:tc>
          <w:tcPr>
            <w:tcW w:type="dxa" w:w="3742"/>
            <w:tcMar>
              <w:top w:w="45" w:type="dxa"/>
              <w:left w:w="90" w:type="dxa"/>
              <w:bottom w:w="45" w:type="dxa"/>
              <w:right w:w="90" w:type="dxa"/>
            </w:tcMar>
            <w:vAlign w:val="center"/>
          </w:tcPr>
          <w:p>
            <w:pPr>
              <w:bidi w:val="1"/>
              <w:spacing w:after="0" w:before="0" w:line="276" w:lineRule="auto"/>
              <w:jc w:val="right"/>
            </w:pPr>
            <w:r>
              <w:rPr>
                <w:b w:val="0"/>
                <w:i w:val="0"/>
                <w:color w:val="1F2933"/>
                <w:sz w:val="18"/>
              </w:rPr>
              <w:t>چارچوب کنترل داخلی و تفکیک وظایف</w:t>
            </w:r>
          </w:p>
        </w:tc>
        <w:tc>
          <w:tcPr>
            <w:tcW w:type="dxa" w:w="3855"/>
            <w:tcMar>
              <w:top w:w="45" w:type="dxa"/>
              <w:left w:w="90" w:type="dxa"/>
              <w:bottom w:w="45" w:type="dxa"/>
              <w:right w:w="90" w:type="dxa"/>
            </w:tcMar>
            <w:vAlign w:val="center"/>
          </w:tcPr>
          <w:p>
            <w:pPr>
              <w:bidi w:val="1"/>
              <w:spacing w:after="0" w:before="0" w:line="276" w:lineRule="auto"/>
              <w:jc w:val="right"/>
            </w:pPr>
            <w:r>
              <w:rPr>
                <w:b w:val="0"/>
                <w:i w:val="0"/>
                <w:color w:val="1F2933"/>
                <w:sz w:val="18"/>
              </w:rPr>
              <w:t>محور کنترل عملیاتی، اصل ACRR</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IAS 2 (موجودی کالا)</w:t>
            </w:r>
          </w:p>
        </w:tc>
        <w:tc>
          <w:tcPr>
            <w:tcW w:type="dxa" w:w="3742"/>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روش بهای تمام‌شده استاندارد</w:t>
            </w:r>
          </w:p>
        </w:tc>
        <w:tc>
          <w:tcPr>
            <w:tcW w:type="dxa" w:w="385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هزینه‌های مستقیم، نرخ‌های نرمال‌سازی‌شده</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IFRS 15</w:t>
            </w:r>
          </w:p>
        </w:tc>
        <w:tc>
          <w:tcPr>
            <w:tcW w:type="dxa" w:w="3742"/>
            <w:tcMar>
              <w:top w:w="45" w:type="dxa"/>
              <w:left w:w="90" w:type="dxa"/>
              <w:bottom w:w="45" w:type="dxa"/>
              <w:right w:w="90" w:type="dxa"/>
            </w:tcMar>
            <w:vAlign w:val="center"/>
          </w:tcPr>
          <w:p>
            <w:pPr>
              <w:bidi w:val="1"/>
              <w:spacing w:after="0" w:before="0" w:line="276" w:lineRule="auto"/>
              <w:jc w:val="right"/>
            </w:pPr>
            <w:r>
              <w:rPr>
                <w:b w:val="0"/>
                <w:i w:val="0"/>
                <w:color w:val="1F2933"/>
                <w:sz w:val="18"/>
              </w:rPr>
              <w:t>شناسایی درآمد در فرآیند فروش</w:t>
            </w:r>
          </w:p>
        </w:tc>
        <w:tc>
          <w:tcPr>
            <w:tcW w:type="dxa" w:w="3855"/>
            <w:tcMar>
              <w:top w:w="45" w:type="dxa"/>
              <w:left w:w="90" w:type="dxa"/>
              <w:bottom w:w="45" w:type="dxa"/>
              <w:right w:w="90" w:type="dxa"/>
            </w:tcMar>
            <w:vAlign w:val="center"/>
          </w:tcPr>
          <w:p>
            <w:pPr>
              <w:bidi w:val="1"/>
              <w:spacing w:after="0" w:before="0" w:line="276" w:lineRule="auto"/>
              <w:jc w:val="right"/>
            </w:pPr>
            <w:r>
              <w:rPr>
                <w:b w:val="0"/>
                <w:i w:val="0"/>
                <w:color w:val="1F2933"/>
                <w:sz w:val="18"/>
              </w:rPr>
              <w:t>پنج مرحلهٔ شناسایی درآمد</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Stage-Gate (Cooper, 1990; 2008)</w:t>
            </w:r>
          </w:p>
        </w:tc>
        <w:tc>
          <w:tcPr>
            <w:tcW w:type="dxa" w:w="3742"/>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مدیریت پروژه‌های راه‌اندازی محصول/خط</w:t>
            </w:r>
          </w:p>
        </w:tc>
        <w:tc>
          <w:tcPr>
            <w:tcW w:type="dxa" w:w="385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۶ مرحله، ۵ دروازه، تصمیم‌های دروازه</w:t>
            </w:r>
          </w:p>
        </w:tc>
      </w:tr>
    </w:tbl>
    <w:p>
      <w:pPr>
        <w:bidi w:val="1"/>
        <w:spacing w:after="160" w:before="200" w:line="264" w:lineRule="auto"/>
        <w:jc w:val="right"/>
        <w:outlineLvl w:val="1"/>
      </w:pPr>
      <w:r>
        <w:rPr>
          <w:b/>
          <w:i w:val="0"/>
          <w:color w:val="1F4E8C"/>
          <w:sz w:val="25"/>
        </w:rPr>
        <w:t>1.2  مراتب استفاده از مراجع</w:t>
      </w:r>
    </w:p>
    <w:p>
      <w:pPr>
        <w:bidi w:val="1"/>
        <w:spacing w:after="120" w:before="0" w:line="288" w:lineRule="auto"/>
        <w:jc w:val="right"/>
      </w:pPr>
      <w:r>
        <w:rPr>
          <w:b w:val="0"/>
          <w:i w:val="0"/>
          <w:color w:val="1F2933"/>
          <w:sz w:val="21"/>
        </w:rPr>
        <w:t>در صورت تعارض، ترتیب اولویت: سیاست‌های ابلاغی هیئت‌مدیره؛ سپس الزامات استانداردهای ISO/IAS/IFRS در قلمرو سازمان؛ سپس معیارهای این مدل مرجع؛ و در نهایت بهترین عملکردهای صنعت. این رویه جایگزین الزامات قانونی و رگولاتوری کشور محل فعالیت نیست.</w:t>
      </w:r>
    </w:p>
    <w:p>
      <w:pPr>
        <w:pBdr>
          <w:bottom w:val="single" w:sz="12" w:space="4" w:color="D4AF37"/>
        </w:pBdr>
        <w:bidi w:val="1"/>
        <w:spacing w:after="200" w:before="320" w:line="264" w:lineRule="auto"/>
        <w:jc w:val="right"/>
        <w:outlineLvl w:val="0"/>
      </w:pPr>
      <w:r>
        <w:rPr>
          <w:b/>
          <w:i w:val="0"/>
          <w:color w:val="9E801A"/>
          <w:sz w:val="30"/>
        </w:rPr>
        <w:t xml:space="preserve">فصل ۲ — </w:t>
      </w:r>
      <w:r>
        <w:rPr>
          <w:b/>
          <w:i w:val="0"/>
          <w:color w:val="173154"/>
          <w:sz w:val="30"/>
        </w:rPr>
        <w:t>اصول حاکمیتی پایه</w:t>
      </w:r>
    </w:p>
    <w:p>
      <w:pPr>
        <w:bidi w:val="1"/>
        <w:spacing w:after="120" w:before="0" w:line="288" w:lineRule="auto"/>
        <w:jc w:val="right"/>
      </w:pPr>
      <w:r>
        <w:rPr>
          <w:b w:val="0"/>
          <w:i w:val="0"/>
          <w:color w:val="1F2933"/>
          <w:sz w:val="21"/>
        </w:rPr>
        <w:t>پنج اصل زیر ستون فقرات کل مدل است و در تمام چهار فرآیند اعمال می‌شود. این اصول «غیرقابل حذف» هستند (فصل 9).</w:t>
      </w:r>
    </w:p>
    <w:p>
      <w:pPr>
        <w:bidi w:val="1"/>
        <w:spacing w:after="160" w:before="200" w:line="264" w:lineRule="auto"/>
        <w:jc w:val="right"/>
        <w:outlineLvl w:val="1"/>
      </w:pPr>
      <w:r>
        <w:rPr>
          <w:b/>
          <w:i w:val="0"/>
          <w:color w:val="1F4E8C"/>
          <w:sz w:val="25"/>
        </w:rPr>
        <w:t>2.1  تفکیک وظایف (SoD) — اصل ACRR</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D9E1EC"/>
              <w:left w:val="single" w:sz="4" w:space="0" w:color="D9E1EC"/>
              <w:bottom w:val="single" w:sz="4" w:space="0" w:color="D9E1EC"/>
              <w:right w:val="single" w:sz="24" w:space="0" w:color="2962A8"/>
            </w:tcBorders>
            <w:shd w:val="clear" w:color="auto" w:fill="E8F0FA"/>
            <w:tcMar>
              <w:top w:w="45" w:type="dxa"/>
              <w:left w:w="90" w:type="dxa"/>
              <w:bottom w:w="45" w:type="dxa"/>
              <w:right w:w="90" w:type="dxa"/>
            </w:tcMar>
            <w:vAlign w:val="center"/>
          </w:tcPr>
          <w:p>
            <w:pPr>
              <w:bidi w:val="1"/>
              <w:spacing w:after="40" w:before="0" w:line="288" w:lineRule="auto"/>
              <w:jc w:val="right"/>
            </w:pPr>
            <w:r>
              <w:rPr>
                <w:b/>
                <w:i w:val="0"/>
                <w:color w:val="173154"/>
                <w:sz w:val="21"/>
              </w:rPr>
              <w:t>اصل تناسب — تعریف عملیاتی</w:t>
            </w:r>
          </w:p>
          <w:p>
            <w:pPr>
              <w:bidi w:val="1"/>
              <w:spacing w:after="40" w:before="0" w:line="288" w:lineRule="auto"/>
              <w:jc w:val="right"/>
            </w:pPr>
            <w:r>
              <w:rPr>
                <w:b w:val="0"/>
                <w:i w:val="0"/>
                <w:color w:val="1F2933"/>
                <w:sz w:val="19"/>
              </w:rPr>
              <w:t>شدت کنترل در هر معامله با «حاصل‌ضرب سه ضریب» می‌آید: (مبلغ / معامله) × (ریسک تأمین‌کننده/مشتری) × (نوسان قیمت دارایی). دو خطای رایج: ۱) یکسان‌سازی کنترل روی خرید ۵ میلیونی و ۵ میلیاردی — بوروکراسی و مرگ کارایی؛ ۲) بی‌توجهی به معاملات کوچک پرخطر — فرسایش مستتر کنترل (Control Erosion). مدل این سند، ریزکنترل‌های سطح ۱ را برای کارهای تکراری و سیستمی طراحی کرده و کنترل‌های انسانی را به سطوح بالای ریسک محدود می‌کند.</w:t>
            </w:r>
          </w:p>
        </w:tc>
      </w:tr>
    </w:tbl>
    <w:p>
      <w:pPr>
        <w:bidi w:val="1"/>
        <w:spacing w:after="60" w:before="0" w:line="288" w:lineRule="auto"/>
        <w:jc w:val="right"/>
      </w:pPr>
    </w:p>
    <w:p>
      <w:pPr>
        <w:bidi w:val="1"/>
        <w:spacing w:after="120" w:before="0" w:line="288" w:lineRule="auto"/>
        <w:jc w:val="right"/>
      </w:pPr>
      <w:r>
        <w:rPr>
          <w:b w:val="0"/>
          <w:i w:val="0"/>
          <w:color w:val="1F2933"/>
          <w:sz w:val="21"/>
        </w:rPr>
        <w:t xml:space="preserve">اصل ACRR: هیچ فردی نباید هم‌زمان </w:t>
      </w:r>
      <w:r>
        <w:rPr>
          <w:b/>
          <w:i w:val="0"/>
          <w:color w:val="1F2933"/>
          <w:sz w:val="21"/>
        </w:rPr>
        <w:t>تأییددهنده</w:t>
      </w:r>
      <w:r>
        <w:rPr>
          <w:b w:val="0"/>
          <w:i w:val="0"/>
          <w:color w:val="1F2933"/>
          <w:sz w:val="21"/>
        </w:rPr>
        <w:t xml:space="preserve"> (Authorize)، </w:t>
      </w:r>
      <w:r>
        <w:rPr>
          <w:b/>
          <w:i w:val="0"/>
          <w:color w:val="1F2933"/>
          <w:sz w:val="21"/>
        </w:rPr>
        <w:t>تعهدکننده</w:t>
      </w:r>
      <w:r>
        <w:rPr>
          <w:b w:val="0"/>
          <w:i w:val="0"/>
          <w:color w:val="1F2933"/>
          <w:sz w:val="21"/>
        </w:rPr>
        <w:t xml:space="preserve"> (Commit)، </w:t>
      </w:r>
      <w:r>
        <w:rPr>
          <w:b/>
          <w:i w:val="0"/>
          <w:color w:val="1F2933"/>
          <w:sz w:val="21"/>
        </w:rPr>
        <w:t>دریافت‌کننده</w:t>
      </w:r>
      <w:r>
        <w:rPr>
          <w:b w:val="0"/>
          <w:i w:val="0"/>
          <w:color w:val="1F2933"/>
          <w:sz w:val="21"/>
        </w:rPr>
        <w:t xml:space="preserve"> (Receive) و </w:t>
      </w:r>
      <w:r>
        <w:rPr>
          <w:b/>
          <w:i w:val="0"/>
          <w:color w:val="1F2933"/>
          <w:sz w:val="21"/>
        </w:rPr>
        <w:t>تطبیق‌دهنده</w:t>
      </w:r>
      <w:r>
        <w:rPr>
          <w:b w:val="0"/>
          <w:i w:val="0"/>
          <w:color w:val="1F2933"/>
          <w:sz w:val="21"/>
        </w:rPr>
        <w:t xml:space="preserve"> (Reconcile) یک جریان اقتصادی باشد. مصداق مستقیم: خریدار نمی‌تواند انبارداری کند؛ انباردار نمی‌تواند ثبت حسابداری کند؛ متصدی ثبت نمی‌تواند صورت‌حساب را با سفارش تطبیق دهد.</w:t>
      </w:r>
    </w:p>
    <w:p>
      <w:pPr>
        <w:bidi w:val="1"/>
        <w:spacing w:after="160" w:before="200" w:line="264" w:lineRule="auto"/>
        <w:jc w:val="right"/>
        <w:outlineLvl w:val="1"/>
      </w:pPr>
      <w:r>
        <w:rPr>
          <w:b/>
          <w:i w:val="0"/>
          <w:color w:val="1F4E8C"/>
          <w:sz w:val="25"/>
        </w:rPr>
        <w:t>2.2  تفویض اختیار (DOA)</w:t>
      </w:r>
    </w:p>
    <w:p>
      <w:pPr>
        <w:bidi w:val="1"/>
        <w:spacing w:after="120" w:before="0" w:line="288" w:lineRule="auto"/>
        <w:jc w:val="right"/>
      </w:pPr>
      <w:r>
        <w:rPr>
          <w:b w:val="0"/>
          <w:i w:val="0"/>
          <w:color w:val="1F2933"/>
          <w:sz w:val="21"/>
        </w:rPr>
        <w:t xml:space="preserve">هر تصمیم مالی و عملیاتی مدل یک سطح مجاز اجرا دارد. این سند سطوح را </w:t>
      </w:r>
      <w:r>
        <w:rPr>
          <w:b/>
          <w:i w:val="0"/>
          <w:color w:val="1F2933"/>
          <w:sz w:val="21"/>
        </w:rPr>
        <w:t>نسبی</w:t>
      </w:r>
      <w:r>
        <w:rPr>
          <w:b w:val="0"/>
          <w:i w:val="0"/>
          <w:color w:val="1F2933"/>
          <w:sz w:val="21"/>
        </w:rPr>
        <w:t xml:space="preserve"> تعریف می‌کند (درصد از هزینه سالانه عملیاتی B و خالص‌فروش سالانه S) تا برای هر مقیاس سازمان قابل تنظیم باشد (فصل 7).</w:t>
      </w:r>
    </w:p>
    <w:p>
      <w:pPr>
        <w:bidi w:val="1"/>
        <w:spacing w:after="160" w:before="200" w:line="264" w:lineRule="auto"/>
        <w:jc w:val="right"/>
        <w:outlineLvl w:val="1"/>
      </w:pPr>
      <w:r>
        <w:rPr>
          <w:b/>
          <w:i w:val="0"/>
          <w:color w:val="1F4E8C"/>
          <w:sz w:val="25"/>
        </w:rPr>
        <w:t>2.3  اطلاعات مستند و ردّ تعقیب</w:t>
      </w:r>
    </w:p>
    <w:p>
      <w:pPr>
        <w:bidi w:val="1"/>
        <w:spacing w:after="80" w:before="0" w:line="288" w:lineRule="auto"/>
        <w:ind w:left="312"/>
        <w:jc w:val="right"/>
      </w:pPr>
      <w:r>
        <w:rPr>
          <w:b/>
          <w:i w:val="0"/>
          <w:color w:val="9E801A"/>
          <w:sz w:val="21"/>
        </w:rPr>
        <w:t xml:space="preserve">•  </w:t>
      </w:r>
      <w:r>
        <w:rPr>
          <w:b w:val="0"/>
          <w:i w:val="0"/>
          <w:color w:val="1F2933"/>
          <w:sz w:val="21"/>
        </w:rPr>
        <w:t>هر معامله باید با چهار سؤال قابل پاسخ باشد: چه کسی؟ چه زمانی؟ بر اساس کدام تصمیم؟ با کدام سند؟</w:t>
      </w:r>
    </w:p>
    <w:p>
      <w:pPr>
        <w:bidi w:val="1"/>
        <w:spacing w:after="80" w:before="0" w:line="288" w:lineRule="auto"/>
        <w:ind w:left="312"/>
        <w:jc w:val="right"/>
      </w:pPr>
      <w:r>
        <w:rPr>
          <w:b/>
          <w:i w:val="0"/>
          <w:color w:val="9E801A"/>
          <w:sz w:val="21"/>
        </w:rPr>
        <w:t xml:space="preserve">•  </w:t>
      </w:r>
      <w:r>
        <w:rPr>
          <w:b w:val="0"/>
          <w:i w:val="0"/>
          <w:color w:val="1F2933"/>
          <w:sz w:val="21"/>
        </w:rPr>
        <w:t>مدت نگهداری اسناد: حداقل ۷ سال برای اسناد مالی و قراردادی (متناسب با الزامات قانونی/مالیاتی سازمان مبنا).</w:t>
      </w:r>
    </w:p>
    <w:p>
      <w:pPr>
        <w:bidi w:val="1"/>
        <w:spacing w:after="80" w:before="0" w:line="288" w:lineRule="auto"/>
        <w:ind w:left="312"/>
        <w:jc w:val="right"/>
      </w:pPr>
      <w:r>
        <w:rPr>
          <w:b/>
          <w:i w:val="0"/>
          <w:color w:val="9E801A"/>
          <w:sz w:val="21"/>
        </w:rPr>
        <w:t xml:space="preserve">•  </w:t>
      </w:r>
      <w:r>
        <w:rPr>
          <w:b w:val="0"/>
          <w:i w:val="0"/>
          <w:color w:val="1F2933"/>
          <w:sz w:val="21"/>
        </w:rPr>
        <w:t>معاملهٔ خارج از سیستم (سفارش ایمیلی، قیمت شفاهی، تخفیف تلفنی) فاقد اعتبار حقوقی و مالی است.</w:t>
      </w:r>
    </w:p>
    <w:p>
      <w:pPr>
        <w:bidi w:val="1"/>
        <w:spacing w:after="160" w:before="200" w:line="264" w:lineRule="auto"/>
        <w:jc w:val="right"/>
        <w:outlineLvl w:val="1"/>
      </w:pPr>
      <w:r>
        <w:rPr>
          <w:b/>
          <w:i w:val="0"/>
          <w:color w:val="1F4E8C"/>
          <w:sz w:val="25"/>
        </w:rPr>
        <w:t>2.4  رویکرد ریسک‌محور و اصل تناسب</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D9E1EC"/>
              <w:left w:val="single" w:sz="4" w:space="0" w:color="D9E1EC"/>
              <w:bottom w:val="single" w:sz="4" w:space="0" w:color="D9E1EC"/>
              <w:right w:val="single" w:sz="24" w:space="0" w:color="2962A8"/>
            </w:tcBorders>
            <w:shd w:val="clear" w:color="auto" w:fill="E8F0FA"/>
            <w:tcMar>
              <w:top w:w="45" w:type="dxa"/>
              <w:left w:w="90" w:type="dxa"/>
              <w:bottom w:w="45" w:type="dxa"/>
              <w:right w:w="90" w:type="dxa"/>
            </w:tcMar>
            <w:vAlign w:val="center"/>
          </w:tcPr>
          <w:p>
            <w:pPr>
              <w:bidi w:val="1"/>
              <w:spacing w:after="40" w:before="0" w:line="288" w:lineRule="auto"/>
              <w:jc w:val="right"/>
            </w:pPr>
            <w:r>
              <w:rPr>
                <w:b/>
                <w:i w:val="0"/>
                <w:color w:val="173154"/>
                <w:sz w:val="21"/>
              </w:rPr>
              <w:t>رویکرد ریسک‌محور (ISO 31000)</w:t>
            </w:r>
          </w:p>
          <w:p>
            <w:pPr>
              <w:bidi w:val="1"/>
              <w:spacing w:after="40" w:before="0" w:line="288" w:lineRule="auto"/>
              <w:jc w:val="right"/>
            </w:pPr>
            <w:r>
              <w:rPr>
                <w:b w:val="0"/>
                <w:i w:val="0"/>
                <w:color w:val="1F2933"/>
                <w:sz w:val="19"/>
              </w:rPr>
              <w:t>هدف کنترل در هر معامله حفظ ارزش است: ۱) تضمین اینکه کنترل‌ها به‌اندازهٔ کافی روی معاملات بزرگ و ریسکی اعمال می‌شوند؛ ۲) جلوگیری از خفه شدن عملیات زیر بار کنترل‌های یکسان. کنترل‌ها در این مدل سه دسته‌اند: پیشگیرانه (تصمیم قبل از تعهد)، کشفی (تطبیق و بازرسی در میانهٔ مسیر)، اصلاحی (مغایرت، MRB، پیگیری پس از اجرا).</w:t>
            </w:r>
          </w:p>
        </w:tc>
      </w:tr>
    </w:tbl>
    <w:p>
      <w:pPr>
        <w:bidi w:val="1"/>
        <w:spacing w:after="60" w:before="0" w:line="288" w:lineRule="auto"/>
        <w:jc w:val="right"/>
      </w:pPr>
    </w:p>
    <w:p>
      <w:pPr>
        <w:bidi w:val="1"/>
        <w:spacing w:after="160" w:before="200" w:line="264" w:lineRule="auto"/>
        <w:jc w:val="right"/>
        <w:outlineLvl w:val="1"/>
      </w:pPr>
      <w:r>
        <w:rPr>
          <w:b/>
          <w:i w:val="0"/>
          <w:color w:val="1F4E8C"/>
          <w:sz w:val="25"/>
        </w:rPr>
        <w:t>2.5  استقلال کیفیت و ترخیص (ISO 9001 بند 8.6 و 8.7)</w:t>
      </w:r>
    </w:p>
    <w:p>
      <w:pPr>
        <w:bidi w:val="1"/>
        <w:spacing w:after="120" w:before="0" w:line="288" w:lineRule="auto"/>
        <w:jc w:val="right"/>
      </w:pPr>
      <w:r>
        <w:rPr>
          <w:b w:val="0"/>
          <w:i w:val="0"/>
          <w:color w:val="1F2933"/>
          <w:sz w:val="21"/>
        </w:rPr>
        <w:t>بازرسی ورودی و ترخیص محصول نهایی باید توسط واحدی با نظارت سازمانی مستقل از واحد خرید و انبار (برای ورودی) و مستقل از واحد تولید (برای خروجی) انجام شود. در سازمانی که واحد بازرسی مستقل ندارد، این مسئولیت باید به فردی با صلاحیت فنی تفویض شود و این تفویض در DOA ثبت گردد.</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E8D9AE"/>
              <w:left w:val="single" w:sz="4" w:space="0" w:color="E8D9AE"/>
              <w:bottom w:val="single" w:sz="4" w:space="0" w:color="E8D9AE"/>
              <w:right w:val="single" w:sz="24" w:space="0" w:color="9E801A"/>
            </w:tcBorders>
            <w:shd w:val="clear" w:color="auto" w:fill="FDF6E4"/>
            <w:tcMar>
              <w:top w:w="45" w:type="dxa"/>
              <w:left w:w="90" w:type="dxa"/>
              <w:bottom w:w="45" w:type="dxa"/>
              <w:right w:w="90" w:type="dxa"/>
            </w:tcMar>
            <w:vAlign w:val="center"/>
          </w:tcPr>
          <w:p>
            <w:pPr>
              <w:bidi w:val="1"/>
              <w:spacing w:after="40" w:before="0" w:line="288" w:lineRule="auto"/>
              <w:jc w:val="right"/>
            </w:pPr>
            <w:r>
              <w:rPr>
                <w:b/>
                <w:i w:val="0"/>
                <w:color w:val="9E801A"/>
                <w:sz w:val="21"/>
              </w:rPr>
              <w:t>کنترل غیرقابل حذف (ترخیص)</w:t>
            </w:r>
          </w:p>
          <w:p>
            <w:pPr>
              <w:bidi w:val="1"/>
              <w:spacing w:after="40" w:before="0" w:line="288" w:lineRule="auto"/>
              <w:jc w:val="right"/>
            </w:pPr>
            <w:r>
              <w:rPr>
                <w:b w:val="0"/>
                <w:i w:val="0"/>
                <w:color w:val="1F2933"/>
                <w:sz w:val="19"/>
              </w:rPr>
              <w:t>«محصول بدون تأیید بازرسی، ترخیص نمی‌شود و صادر نمی‌شود.» این جمله، خلاصهٔ این بند است.</w:t>
            </w:r>
          </w:p>
        </w:tc>
      </w:tr>
    </w:tbl>
    <w:p>
      <w:pPr>
        <w:bidi w:val="1"/>
        <w:spacing w:after="60" w:before="0" w:line="288" w:lineRule="auto"/>
        <w:jc w:val="right"/>
      </w:pPr>
    </w:p>
    <w:p>
      <w:pPr>
        <w:bidi w:val="1"/>
        <w:spacing w:after="120" w:before="0" w:line="288" w:lineRule="auto"/>
        <w:jc w:val="right"/>
      </w:pPr>
      <w:r>
        <w:rPr>
          <w:b w:val="0"/>
          <w:i w:val="0"/>
          <w:color w:val="1F2933"/>
          <w:sz w:val="21"/>
        </w:rPr>
        <w:t>چرا این بند مهم‌تر از بقیه است؟ در عمل، رایج‌ترین نقض کنترلی این مدل همین است: انبار یا تولید، تحت فشار تجاری، بدون تأیید بازرسی تحویل/ترخیص می‌کند. به همین دلیل کنترل‌های 1 و 2 فصل 9 «غیرقابل حذف» تعیین شده‌اند.</w:t>
      </w:r>
    </w:p>
    <w:p>
      <w:pPr>
        <w:pBdr>
          <w:bottom w:val="single" w:sz="12" w:space="4" w:color="D4AF37"/>
        </w:pBdr>
        <w:bidi w:val="1"/>
        <w:spacing w:after="200" w:before="320" w:line="264" w:lineRule="auto"/>
        <w:jc w:val="right"/>
        <w:outlineLvl w:val="0"/>
      </w:pPr>
      <w:r>
        <w:rPr>
          <w:b/>
          <w:i w:val="0"/>
          <w:color w:val="9E801A"/>
          <w:sz w:val="30"/>
        </w:rPr>
        <w:t xml:space="preserve">فصل ۳ — </w:t>
      </w:r>
      <w:r>
        <w:rPr>
          <w:b/>
          <w:i w:val="0"/>
          <w:color w:val="173154"/>
          <w:sz w:val="30"/>
        </w:rPr>
        <w:t>فرآیند تأمین و تأمین‌کنندگی (Procure-to-Pay)</w:t>
      </w:r>
    </w:p>
    <w:p>
      <w:pPr>
        <w:bidi w:val="1"/>
        <w:spacing w:after="160" w:before="200" w:line="264" w:lineRule="auto"/>
        <w:jc w:val="right"/>
        <w:outlineLvl w:val="1"/>
      </w:pPr>
      <w:r>
        <w:rPr>
          <w:b/>
          <w:i w:val="0"/>
          <w:color w:val="1F4E8C"/>
          <w:sz w:val="25"/>
        </w:rPr>
        <w:t>3.1  برنامه‌ریزی تأمین</w:t>
      </w:r>
    </w:p>
    <w:p>
      <w:pPr>
        <w:bidi w:val="1"/>
        <w:spacing w:after="80" w:before="0" w:line="288" w:lineRule="auto"/>
        <w:ind w:left="312"/>
        <w:jc w:val="right"/>
      </w:pPr>
      <w:r>
        <w:rPr>
          <w:b/>
          <w:i w:val="0"/>
          <w:color w:val="9E801A"/>
          <w:sz w:val="21"/>
        </w:rPr>
        <w:t xml:space="preserve">•  </w:t>
      </w:r>
      <w:r>
        <w:rPr>
          <w:b w:val="0"/>
          <w:i w:val="0"/>
          <w:color w:val="1F2933"/>
          <w:sz w:val="21"/>
        </w:rPr>
        <w:t>برنامهٔ سالانهٔ خرید توسط واحد تدارکات با ورودی MRP/MPS و بودجه تهیه می‌شود؛ هر خرید خارج از برنامه «خرید استثنا» محسوب شده و سطح DOA بالاتر می‌گیرد (بند 7.2).</w:t>
      </w:r>
    </w:p>
    <w:p>
      <w:pPr>
        <w:bidi w:val="1"/>
        <w:spacing w:after="80" w:before="0" w:line="288" w:lineRule="auto"/>
        <w:ind w:left="312"/>
        <w:jc w:val="right"/>
      </w:pPr>
      <w:r>
        <w:rPr>
          <w:b/>
          <w:i w:val="0"/>
          <w:color w:val="9E801A"/>
          <w:sz w:val="21"/>
        </w:rPr>
        <w:t xml:space="preserve">•  </w:t>
      </w:r>
      <w:r>
        <w:rPr>
          <w:b w:val="0"/>
          <w:i w:val="0"/>
          <w:color w:val="1F2933"/>
          <w:sz w:val="21"/>
        </w:rPr>
        <w:t>تفکیک کالا به کلاس A/B/C بر مبنای سهم سالانه از خرید (کلاس C: کمتر از ۵٪، کلاس B: ۵ تا ۲۰٪، کلاس A: بیش از ۲۰٪)؛ شدت کنترل با کلاس متناسب است.</w:t>
      </w:r>
    </w:p>
    <w:p>
      <w:pPr>
        <w:bidi w:val="1"/>
        <w:spacing w:after="80" w:before="0" w:line="288" w:lineRule="auto"/>
        <w:ind w:left="312"/>
        <w:jc w:val="right"/>
      </w:pPr>
      <w:r>
        <w:rPr>
          <w:b/>
          <w:i w:val="0"/>
          <w:color w:val="9E801A"/>
          <w:sz w:val="21"/>
        </w:rPr>
        <w:t xml:space="preserve">•  </w:t>
      </w:r>
      <w:r>
        <w:rPr>
          <w:b w:val="0"/>
          <w:i w:val="0"/>
          <w:color w:val="1F2933"/>
          <w:sz w:val="21"/>
        </w:rPr>
        <w:t>درخواست خرید (PR) فقط از واحدهای نیازمند و با کد کالا/کد استاندارد ثبت می‌شود؛ ثبت PR بدون کد، رد می‌شود.</w:t>
      </w:r>
    </w:p>
    <w:p>
      <w:pPr>
        <w:bidi w:val="1"/>
        <w:spacing w:after="160" w:before="200" w:line="264" w:lineRule="auto"/>
        <w:jc w:val="right"/>
        <w:outlineLvl w:val="1"/>
      </w:pPr>
      <w:r>
        <w:rPr>
          <w:b/>
          <w:i w:val="0"/>
          <w:color w:val="1F4E8C"/>
          <w:sz w:val="25"/>
        </w:rPr>
        <w:t>3.2  مدیریت تأمین‌کنندگان (ISO 9001 بند 8.4)</w:t>
      </w:r>
    </w:p>
    <w:p>
      <w:pPr>
        <w:bidi w:val="1"/>
        <w:spacing w:after="120" w:before="0" w:line="288" w:lineRule="auto"/>
        <w:jc w:val="right"/>
      </w:pPr>
      <w:r>
        <w:rPr>
          <w:b w:val="0"/>
          <w:i w:val="0"/>
          <w:color w:val="1F2933"/>
          <w:sz w:val="21"/>
        </w:rPr>
        <w:t>همهٔ تأمین‌کنندگان فعال باید در فهرست تأمین‌کنندگان تأییدشده (AVL) باشند. معیارهای رتبه‌بندی (۱ تا ۵؛ ورود به AVL با میانگین حداقل ۳.۵):</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181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معیار</w:t>
            </w:r>
          </w:p>
        </w:tc>
        <w:tc>
          <w:tcPr>
            <w:tcW w:type="dxa" w:w="5556"/>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شرح</w:t>
            </w:r>
          </w:p>
        </w:tc>
        <w:tc>
          <w:tcPr>
            <w:tcW w:type="dxa" w:w="226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وزن</w:t>
            </w:r>
          </w:p>
        </w:tc>
      </w:tr>
      <w:tr>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8"/>
              </w:rPr>
              <w:t>کیفیت</w:t>
            </w:r>
          </w:p>
        </w:tc>
        <w:tc>
          <w:tcPr>
            <w:tcW w:type="dxa" w:w="5556"/>
            <w:tcMar>
              <w:top w:w="45" w:type="dxa"/>
              <w:left w:w="90" w:type="dxa"/>
              <w:bottom w:w="45" w:type="dxa"/>
              <w:right w:w="90" w:type="dxa"/>
            </w:tcMar>
            <w:vAlign w:val="center"/>
          </w:tcPr>
          <w:p>
            <w:pPr>
              <w:bidi w:val="1"/>
              <w:spacing w:after="0" w:before="0" w:line="276" w:lineRule="auto"/>
              <w:jc w:val="right"/>
            </w:pPr>
            <w:r>
              <w:rPr>
                <w:b w:val="0"/>
                <w:i w:val="0"/>
                <w:color w:val="1F2933"/>
                <w:sz w:val="18"/>
              </w:rPr>
              <w:t>DPPM تحویل، نرخ مغایرت کیفی سه ماه اخیر</w:t>
            </w:r>
          </w:p>
        </w:tc>
        <w:tc>
          <w:tcPr>
            <w:tcW w:type="dxa" w:w="2268"/>
            <w:tcMar>
              <w:top w:w="45" w:type="dxa"/>
              <w:left w:w="90" w:type="dxa"/>
              <w:bottom w:w="45" w:type="dxa"/>
              <w:right w:w="90" w:type="dxa"/>
            </w:tcMar>
            <w:vAlign w:val="center"/>
          </w:tcPr>
          <w:p>
            <w:pPr>
              <w:bidi w:val="1"/>
              <w:spacing w:after="0" w:before="0" w:line="276" w:lineRule="auto"/>
              <w:jc w:val="right"/>
            </w:pPr>
            <w:r>
              <w:rPr>
                <w:b w:val="0"/>
                <w:i w:val="0"/>
                <w:color w:val="1F2933"/>
                <w:sz w:val="18"/>
              </w:rPr>
              <w:t>۳۵٪</w:t>
            </w:r>
          </w:p>
        </w:tc>
      </w:tr>
      <w:tr>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تحویل</w:t>
            </w:r>
          </w:p>
        </w:tc>
        <w:tc>
          <w:tcPr>
            <w:tcW w:type="dxa" w:w="5556"/>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OTD سه ماه اخیر، قابلیت پاسخ به اطمینان‌سنجی فوری</w:t>
            </w:r>
          </w:p>
        </w:tc>
        <w:tc>
          <w:tcPr>
            <w:tcW w:type="dxa" w:w="226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۲۵٪</w:t>
            </w:r>
          </w:p>
        </w:tc>
      </w:tr>
      <w:tr>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8"/>
              </w:rPr>
              <w:t>قیمت</w:t>
            </w:r>
          </w:p>
        </w:tc>
        <w:tc>
          <w:tcPr>
            <w:tcW w:type="dxa" w:w="5556"/>
            <w:tcMar>
              <w:top w:w="45" w:type="dxa"/>
              <w:left w:w="90" w:type="dxa"/>
              <w:bottom w:w="45" w:type="dxa"/>
              <w:right w:w="90" w:type="dxa"/>
            </w:tcMar>
            <w:vAlign w:val="center"/>
          </w:tcPr>
          <w:p>
            <w:pPr>
              <w:bidi w:val="1"/>
              <w:spacing w:after="0" w:before="0" w:line="276" w:lineRule="auto"/>
              <w:jc w:val="right"/>
            </w:pPr>
            <w:r>
              <w:rPr>
                <w:b w:val="0"/>
                <w:i w:val="0"/>
                <w:color w:val="1F2933"/>
                <w:sz w:val="18"/>
              </w:rPr>
              <w:t>رقابت‌پذیری قیمت در برابر بازار و دورات قبل</w:t>
            </w:r>
          </w:p>
        </w:tc>
        <w:tc>
          <w:tcPr>
            <w:tcW w:type="dxa" w:w="2268"/>
            <w:tcMar>
              <w:top w:w="45" w:type="dxa"/>
              <w:left w:w="90" w:type="dxa"/>
              <w:bottom w:w="45" w:type="dxa"/>
              <w:right w:w="90" w:type="dxa"/>
            </w:tcMar>
            <w:vAlign w:val="center"/>
          </w:tcPr>
          <w:p>
            <w:pPr>
              <w:bidi w:val="1"/>
              <w:spacing w:after="0" w:before="0" w:line="276" w:lineRule="auto"/>
              <w:jc w:val="right"/>
            </w:pPr>
            <w:r>
              <w:rPr>
                <w:b w:val="0"/>
                <w:i w:val="0"/>
                <w:color w:val="1F2933"/>
                <w:sz w:val="18"/>
              </w:rPr>
              <w:t>۲۰٪</w:t>
            </w:r>
          </w:p>
        </w:tc>
      </w:tr>
      <w:tr>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مالی/ادامهٔ کسب‌وکار</w:t>
            </w:r>
          </w:p>
        </w:tc>
        <w:tc>
          <w:tcPr>
            <w:tcW w:type="dxa" w:w="5556"/>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پایداری مالی، ظرفیت تولید، وضعیت حقوقی</w:t>
            </w:r>
          </w:p>
        </w:tc>
        <w:tc>
          <w:tcPr>
            <w:tcW w:type="dxa" w:w="226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۱۰٪</w:t>
            </w:r>
          </w:p>
        </w:tc>
      </w:tr>
      <w:tr>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8"/>
              </w:rPr>
              <w:t>انطباق</w:t>
            </w:r>
          </w:p>
        </w:tc>
        <w:tc>
          <w:tcPr>
            <w:tcW w:type="dxa" w:w="5556"/>
            <w:tcMar>
              <w:top w:w="45" w:type="dxa"/>
              <w:left w:w="90" w:type="dxa"/>
              <w:bottom w:w="45" w:type="dxa"/>
              <w:right w:w="90" w:type="dxa"/>
            </w:tcMar>
            <w:vAlign w:val="center"/>
          </w:tcPr>
          <w:p>
            <w:pPr>
              <w:bidi w:val="1"/>
              <w:spacing w:after="0" w:before="0" w:line="276" w:lineRule="auto"/>
              <w:jc w:val="right"/>
            </w:pPr>
            <w:r>
              <w:rPr>
                <w:b w:val="0"/>
                <w:i w:val="0"/>
                <w:color w:val="1F2933"/>
                <w:sz w:val="18"/>
              </w:rPr>
              <w:t>حقوقی، اخلاقی (تفکیک وظایف در سوی تأمین‌کننده)، HSE</w:t>
            </w:r>
          </w:p>
        </w:tc>
        <w:tc>
          <w:tcPr>
            <w:tcW w:type="dxa" w:w="2268"/>
            <w:tcMar>
              <w:top w:w="45" w:type="dxa"/>
              <w:left w:w="90" w:type="dxa"/>
              <w:bottom w:w="45" w:type="dxa"/>
              <w:right w:w="90" w:type="dxa"/>
            </w:tcMar>
            <w:vAlign w:val="center"/>
          </w:tcPr>
          <w:p>
            <w:pPr>
              <w:bidi w:val="1"/>
              <w:spacing w:after="0" w:before="0" w:line="276" w:lineRule="auto"/>
              <w:jc w:val="right"/>
            </w:pPr>
            <w:r>
              <w:rPr>
                <w:b w:val="0"/>
                <w:i w:val="0"/>
                <w:color w:val="1F2933"/>
                <w:sz w:val="18"/>
              </w:rPr>
              <w:t>۱۰٪</w:t>
            </w:r>
          </w:p>
        </w:tc>
      </w:tr>
    </w:tbl>
    <w:p>
      <w:pPr>
        <w:bidi w:val="1"/>
        <w:spacing w:after="80" w:before="0" w:line="288" w:lineRule="auto"/>
        <w:ind w:left="312"/>
        <w:jc w:val="right"/>
      </w:pPr>
      <w:r>
        <w:rPr>
          <w:b/>
          <w:i w:val="0"/>
          <w:color w:val="9E801A"/>
          <w:sz w:val="21"/>
        </w:rPr>
        <w:t xml:space="preserve">•  </w:t>
      </w:r>
      <w:r>
        <w:rPr>
          <w:b w:val="0"/>
          <w:i w:val="0"/>
          <w:color w:val="1F2933"/>
          <w:sz w:val="21"/>
        </w:rPr>
        <w:t>ارزیابی سالانهٔ اجباری برای همهٔ AVL؛ رتبهٔ زیر ۳ در دو دورهٔ متوالی = خارج‌سازی با تدریج (توقف سفارش + جایگزینی).</w:t>
      </w:r>
    </w:p>
    <w:p>
      <w:pPr>
        <w:bidi w:val="1"/>
        <w:spacing w:after="80" w:before="0" w:line="288" w:lineRule="auto"/>
        <w:ind w:left="312"/>
        <w:jc w:val="right"/>
      </w:pPr>
      <w:r>
        <w:rPr>
          <w:b/>
          <w:i w:val="0"/>
          <w:color w:val="9E801A"/>
          <w:sz w:val="21"/>
        </w:rPr>
        <w:t xml:space="preserve">•  </w:t>
      </w:r>
      <w:r>
        <w:rPr>
          <w:b w:val="0"/>
          <w:i w:val="0"/>
          <w:color w:val="1F2933"/>
          <w:sz w:val="21"/>
        </w:rPr>
        <w:t>تأمین‌کنندهٔ جدید: پیش از اولین PO، سوابق، توانمندی فنی و مالی بررسی می‌شود؛ خریدهای بالای سطح 2 فقط از AVL موجود.</w:t>
      </w:r>
    </w:p>
    <w:p>
      <w:pPr>
        <w:bidi w:val="1"/>
        <w:spacing w:after="160" w:before="200" w:line="264" w:lineRule="auto"/>
        <w:jc w:val="right"/>
        <w:outlineLvl w:val="1"/>
      </w:pPr>
      <w:r>
        <w:rPr>
          <w:b/>
          <w:i w:val="0"/>
          <w:color w:val="1F4E8C"/>
          <w:sz w:val="25"/>
        </w:rPr>
        <w:t>3.3  از درخواست تا سفارش خرید</w:t>
      </w:r>
    </w:p>
    <w:p>
      <w:pPr>
        <w:bidi w:val="1"/>
        <w:spacing w:after="80" w:before="0" w:line="288" w:lineRule="auto"/>
        <w:ind w:left="312"/>
        <w:jc w:val="right"/>
      </w:pPr>
      <w:r>
        <w:rPr>
          <w:b/>
          <w:i w:val="0"/>
          <w:color w:val="9E801A"/>
          <w:sz w:val="21"/>
        </w:rPr>
        <w:t xml:space="preserve">•  </w:t>
      </w:r>
      <w:r>
        <w:rPr>
          <w:b w:val="0"/>
          <w:i w:val="0"/>
          <w:color w:val="1F2933"/>
          <w:sz w:val="21"/>
        </w:rPr>
        <w:t>برای خرید کلاس A و هر خرید بالای سطح 2 DOA: حداقل ۳ نقل قول مستند (RFQ) و جدول مقایسه.</w:t>
      </w:r>
    </w:p>
    <w:p>
      <w:pPr>
        <w:bidi w:val="1"/>
        <w:spacing w:after="80" w:before="0" w:line="288" w:lineRule="auto"/>
        <w:ind w:left="312"/>
        <w:jc w:val="right"/>
      </w:pPr>
      <w:r>
        <w:rPr>
          <w:b/>
          <w:i w:val="0"/>
          <w:color w:val="9E801A"/>
          <w:sz w:val="21"/>
        </w:rPr>
        <w:t xml:space="preserve">•  </w:t>
      </w:r>
      <w:r>
        <w:rPr>
          <w:b w:val="0"/>
          <w:i w:val="0"/>
          <w:color w:val="1F2933"/>
          <w:sz w:val="21"/>
        </w:rPr>
        <w:t>مبنای انتخاب: نه فقط قیمت — امتیاز ترکیبی (قیمت 40/کیفیت 30/تحویل 20/شرایط 10) یا معادل تعیین‌شده توسط واحد درخواست‌کننده.</w:t>
      </w:r>
    </w:p>
    <w:p>
      <w:pPr>
        <w:bidi w:val="1"/>
        <w:spacing w:after="80" w:before="0" w:line="288" w:lineRule="auto"/>
        <w:ind w:left="312"/>
        <w:jc w:val="right"/>
      </w:pPr>
      <w:r>
        <w:rPr>
          <w:b/>
          <w:i w:val="0"/>
          <w:color w:val="9E801A"/>
          <w:sz w:val="21"/>
        </w:rPr>
        <w:t xml:space="preserve">•  </w:t>
      </w:r>
      <w:r>
        <w:rPr>
          <w:b w:val="0"/>
          <w:i w:val="0"/>
          <w:color w:val="1F2933"/>
          <w:sz w:val="21"/>
        </w:rPr>
        <w:t>هر PO باید شامل: کد کالا، مقدار، واحد، قیمت واحد، شرایط پرداخت، Incoterms، مشخصهٔ کیفی ارجاع‌شده و تاریخ تحویل باشد.</w:t>
      </w:r>
    </w:p>
    <w:p>
      <w:pPr>
        <w:bidi w:val="1"/>
        <w:spacing w:after="160" w:before="200" w:line="264" w:lineRule="auto"/>
        <w:jc w:val="right"/>
        <w:outlineLvl w:val="1"/>
      </w:pPr>
      <w:r>
        <w:rPr>
          <w:b/>
          <w:i w:val="0"/>
          <w:color w:val="1F4E8C"/>
          <w:sz w:val="25"/>
        </w:rPr>
        <w:t>3.4  تحویل و بازرسی</w:t>
      </w:r>
    </w:p>
    <w:p>
      <w:pPr>
        <w:bidi w:val="1"/>
        <w:spacing w:after="80" w:before="0" w:line="288" w:lineRule="auto"/>
        <w:ind w:left="312"/>
        <w:jc w:val="right"/>
      </w:pPr>
      <w:r>
        <w:rPr>
          <w:b/>
          <w:i w:val="0"/>
          <w:color w:val="9E801A"/>
          <w:sz w:val="21"/>
        </w:rPr>
        <w:t xml:space="preserve">•  </w:t>
      </w:r>
      <w:r>
        <w:rPr>
          <w:b w:val="0"/>
          <w:i w:val="0"/>
          <w:color w:val="1F2933"/>
          <w:sz w:val="21"/>
        </w:rPr>
        <w:t>تحویل کالا فقط با ثبت GRN (برگهٔ رسید انبار) معتبر است؛ ثبت GRN توسط انباردار با شمارش فیزیکی و بررسی ظاهری.</w:t>
      </w:r>
    </w:p>
    <w:p>
      <w:pPr>
        <w:bidi w:val="1"/>
        <w:spacing w:after="80" w:before="0" w:line="288" w:lineRule="auto"/>
        <w:ind w:left="312"/>
        <w:jc w:val="right"/>
      </w:pPr>
      <w:r>
        <w:rPr>
          <w:b/>
          <w:i w:val="0"/>
          <w:color w:val="9E801A"/>
          <w:sz w:val="21"/>
        </w:rPr>
        <w:t xml:space="preserve">•  </w:t>
      </w:r>
      <w:r>
        <w:rPr>
          <w:b w:val="0"/>
          <w:i w:val="0"/>
          <w:color w:val="1F2933"/>
          <w:sz w:val="21"/>
        </w:rPr>
        <w:t>تصمیم کیفی ورودی (پذیرش/رد/MRB) فقط توسط واحد بازرسی مستقل (کنترل 1)؛ معیار نمونه‌گیری بر اساس AQL یا ۱۰۰٪ برای اقلام حیاتی.</w:t>
      </w:r>
    </w:p>
    <w:p>
      <w:pPr>
        <w:bidi w:val="1"/>
        <w:spacing w:after="80" w:before="0" w:line="288" w:lineRule="auto"/>
        <w:ind w:left="312"/>
        <w:jc w:val="right"/>
      </w:pPr>
      <w:r>
        <w:rPr>
          <w:b/>
          <w:i w:val="0"/>
          <w:color w:val="9E801A"/>
          <w:sz w:val="21"/>
        </w:rPr>
        <w:t xml:space="preserve">•  </w:t>
      </w:r>
      <w:r>
        <w:rPr>
          <w:b w:val="0"/>
          <w:i w:val="0"/>
          <w:color w:val="1F2933"/>
          <w:sz w:val="21"/>
        </w:rPr>
        <w:t>کالای ردشده: برگشت به تأمین‌کننده (RMA) یا تجویص موقت با تصویب MRB و ثبت در گزارش انحراف (ISO 9001 بند 8.7).</w:t>
      </w:r>
    </w:p>
    <w:p>
      <w:pPr>
        <w:bidi w:val="1"/>
        <w:spacing w:after="160" w:before="200" w:line="264" w:lineRule="auto"/>
        <w:jc w:val="right"/>
        <w:outlineLvl w:val="1"/>
      </w:pPr>
      <w:r>
        <w:rPr>
          <w:b/>
          <w:i w:val="0"/>
          <w:color w:val="1F4E8C"/>
          <w:sz w:val="25"/>
        </w:rPr>
        <w:t>3.5  تطبیق چهارگانه و پرداخت</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170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مسیر</w:t>
            </w:r>
          </w:p>
        </w:tc>
        <w:tc>
          <w:tcPr>
            <w:tcW w:type="dxa" w:w="4309"/>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شرط</w:t>
            </w:r>
          </w:p>
        </w:tc>
        <w:tc>
          <w:tcPr>
            <w:tcW w:type="dxa" w:w="362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اقدام</w:t>
            </w:r>
          </w:p>
        </w:tc>
      </w:tr>
      <w:tr>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8"/>
              </w:rPr>
              <w:t>مطابقت کامل</w:t>
            </w:r>
          </w:p>
        </w:tc>
        <w:tc>
          <w:tcPr>
            <w:tcW w:type="dxa" w:w="4309"/>
            <w:tcMar>
              <w:top w:w="45" w:type="dxa"/>
              <w:left w:w="90" w:type="dxa"/>
              <w:bottom w:w="45" w:type="dxa"/>
              <w:right w:w="90" w:type="dxa"/>
            </w:tcMar>
            <w:vAlign w:val="center"/>
          </w:tcPr>
          <w:p>
            <w:pPr>
              <w:bidi w:val="1"/>
              <w:spacing w:after="0" w:before="0" w:line="276" w:lineRule="auto"/>
              <w:jc w:val="right"/>
            </w:pPr>
            <w:r>
              <w:rPr>
                <w:b w:val="0"/>
                <w:i w:val="0"/>
                <w:color w:val="1F2933"/>
                <w:sz w:val="18"/>
              </w:rPr>
              <w:t>PO = GRN = QC = فاکتور (مقدار/قیمت/شرایط)</w:t>
            </w:r>
          </w:p>
        </w:tc>
        <w:tc>
          <w:tcPr>
            <w:tcW w:type="dxa" w:w="3628"/>
            <w:tcMar>
              <w:top w:w="45" w:type="dxa"/>
              <w:left w:w="90" w:type="dxa"/>
              <w:bottom w:w="45" w:type="dxa"/>
              <w:right w:w="90" w:type="dxa"/>
            </w:tcMar>
            <w:vAlign w:val="center"/>
          </w:tcPr>
          <w:p>
            <w:pPr>
              <w:bidi w:val="1"/>
              <w:spacing w:after="0" w:before="0" w:line="276" w:lineRule="auto"/>
              <w:jc w:val="right"/>
            </w:pPr>
            <w:r>
              <w:rPr>
                <w:b w:val="0"/>
                <w:i w:val="0"/>
                <w:color w:val="1F2933"/>
                <w:sz w:val="18"/>
              </w:rPr>
              <w:t>پرداخت خودکار در سررسید</w:t>
            </w:r>
          </w:p>
        </w:tc>
      </w:tr>
      <w:tr>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مغایرت جزئی</w:t>
            </w:r>
          </w:p>
        </w:tc>
        <w:tc>
          <w:tcPr>
            <w:tcW w:type="dxa" w:w="4309"/>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در حاشیهٔ مجاز (مثال: ۲٪)</w:t>
            </w:r>
          </w:p>
        </w:tc>
        <w:tc>
          <w:tcPr>
            <w:tcW w:type="dxa" w:w="36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ثبت مغایرت + پرداخت با کسر و پیگیری در دورهٔ بعد</w:t>
            </w:r>
          </w:p>
        </w:tc>
      </w:tr>
      <w:tr>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8"/>
              </w:rPr>
              <w:t>مغایرت اصل</w:t>
            </w:r>
          </w:p>
        </w:tc>
        <w:tc>
          <w:tcPr>
            <w:tcW w:type="dxa" w:w="4309"/>
            <w:tcMar>
              <w:top w:w="45" w:type="dxa"/>
              <w:left w:w="90" w:type="dxa"/>
              <w:bottom w:w="45" w:type="dxa"/>
              <w:right w:w="90" w:type="dxa"/>
            </w:tcMar>
            <w:vAlign w:val="center"/>
          </w:tcPr>
          <w:p>
            <w:pPr>
              <w:bidi w:val="1"/>
              <w:spacing w:after="0" w:before="0" w:line="276" w:lineRule="auto"/>
              <w:jc w:val="right"/>
            </w:pPr>
            <w:r>
              <w:rPr>
                <w:b w:val="0"/>
                <w:i w:val="0"/>
                <w:color w:val="1F2933"/>
                <w:sz w:val="18"/>
              </w:rPr>
              <w:t>فاصله بیش از حاشیه، یا مغایرت QC، یا فاکتور بدون GRN</w:t>
            </w:r>
          </w:p>
        </w:tc>
        <w:tc>
          <w:tcPr>
            <w:tcW w:type="dxa" w:w="3628"/>
            <w:tcMar>
              <w:top w:w="45" w:type="dxa"/>
              <w:left w:w="90" w:type="dxa"/>
              <w:bottom w:w="45" w:type="dxa"/>
              <w:right w:w="90" w:type="dxa"/>
            </w:tcMar>
            <w:vAlign w:val="center"/>
          </w:tcPr>
          <w:p>
            <w:pPr>
              <w:bidi w:val="1"/>
              <w:spacing w:after="0" w:before="0" w:line="276" w:lineRule="auto"/>
              <w:jc w:val="right"/>
            </w:pPr>
            <w:r>
              <w:rPr>
                <w:b w:val="0"/>
                <w:i w:val="0"/>
                <w:color w:val="1F2933"/>
                <w:sz w:val="18"/>
              </w:rPr>
              <w:t>توقف پرداخت + کمیتهٔ مغایرت (تدارکات + مالی) + صورت‌حساب معلق</w:t>
            </w:r>
          </w:p>
        </w:tc>
      </w:tr>
      <w:tr>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اختلاف طولانی</w:t>
            </w:r>
          </w:p>
        </w:tc>
        <w:tc>
          <w:tcPr>
            <w:tcW w:type="dxa" w:w="4309"/>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بیش از ۱۸۰ روز بدون حل</w:t>
            </w:r>
          </w:p>
        </w:tc>
        <w:tc>
          <w:tcPr>
            <w:tcW w:type="dxa" w:w="36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ارجاع به هیئت‌مدیره (سطح 4) + ذخیرهٔ مطالبات مشکوک‌الوصول</w:t>
            </w:r>
          </w:p>
        </w:tc>
      </w:tr>
    </w:tbl>
    <w:p>
      <w:pPr>
        <w:bidi w:val="1"/>
        <w:spacing w:after="120" w:before="0" w:line="288" w:lineRule="auto"/>
        <w:jc w:val="right"/>
      </w:pPr>
      <w:r>
        <w:rPr>
          <w:b w:val="0"/>
          <w:i w:val="0"/>
          <w:color w:val="1F2933"/>
          <w:sz w:val="21"/>
        </w:rPr>
        <w:t>برای اقلام کم‌ارزش و ریسک‌پایین (کلاس C با تأمین‌کنندهٔ AVL رتبه 4 به بالا)، تطبیق سه‌نقطه‌ای (PO/GRN/فاکتور) با تصویب واحد مالی مجاز است؛ بازرسی QC همچنان اجباری است.</w:t>
      </w:r>
    </w:p>
    <w:p>
      <w:pPr>
        <w:bidi w:val="1"/>
        <w:spacing w:after="160" w:before="200" w:line="264" w:lineRule="auto"/>
        <w:jc w:val="right"/>
        <w:outlineLvl w:val="1"/>
      </w:pPr>
      <w:r>
        <w:rPr>
          <w:b/>
          <w:i w:val="0"/>
          <w:color w:val="1F4E8C"/>
          <w:sz w:val="25"/>
        </w:rPr>
        <w:t>3.6  نقشهٔ فرآیند Procure-to-Pay</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درخواست خرید (PR)</w:t>
            </w:r>
          </w:p>
          <w:p>
            <w:pPr>
              <w:bidi w:val="1"/>
              <w:spacing w:after="20" w:before="0" w:line="264" w:lineRule="auto"/>
              <w:jc w:val="center"/>
            </w:pPr>
            <w:r>
              <w:rPr>
                <w:b w:val="0"/>
                <w:i w:val="0"/>
                <w:color w:val="747F8D"/>
                <w:sz w:val="17"/>
              </w:rPr>
              <w:t>تقاضای واحد مصرف‌کننده با کد کالا</w:t>
            </w:r>
          </w:p>
          <w:p>
            <w:pPr>
              <w:bidi w:val="1"/>
              <w:spacing w:after="20" w:before="0" w:line="264" w:lineRule="auto"/>
              <w:jc w:val="center"/>
            </w:pPr>
            <w:r>
              <w:rPr>
                <w:b w:val="0"/>
                <w:i/>
                <w:color w:val="747F8D"/>
                <w:sz w:val="17"/>
              </w:rPr>
              <w:t>مسئول: واحد درخواست‌کننده — سند: PR</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صدور سفارش خرید (PO) از سیستم</w:t>
            </w:r>
          </w:p>
          <w:p>
            <w:pPr>
              <w:bidi w:val="1"/>
              <w:spacing w:after="20" w:before="0" w:line="264" w:lineRule="auto"/>
              <w:jc w:val="center"/>
            </w:pPr>
            <w:r>
              <w:rPr>
                <w:b w:val="0"/>
                <w:i w:val="0"/>
                <w:color w:val="747F8D"/>
                <w:sz w:val="17"/>
              </w:rPr>
              <w:t>تأیید بر اساس ماتریس DOA فصل 7</w:t>
            </w:r>
          </w:p>
          <w:p>
            <w:pPr>
              <w:bidi w:val="1"/>
              <w:spacing w:after="20" w:before="0" w:line="264" w:lineRule="auto"/>
              <w:jc w:val="center"/>
            </w:pPr>
            <w:r>
              <w:rPr>
                <w:b w:val="0"/>
                <w:i/>
                <w:color w:val="747F8D"/>
                <w:sz w:val="17"/>
              </w:rPr>
              <w:t>مسئول: تدارکات — سند کلیدی: PO</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اجرا و تولید توسط تأمین‌کننده</w:t>
            </w:r>
          </w:p>
          <w:p>
            <w:pPr>
              <w:bidi w:val="1"/>
              <w:spacing w:after="20" w:before="0" w:line="264" w:lineRule="auto"/>
              <w:jc w:val="center"/>
            </w:pPr>
            <w:r>
              <w:rPr>
                <w:b w:val="0"/>
                <w:i w:val="0"/>
                <w:color w:val="747F8D"/>
                <w:sz w:val="17"/>
              </w:rPr>
              <w:t>پیگیری برنامهٔ تحویل (OTD)</w:t>
            </w:r>
          </w:p>
          <w:p>
            <w:pPr>
              <w:bidi w:val="1"/>
              <w:spacing w:after="20" w:before="0" w:line="264" w:lineRule="auto"/>
              <w:jc w:val="center"/>
            </w:pPr>
            <w:r>
              <w:rPr>
                <w:b w:val="0"/>
                <w:i/>
                <w:color w:val="747F8D"/>
                <w:sz w:val="17"/>
              </w:rPr>
              <w:t>مسئول: تدارکات — سند کلیدی: —</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تحویل کالا و ثبت GRN</w:t>
            </w:r>
          </w:p>
          <w:p>
            <w:pPr>
              <w:bidi w:val="1"/>
              <w:spacing w:after="20" w:before="0" w:line="264" w:lineRule="auto"/>
              <w:jc w:val="center"/>
            </w:pPr>
            <w:r>
              <w:rPr>
                <w:b w:val="0"/>
                <w:i w:val="0"/>
                <w:color w:val="747F8D"/>
                <w:sz w:val="17"/>
              </w:rPr>
              <w:t>مستندسازی هر تحویل؛ مقدار + وضعیت ظاهری</w:t>
            </w:r>
          </w:p>
          <w:p>
            <w:pPr>
              <w:bidi w:val="1"/>
              <w:spacing w:after="20" w:before="0" w:line="264" w:lineRule="auto"/>
              <w:jc w:val="center"/>
            </w:pPr>
            <w:r>
              <w:rPr>
                <w:b w:val="0"/>
                <w:i/>
                <w:color w:val="747F8D"/>
                <w:sz w:val="17"/>
              </w:rPr>
              <w:t>مسئول: انبار — سند کلیدی: GRN</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FDF6E4"/>
            <w:tcMar>
              <w:top w:w="45" w:type="dxa"/>
              <w:left w:w="90" w:type="dxa"/>
              <w:bottom w:w="45" w:type="dxa"/>
              <w:right w:w="90" w:type="dxa"/>
            </w:tcMar>
            <w:vAlign w:val="center"/>
          </w:tcPr>
          <w:p>
            <w:pPr>
              <w:bidi w:val="1"/>
              <w:spacing w:after="20" w:before="20" w:line="264" w:lineRule="auto"/>
              <w:jc w:val="center"/>
            </w:pPr>
            <w:r>
              <w:rPr>
                <w:b/>
                <w:i w:val="0"/>
                <w:color w:val="9E801A"/>
                <w:sz w:val="21"/>
              </w:rPr>
              <w:t>تصمیم: بازرسی کیفی ورودی (AQL/100٪)</w:t>
            </w:r>
          </w:p>
          <w:p>
            <w:pPr>
              <w:bidi w:val="1"/>
              <w:spacing w:after="20" w:before="0" w:line="264" w:lineRule="auto"/>
              <w:jc w:val="center"/>
            </w:pPr>
            <w:r>
              <w:rPr>
                <w:b w:val="0"/>
                <w:i w:val="0"/>
                <w:color w:val="747F8D"/>
                <w:sz w:val="17"/>
              </w:rPr>
              <w:t>پذیرش / رد / بررسی (MRB)</w:t>
            </w:r>
          </w:p>
          <w:p>
            <w:pPr>
              <w:bidi w:val="1"/>
              <w:spacing w:after="20" w:before="0" w:line="264" w:lineRule="auto"/>
              <w:jc w:val="center"/>
            </w:pPr>
            <w:r>
              <w:rPr>
                <w:b w:val="0"/>
                <w:i/>
                <w:color w:val="747F8D"/>
                <w:sz w:val="17"/>
              </w:rPr>
              <w:t>مسئول: بازرسی (مستقل) — سند: گزارش QC</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مغایرت: برگشت/تجویص + گزارش انحراف به تأمین‌کننده</w:t>
            </w:r>
          </w:p>
          <w:p>
            <w:pPr>
              <w:bidi w:val="1"/>
              <w:spacing w:after="20" w:before="0" w:line="264" w:lineRule="auto"/>
              <w:jc w:val="center"/>
            </w:pPr>
            <w:r>
              <w:rPr>
                <w:b w:val="0"/>
                <w:i w:val="0"/>
                <w:color w:val="747F8D"/>
                <w:sz w:val="17"/>
              </w:rPr>
              <w:t>موارد رد؛ پیگیری اصلاحی (8.7)</w:t>
            </w:r>
          </w:p>
          <w:p>
            <w:pPr>
              <w:bidi w:val="1"/>
              <w:spacing w:after="20" w:before="0" w:line="264" w:lineRule="auto"/>
              <w:jc w:val="center"/>
            </w:pPr>
            <w:r>
              <w:rPr>
                <w:b w:val="0"/>
                <w:i/>
                <w:color w:val="747F8D"/>
                <w:sz w:val="17"/>
              </w:rPr>
              <w:t>مسئول: تدارکات + بازرسی — سند: گزارش انحراف</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ثبت فاکتور تأمین‌کننده در سیستم</w:t>
            </w:r>
          </w:p>
          <w:p>
            <w:pPr>
              <w:bidi w:val="1"/>
              <w:spacing w:after="20" w:before="0" w:line="264" w:lineRule="auto"/>
              <w:jc w:val="center"/>
            </w:pPr>
            <w:r>
              <w:rPr>
                <w:b w:val="0"/>
                <w:i w:val="0"/>
                <w:color w:val="747F8D"/>
                <w:sz w:val="17"/>
              </w:rPr>
              <w:t>بازبینی اولیهٔ قیمت/تاریخ/مالیات</w:t>
            </w:r>
          </w:p>
          <w:p>
            <w:pPr>
              <w:bidi w:val="1"/>
              <w:spacing w:after="20" w:before="0" w:line="264" w:lineRule="auto"/>
              <w:jc w:val="center"/>
            </w:pPr>
            <w:r>
              <w:rPr>
                <w:b w:val="0"/>
                <w:i/>
                <w:color w:val="747F8D"/>
                <w:sz w:val="17"/>
              </w:rPr>
              <w:t>مسئول: حسابداری — سند کلیدی: فاکتور ثبت‌شده</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FCEBE9"/>
            <w:tcMar>
              <w:top w:w="45" w:type="dxa"/>
              <w:left w:w="90" w:type="dxa"/>
              <w:bottom w:w="45" w:type="dxa"/>
              <w:right w:w="90" w:type="dxa"/>
            </w:tcMar>
            <w:vAlign w:val="center"/>
          </w:tcPr>
          <w:p>
            <w:pPr>
              <w:bidi w:val="1"/>
              <w:spacing w:after="20" w:before="20" w:line="264" w:lineRule="auto"/>
              <w:jc w:val="center"/>
            </w:pPr>
            <w:r>
              <w:rPr>
                <w:b/>
                <w:i w:val="0"/>
                <w:color w:val="B03A2E"/>
                <w:sz w:val="21"/>
              </w:rPr>
              <w:t>تصمیم: تطبیق چهارگانه (PO/GRN/QC/Inv)</w:t>
            </w:r>
          </w:p>
          <w:p>
            <w:pPr>
              <w:bidi w:val="1"/>
              <w:spacing w:after="20" w:before="0" w:line="264" w:lineRule="auto"/>
              <w:jc w:val="center"/>
            </w:pPr>
            <w:r>
              <w:rPr>
                <w:b w:val="0"/>
                <w:i w:val="0"/>
                <w:color w:val="747F8D"/>
                <w:sz w:val="17"/>
              </w:rPr>
              <w:t>حاشیهٔ مجاز ۲٪؛ مغایرت = بررسی دستی</w:t>
            </w:r>
          </w:p>
          <w:p>
            <w:pPr>
              <w:bidi w:val="1"/>
              <w:spacing w:after="20" w:before="0" w:line="264" w:lineRule="auto"/>
              <w:jc w:val="center"/>
            </w:pPr>
            <w:r>
              <w:rPr>
                <w:b w:val="0"/>
                <w:i/>
                <w:color w:val="747F8D"/>
                <w:sz w:val="17"/>
              </w:rPr>
              <w:t>مسئول: حسابداری — سند کلیدی: نتیجهٔ تطبیق</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پرداخت طبق شرایط قرارداد</w:t>
            </w:r>
          </w:p>
          <w:p>
            <w:pPr>
              <w:bidi w:val="1"/>
              <w:spacing w:after="20" w:before="0" w:line="264" w:lineRule="auto"/>
              <w:jc w:val="center"/>
            </w:pPr>
            <w:r>
              <w:rPr>
                <w:b w:val="0"/>
                <w:i w:val="0"/>
                <w:color w:val="747F8D"/>
                <w:sz w:val="17"/>
              </w:rPr>
              <w:t>تسویهٔ دوره‌ای با صورت‌حساب تأمین‌کننده</w:t>
            </w:r>
          </w:p>
          <w:p>
            <w:pPr>
              <w:bidi w:val="1"/>
              <w:spacing w:after="20" w:before="0" w:line="264" w:lineRule="auto"/>
              <w:jc w:val="center"/>
            </w:pPr>
            <w:r>
              <w:rPr>
                <w:b w:val="0"/>
                <w:i/>
                <w:color w:val="747F8D"/>
                <w:sz w:val="17"/>
              </w:rPr>
              <w:t>مسئول: مالی — سند کلیدی: پرداخت</w:t>
            </w:r>
          </w:p>
        </w:tc>
      </w:tr>
    </w:tbl>
    <w:p>
      <w:pPr>
        <w:pBdr>
          <w:bottom w:val="single" w:sz="12" w:space="4" w:color="D4AF37"/>
        </w:pBdr>
        <w:bidi w:val="1"/>
        <w:spacing w:after="200" w:before="320" w:line="264" w:lineRule="auto"/>
        <w:jc w:val="right"/>
        <w:outlineLvl w:val="0"/>
      </w:pPr>
      <w:r>
        <w:rPr>
          <w:b/>
          <w:i w:val="0"/>
          <w:color w:val="9E801A"/>
          <w:sz w:val="30"/>
        </w:rPr>
        <w:t xml:space="preserve">فصل ۴ — </w:t>
      </w:r>
      <w:r>
        <w:rPr>
          <w:b/>
          <w:i w:val="0"/>
          <w:color w:val="173154"/>
          <w:sz w:val="30"/>
        </w:rPr>
        <w:t>فرآیند تولید و بهای تمام‌شده استاندارد</w:t>
      </w:r>
    </w:p>
    <w:p>
      <w:pPr>
        <w:bidi w:val="1"/>
        <w:spacing w:after="160" w:before="200" w:line="264" w:lineRule="auto"/>
        <w:jc w:val="right"/>
        <w:outlineLvl w:val="1"/>
      </w:pPr>
      <w:r>
        <w:rPr>
          <w:b/>
          <w:i w:val="0"/>
          <w:color w:val="1F4E8C"/>
          <w:sz w:val="25"/>
        </w:rPr>
        <w:t>4.1  برنامه‌ریزی تولید</w:t>
      </w:r>
    </w:p>
    <w:p>
      <w:pPr>
        <w:bidi w:val="1"/>
        <w:spacing w:after="80" w:before="0" w:line="288" w:lineRule="auto"/>
        <w:ind w:left="312"/>
        <w:jc w:val="right"/>
      </w:pPr>
      <w:r>
        <w:rPr>
          <w:b/>
          <w:i w:val="0"/>
          <w:color w:val="9E801A"/>
          <w:sz w:val="21"/>
        </w:rPr>
        <w:t xml:space="preserve">•  </w:t>
      </w:r>
      <w:r>
        <w:rPr>
          <w:b w:val="0"/>
          <w:i w:val="0"/>
          <w:color w:val="1F2933"/>
          <w:sz w:val="21"/>
        </w:rPr>
        <w:t>برنامهٔ تولید اعلی (MPS) ماهانه توسط برنامه‌ریزی تولید با ورودی سفارش‌های تأییدشده (OCA)، S&amp;OP و ظرفیت تصویب می‌شود.</w:t>
      </w:r>
    </w:p>
    <w:p>
      <w:pPr>
        <w:bidi w:val="1"/>
        <w:spacing w:after="80" w:before="0" w:line="288" w:lineRule="auto"/>
        <w:ind w:left="312"/>
        <w:jc w:val="right"/>
      </w:pPr>
      <w:r>
        <w:rPr>
          <w:b/>
          <w:i w:val="0"/>
          <w:color w:val="9E801A"/>
          <w:sz w:val="21"/>
        </w:rPr>
        <w:t xml:space="preserve">•  </w:t>
      </w:r>
      <w:r>
        <w:rPr>
          <w:b w:val="0"/>
          <w:i w:val="0"/>
          <w:color w:val="1F2933"/>
          <w:sz w:val="21"/>
        </w:rPr>
        <w:t>تفکیک محصول به ساختار کار (WBS) و دستورهای ساخت (Routing) با زمان و نرخ‌های استاندارد؛ هر Routing = پایهٔ بهای دستمزد مستقیم.</w:t>
      </w:r>
    </w:p>
    <w:p>
      <w:pPr>
        <w:bidi w:val="1"/>
        <w:spacing w:after="80" w:before="0" w:line="288" w:lineRule="auto"/>
        <w:ind w:left="312"/>
        <w:jc w:val="right"/>
      </w:pPr>
      <w:r>
        <w:rPr>
          <w:b/>
          <w:i w:val="0"/>
          <w:color w:val="9E801A"/>
          <w:sz w:val="21"/>
        </w:rPr>
        <w:t xml:space="preserve">•  </w:t>
      </w:r>
      <w:r>
        <w:rPr>
          <w:b w:val="0"/>
          <w:i w:val="0"/>
          <w:color w:val="1F2933"/>
          <w:sz w:val="21"/>
        </w:rPr>
        <w:t>تغییر BOM/Routing فقط از طریق Change Request با ردّ تعقیب؛ بدون CR، مرجع تولید همان BOM و Routing نظام‌دار است.</w:t>
      </w:r>
    </w:p>
    <w:p>
      <w:pPr>
        <w:bidi w:val="1"/>
        <w:spacing w:after="160" w:before="200" w:line="264" w:lineRule="auto"/>
        <w:jc w:val="right"/>
        <w:outlineLvl w:val="1"/>
      </w:pPr>
      <w:r>
        <w:rPr>
          <w:b/>
          <w:i w:val="0"/>
          <w:color w:val="1F4E8C"/>
          <w:sz w:val="25"/>
        </w:rPr>
        <w:t>4.2  BOM و بهای استاندارد</w:t>
      </w:r>
    </w:p>
    <w:p>
      <w:pPr>
        <w:bidi w:val="1"/>
        <w:spacing w:after="120" w:before="0" w:line="288" w:lineRule="auto"/>
        <w:jc w:val="right"/>
      </w:pPr>
      <w:r>
        <w:rPr>
          <w:b w:val="0"/>
          <w:i w:val="0"/>
          <w:color w:val="1F2933"/>
          <w:sz w:val="21"/>
        </w:rPr>
        <w:t>بهای تمام‌شده استاندارد هر کالا = مجموع (مواد مستقیم × قیمت استاندارد) + (ساعات Routing × نرخ استاندارد دستمزد) + سربار تخصیص‌یافته. جزئیات ترکیب در بند 6.2.</w:t>
      </w:r>
    </w:p>
    <w:p>
      <w:pPr>
        <w:bidi w:val="1"/>
        <w:spacing w:after="160" w:before="200" w:line="264" w:lineRule="auto"/>
        <w:jc w:val="right"/>
        <w:outlineLvl w:val="1"/>
      </w:pPr>
      <w:r>
        <w:rPr>
          <w:b/>
          <w:i w:val="0"/>
          <w:color w:val="1F4E8C"/>
          <w:sz w:val="25"/>
        </w:rPr>
        <w:t>4.3  رهایی تولید و کیفیت</w:t>
      </w:r>
    </w:p>
    <w:p>
      <w:pPr>
        <w:bidi w:val="1"/>
        <w:spacing w:after="80" w:before="0" w:line="288" w:lineRule="auto"/>
        <w:ind w:left="312"/>
        <w:jc w:val="right"/>
      </w:pPr>
      <w:r>
        <w:rPr>
          <w:b/>
          <w:i w:val="0"/>
          <w:color w:val="9E801A"/>
          <w:sz w:val="21"/>
        </w:rPr>
        <w:t xml:space="preserve">•  </w:t>
      </w:r>
      <w:r>
        <w:rPr>
          <w:b w:val="0"/>
          <w:i w:val="0"/>
          <w:color w:val="1F2933"/>
          <w:sz w:val="21"/>
        </w:rPr>
        <w:t>دستور ساخت توسط برنامه‌ریزی تولید صدور می‌شود (نه توسط واحد فروش یا تولید).</w:t>
      </w:r>
    </w:p>
    <w:p>
      <w:pPr>
        <w:bidi w:val="1"/>
        <w:spacing w:after="80" w:before="0" w:line="288" w:lineRule="auto"/>
        <w:ind w:left="312"/>
        <w:jc w:val="right"/>
      </w:pPr>
      <w:r>
        <w:rPr>
          <w:b/>
          <w:i w:val="0"/>
          <w:color w:val="9E801A"/>
          <w:sz w:val="21"/>
        </w:rPr>
        <w:t xml:space="preserve">•  </w:t>
      </w:r>
      <w:r>
        <w:rPr>
          <w:b w:val="0"/>
          <w:i w:val="0"/>
          <w:color w:val="1F2933"/>
          <w:sz w:val="21"/>
        </w:rPr>
        <w:t>کنترل کیفیت در طول تولید: بازرسی نقطه‌های کانونی (شروع خط، بین‌عملياتی، نهایی) توسط QC مستقل.</w:t>
      </w:r>
    </w:p>
    <w:p>
      <w:pPr>
        <w:bidi w:val="1"/>
        <w:spacing w:after="80" w:before="0" w:line="288" w:lineRule="auto"/>
        <w:ind w:left="312"/>
        <w:jc w:val="right"/>
      </w:pPr>
      <w:r>
        <w:rPr>
          <w:b/>
          <w:i w:val="0"/>
          <w:color w:val="9E801A"/>
          <w:sz w:val="21"/>
        </w:rPr>
        <w:t xml:space="preserve">•  </w:t>
      </w:r>
      <w:r>
        <w:rPr>
          <w:b w:val="0"/>
          <w:i w:val="0"/>
          <w:color w:val="1F2933"/>
          <w:sz w:val="21"/>
        </w:rPr>
        <w:t>ترخیص محصول نهایی فقط پس از تأیید QC (کنترل 1) — واحد تولید هرگز خودش محصول خودش را ترخیص نمی‌کند.</w:t>
      </w:r>
    </w:p>
    <w:p>
      <w:pPr>
        <w:bidi w:val="1"/>
        <w:spacing w:after="80" w:before="0" w:line="288" w:lineRule="auto"/>
        <w:ind w:left="312"/>
        <w:jc w:val="right"/>
      </w:pPr>
      <w:r>
        <w:rPr>
          <w:b/>
          <w:i w:val="0"/>
          <w:color w:val="9E801A"/>
          <w:sz w:val="21"/>
        </w:rPr>
        <w:t xml:space="preserve">•  </w:t>
      </w:r>
      <w:r>
        <w:rPr>
          <w:b w:val="0"/>
          <w:i w:val="0"/>
          <w:color w:val="1F2933"/>
          <w:sz w:val="21"/>
        </w:rPr>
        <w:t>کالای معیوب: ثبت در گزارش ضایعات با کد علت؛ تحلیل Pareto ماهانه در جلسهٔ تولید.</w:t>
      </w:r>
    </w:p>
    <w:p>
      <w:pPr>
        <w:pBdr>
          <w:bottom w:val="single" w:sz="12" w:space="4" w:color="D4AF37"/>
        </w:pBdr>
        <w:bidi w:val="1"/>
        <w:spacing w:after="200" w:before="320" w:line="264" w:lineRule="auto"/>
        <w:jc w:val="right"/>
        <w:outlineLvl w:val="0"/>
      </w:pPr>
      <w:r>
        <w:rPr>
          <w:b/>
          <w:i w:val="0"/>
          <w:color w:val="9E801A"/>
          <w:sz w:val="30"/>
        </w:rPr>
        <w:t xml:space="preserve">فصل ۵ — </w:t>
      </w:r>
      <w:r>
        <w:rPr>
          <w:b/>
          <w:i w:val="0"/>
          <w:color w:val="173154"/>
          <w:sz w:val="30"/>
        </w:rPr>
        <w:t>فرآیند فروش و وصول وجه (Order-to-Cash)</w:t>
      </w:r>
    </w:p>
    <w:p>
      <w:pPr>
        <w:bidi w:val="1"/>
        <w:spacing w:after="160" w:before="200" w:line="264" w:lineRule="auto"/>
        <w:jc w:val="right"/>
        <w:outlineLvl w:val="1"/>
      </w:pPr>
      <w:r>
        <w:rPr>
          <w:b/>
          <w:i w:val="0"/>
          <w:color w:val="1F4E8C"/>
          <w:sz w:val="25"/>
        </w:rPr>
        <w:t>5.1  نقشهٔ فرآیند Order-to-Cash</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سفارش مشتری (OCA)</w:t>
            </w:r>
          </w:p>
          <w:p>
            <w:pPr>
              <w:bidi w:val="1"/>
              <w:spacing w:after="20" w:before="0" w:line="264" w:lineRule="auto"/>
              <w:jc w:val="center"/>
            </w:pPr>
            <w:r>
              <w:rPr>
                <w:b w:val="0"/>
                <w:i w:val="0"/>
                <w:color w:val="747F8D"/>
                <w:sz w:val="17"/>
              </w:rPr>
              <w:t>تأیید موجودی/ظرفیت و قیمت مجاز</w:t>
            </w:r>
          </w:p>
          <w:p>
            <w:pPr>
              <w:bidi w:val="1"/>
              <w:spacing w:after="20" w:before="0" w:line="264" w:lineRule="auto"/>
              <w:jc w:val="center"/>
            </w:pPr>
            <w:r>
              <w:rPr>
                <w:b w:val="0"/>
                <w:i/>
                <w:color w:val="747F8D"/>
                <w:sz w:val="17"/>
              </w:rPr>
              <w:t>مسئول: فروش — سند: OCA</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بررسی اعتبار و سقف</w:t>
            </w:r>
          </w:p>
          <w:p>
            <w:pPr>
              <w:bidi w:val="1"/>
              <w:spacing w:after="20" w:before="0" w:line="264" w:lineRule="auto"/>
              <w:jc w:val="center"/>
            </w:pPr>
            <w:r>
              <w:rPr>
                <w:b w:val="0"/>
                <w:i w:val="0"/>
                <w:color w:val="747F8D"/>
                <w:sz w:val="17"/>
              </w:rPr>
              <w:t>اعتبارسنجی مشتری + DSO فعلی</w:t>
            </w:r>
          </w:p>
          <w:p>
            <w:pPr>
              <w:bidi w:val="1"/>
              <w:spacing w:after="20" w:before="0" w:line="264" w:lineRule="auto"/>
              <w:jc w:val="center"/>
            </w:pPr>
            <w:r>
              <w:rPr>
                <w:b w:val="0"/>
                <w:i/>
                <w:color w:val="747F8D"/>
                <w:sz w:val="17"/>
              </w:rPr>
              <w:t>مسئول: اعتبار/مالی — سند: تأیید اعتبار</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حصصه‌بندی و ارسال</w:t>
            </w:r>
          </w:p>
          <w:p>
            <w:pPr>
              <w:bidi w:val="1"/>
              <w:spacing w:after="20" w:before="0" w:line="264" w:lineRule="auto"/>
              <w:jc w:val="center"/>
            </w:pPr>
            <w:r>
              <w:rPr>
                <w:b w:val="0"/>
                <w:i w:val="0"/>
                <w:color w:val="747F8D"/>
                <w:sz w:val="17"/>
              </w:rPr>
              <w:t>تحویل بر اساس زمان‌بندی تعهدشده (OTD)</w:t>
            </w:r>
          </w:p>
          <w:p>
            <w:pPr>
              <w:bidi w:val="1"/>
              <w:spacing w:after="20" w:before="0" w:line="264" w:lineRule="auto"/>
              <w:jc w:val="center"/>
            </w:pPr>
            <w:r>
              <w:rPr>
                <w:b w:val="0"/>
                <w:i/>
                <w:color w:val="747F8D"/>
                <w:sz w:val="17"/>
              </w:rPr>
              <w:t>مسئول: انبار/حمل — سند: فاکتور بار</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صدور فاکتور فروش</w:t>
            </w:r>
          </w:p>
          <w:p>
            <w:pPr>
              <w:bidi w:val="1"/>
              <w:spacing w:after="20" w:before="0" w:line="264" w:lineRule="auto"/>
              <w:jc w:val="center"/>
            </w:pPr>
            <w:r>
              <w:rPr>
                <w:b w:val="0"/>
                <w:i w:val="0"/>
                <w:color w:val="747F8D"/>
                <w:sz w:val="17"/>
              </w:rPr>
              <w:t>شناسایی درآمد مطابق IFRS 15 (بند 5.3)</w:t>
            </w:r>
          </w:p>
          <w:p>
            <w:pPr>
              <w:bidi w:val="1"/>
              <w:spacing w:after="20" w:before="0" w:line="264" w:lineRule="auto"/>
              <w:jc w:val="center"/>
            </w:pPr>
            <w:r>
              <w:rPr>
                <w:b w:val="0"/>
                <w:i/>
                <w:color w:val="747F8D"/>
                <w:sz w:val="17"/>
              </w:rPr>
              <w:t>مسئول: حسابداری — سند: فاکتور فروش</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FCEBE9"/>
            <w:tcMar>
              <w:top w:w="45" w:type="dxa"/>
              <w:left w:w="90" w:type="dxa"/>
              <w:bottom w:w="45" w:type="dxa"/>
              <w:right w:w="90" w:type="dxa"/>
            </w:tcMar>
            <w:vAlign w:val="center"/>
          </w:tcPr>
          <w:p>
            <w:pPr>
              <w:bidi w:val="1"/>
              <w:spacing w:after="20" w:before="20" w:line="264" w:lineRule="auto"/>
              <w:jc w:val="center"/>
            </w:pPr>
            <w:r>
              <w:rPr>
                <w:b/>
                <w:i w:val="0"/>
                <w:color w:val="B03A2E"/>
                <w:sz w:val="21"/>
              </w:rPr>
              <w:t>تطبیق سفارش/ارسال/فاکتور (سه‌نقطه)</w:t>
            </w:r>
          </w:p>
          <w:p>
            <w:pPr>
              <w:bidi w:val="1"/>
              <w:spacing w:after="20" w:before="0" w:line="264" w:lineRule="auto"/>
              <w:jc w:val="center"/>
            </w:pPr>
            <w:r>
              <w:rPr>
                <w:b w:val="0"/>
                <w:i w:val="0"/>
                <w:color w:val="747F8D"/>
                <w:sz w:val="17"/>
              </w:rPr>
              <w:t>مغایرت = توقف و بررسی</w:t>
            </w:r>
          </w:p>
          <w:p>
            <w:pPr>
              <w:bidi w:val="1"/>
              <w:spacing w:after="20" w:before="0" w:line="264" w:lineRule="auto"/>
              <w:jc w:val="center"/>
            </w:pPr>
            <w:r>
              <w:rPr>
                <w:b w:val="0"/>
                <w:i/>
                <w:color w:val="747F8D"/>
                <w:sz w:val="17"/>
              </w:rPr>
              <w:t>مسئول: حسابداری — سند: گزارش تطبیق</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وصول وجه</w:t>
            </w:r>
          </w:p>
          <w:p>
            <w:pPr>
              <w:bidi w:val="1"/>
              <w:spacing w:after="20" w:before="0" w:line="264" w:lineRule="auto"/>
              <w:jc w:val="center"/>
            </w:pPr>
            <w:r>
              <w:rPr>
                <w:b w:val="0"/>
                <w:i w:val="0"/>
                <w:color w:val="747F8D"/>
                <w:sz w:val="17"/>
              </w:rPr>
              <w:t>بر اساس شرایط پرداخت (حداکثر ۳۰ روز)</w:t>
            </w:r>
          </w:p>
          <w:p>
            <w:pPr>
              <w:bidi w:val="1"/>
              <w:spacing w:after="20" w:before="0" w:line="264" w:lineRule="auto"/>
              <w:jc w:val="center"/>
            </w:pPr>
            <w:r>
              <w:rPr>
                <w:b w:val="0"/>
                <w:i/>
                <w:color w:val="747F8D"/>
                <w:sz w:val="17"/>
              </w:rPr>
              <w:t>مسئول: اعتبار — سند: رسید</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FDF6E4"/>
            <w:tcMar>
              <w:top w:w="45" w:type="dxa"/>
              <w:left w:w="90" w:type="dxa"/>
              <w:bottom w:w="45" w:type="dxa"/>
              <w:right w:w="90" w:type="dxa"/>
            </w:tcMar>
            <w:vAlign w:val="center"/>
          </w:tcPr>
          <w:p>
            <w:pPr>
              <w:bidi w:val="1"/>
              <w:spacing w:after="20" w:before="20" w:line="264" w:lineRule="auto"/>
              <w:jc w:val="center"/>
            </w:pPr>
            <w:r>
              <w:rPr>
                <w:b/>
                <w:i w:val="0"/>
                <w:color w:val="9E801A"/>
                <w:sz w:val="21"/>
              </w:rPr>
              <w:t>تصمیم: وصول به‌موقع؟</w:t>
            </w:r>
          </w:p>
          <w:p>
            <w:pPr>
              <w:bidi w:val="1"/>
              <w:spacing w:after="20" w:before="0" w:line="264" w:lineRule="auto"/>
              <w:jc w:val="center"/>
            </w:pPr>
            <w:r>
              <w:rPr>
                <w:b w:val="0"/>
                <w:i w:val="0"/>
                <w:color w:val="747F8D"/>
                <w:sz w:val="17"/>
              </w:rPr>
              <w:t>خیر → مسیر بازه‌بندی (بند 5.4)</w:t>
            </w:r>
          </w:p>
          <w:p>
            <w:pPr>
              <w:bidi w:val="1"/>
              <w:spacing w:after="20" w:before="0" w:line="264" w:lineRule="auto"/>
              <w:jc w:val="center"/>
            </w:pPr>
            <w:r>
              <w:rPr>
                <w:b w:val="0"/>
                <w:i/>
                <w:color w:val="747F8D"/>
                <w:sz w:val="17"/>
              </w:rPr>
              <w:t>مسئول: اعتبار/فروش</w:t>
            </w:r>
          </w:p>
        </w:tc>
      </w:tr>
    </w:tbl>
    <w:p>
      <w:pPr>
        <w:bidi w:val="1"/>
        <w:spacing w:after="20" w:before="20" w:line="240" w:lineRule="auto"/>
        <w:jc w:val="center"/>
      </w:pPr>
      <w:r>
        <w:rPr>
          <w:rFonts w:ascii="Segoe UI Symbol" w:hAnsi="Segoe UI Symbol" w:cs="Segoe UI Symbol"/>
          <w:b/>
          <w:i w:val="0"/>
          <w:color w:val="2962A8"/>
          <w:sz w:val="26"/>
        </w:rPr>
        <w:t>↓</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C9D6E8"/>
              <w:left w:val="single" w:sz="4" w:space="0" w:color="C9D6E8"/>
              <w:bottom w:val="single" w:sz="4" w:space="0" w:color="C9D6E8"/>
              <w:right w:val="single" w:sz="4" w:space="0" w:color="C9D6E8"/>
            </w:tcBorders>
            <w:shd w:val="clear" w:color="auto" w:fill="ECF3FC"/>
            <w:tcMar>
              <w:top w:w="45" w:type="dxa"/>
              <w:left w:w="90" w:type="dxa"/>
              <w:bottom w:w="45" w:type="dxa"/>
              <w:right w:w="90" w:type="dxa"/>
            </w:tcMar>
            <w:vAlign w:val="center"/>
          </w:tcPr>
          <w:p>
            <w:pPr>
              <w:bidi w:val="1"/>
              <w:spacing w:after="20" w:before="20" w:line="264" w:lineRule="auto"/>
              <w:jc w:val="center"/>
            </w:pPr>
            <w:r>
              <w:rPr>
                <w:b/>
                <w:i w:val="0"/>
                <w:color w:val="173154"/>
                <w:sz w:val="21"/>
              </w:rPr>
              <w:t>بازه‌بندی و وصول مطالبات</w:t>
            </w:r>
          </w:p>
          <w:p>
            <w:pPr>
              <w:bidi w:val="1"/>
              <w:spacing w:after="20" w:before="0" w:line="264" w:lineRule="auto"/>
              <w:jc w:val="center"/>
            </w:pPr>
            <w:r>
              <w:rPr>
                <w:b w:val="0"/>
                <w:i w:val="0"/>
                <w:color w:val="747F8D"/>
                <w:sz w:val="17"/>
              </w:rPr>
              <w:t>۳۰/۶۰/۹۰ روز؛ سپس دایرهٔ حقوقی</w:t>
            </w:r>
          </w:p>
          <w:p>
            <w:pPr>
              <w:bidi w:val="1"/>
              <w:spacing w:after="20" w:before="0" w:line="264" w:lineRule="auto"/>
              <w:jc w:val="center"/>
            </w:pPr>
            <w:r>
              <w:rPr>
                <w:b w:val="0"/>
                <w:i/>
                <w:color w:val="747F8D"/>
                <w:sz w:val="17"/>
              </w:rPr>
              <w:t>مسئول: اعتبار/حقوقی — سند: صورت حساب باز</w:t>
            </w:r>
          </w:p>
        </w:tc>
      </w:tr>
    </w:tbl>
    <w:p>
      <w:pPr>
        <w:bidi w:val="1"/>
        <w:spacing w:after="160" w:before="200" w:line="264" w:lineRule="auto"/>
        <w:jc w:val="right"/>
        <w:outlineLvl w:val="1"/>
      </w:pPr>
      <w:r>
        <w:rPr>
          <w:b/>
          <w:i w:val="0"/>
          <w:color w:val="1F4E8C"/>
          <w:sz w:val="25"/>
        </w:rPr>
        <w:t>5.2  مدیریت اعتبار مشتری</w:t>
      </w:r>
    </w:p>
    <w:p>
      <w:pPr>
        <w:bidi w:val="1"/>
        <w:spacing w:after="80" w:before="0" w:line="288" w:lineRule="auto"/>
        <w:ind w:left="312"/>
        <w:jc w:val="right"/>
      </w:pPr>
      <w:r>
        <w:rPr>
          <w:b/>
          <w:i w:val="0"/>
          <w:color w:val="9E801A"/>
          <w:sz w:val="21"/>
        </w:rPr>
        <w:t xml:space="preserve">•  </w:t>
      </w:r>
      <w:r>
        <w:rPr>
          <w:b w:val="0"/>
          <w:i w:val="0"/>
          <w:color w:val="1F2933"/>
          <w:sz w:val="21"/>
        </w:rPr>
        <w:t>هر مشتری فعال دارای سقف اعتبار و شرایط پرداخت مشخص است؛ سفارش بدون تأیید اعتبار، رها نمی‌شود.</w:t>
      </w:r>
    </w:p>
    <w:p>
      <w:pPr>
        <w:bidi w:val="1"/>
        <w:spacing w:after="80" w:before="0" w:line="288" w:lineRule="auto"/>
        <w:ind w:left="312"/>
        <w:jc w:val="right"/>
      </w:pPr>
      <w:r>
        <w:rPr>
          <w:b/>
          <w:i w:val="0"/>
          <w:color w:val="9E801A"/>
          <w:sz w:val="21"/>
        </w:rPr>
        <w:t xml:space="preserve">•  </w:t>
      </w:r>
      <w:r>
        <w:rPr>
          <w:b w:val="0"/>
          <w:i w:val="0"/>
          <w:color w:val="1F2933"/>
          <w:sz w:val="21"/>
        </w:rPr>
        <w:t>DSO هدف: کمتر از ۳۰ روز؛ هر سفارش بالای سقف اعتبار نیازمند سطح 3 DOA است.</w:t>
      </w:r>
    </w:p>
    <w:p>
      <w:pPr>
        <w:bidi w:val="1"/>
        <w:spacing w:after="80" w:before="0" w:line="288" w:lineRule="auto"/>
        <w:ind w:left="312"/>
        <w:jc w:val="right"/>
      </w:pPr>
      <w:r>
        <w:rPr>
          <w:b/>
          <w:i w:val="0"/>
          <w:color w:val="9E801A"/>
          <w:sz w:val="21"/>
        </w:rPr>
        <w:t xml:space="preserve">•  </w:t>
      </w:r>
      <w:r>
        <w:rPr>
          <w:b w:val="0"/>
          <w:i w:val="0"/>
          <w:color w:val="1F2933"/>
          <w:sz w:val="21"/>
        </w:rPr>
        <w:t>مشتری‌های جدید: اعتبار اولیهٔ محدود + بازنگری پس از ۳ سفارش اول.</w:t>
      </w:r>
    </w:p>
    <w:p>
      <w:pPr>
        <w:bidi w:val="1"/>
        <w:spacing w:after="160" w:before="200" w:line="264" w:lineRule="auto"/>
        <w:jc w:val="right"/>
        <w:outlineLvl w:val="1"/>
      </w:pPr>
      <w:r>
        <w:rPr>
          <w:b/>
          <w:i w:val="0"/>
          <w:color w:val="1F4E8C"/>
          <w:sz w:val="25"/>
        </w:rPr>
        <w:t>5.3  شناسایی درآمد (IFRS 15)</w:t>
      </w:r>
    </w:p>
    <w:p>
      <w:pPr>
        <w:bidi w:val="1"/>
        <w:spacing w:after="120" w:before="0" w:line="288" w:lineRule="auto"/>
        <w:jc w:val="right"/>
      </w:pPr>
      <w:r>
        <w:rPr>
          <w:b w:val="0"/>
          <w:i w:val="0"/>
          <w:color w:val="1F2933"/>
          <w:sz w:val="21"/>
        </w:rPr>
        <w:t>شناسایی درآمد در پنج مرحله: ۱) شناسایی قرارداد با مشتری؛ ۲) شناسایی تکالیف عملکردی؛ ۳) تعیین قیمت معامله؛ ۴) تخصیص قیمت به تکالیف عملکردی؛ ۵) شناسایی درآمد هنگام (یا در طول) ارضای تکلیف. برای فروش فیزیکی کالا، ارضای تکلیف معمولاً هنگام انتقال کنترل (تحویل) رخ می‌دهد؛ تخفیفات متعلقه و حق بازگشت، قیمت معامله را در مراحل 3 و 4 تغییر می‌دهند.</w:t>
      </w:r>
    </w:p>
    <w:p>
      <w:pPr>
        <w:bidi w:val="1"/>
        <w:spacing w:after="160" w:before="200" w:line="264" w:lineRule="auto"/>
        <w:jc w:val="right"/>
        <w:outlineLvl w:val="1"/>
      </w:pPr>
      <w:r>
        <w:rPr>
          <w:b/>
          <w:i w:val="0"/>
          <w:color w:val="1F4E8C"/>
          <w:sz w:val="25"/>
        </w:rPr>
        <w:t>5.4  وصول و اختلاف</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4819"/>
        <w:gridCol w:w="4819"/>
      </w:tblGrid>
      <w:tr>
        <w:tc>
          <w:tcPr>
            <w:tcW w:type="dxa" w:w="226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9"/>
              </w:rPr>
              <w:t>بازه</w:t>
            </w:r>
          </w:p>
        </w:tc>
        <w:tc>
          <w:tcPr>
            <w:tcW w:type="dxa" w:w="7370"/>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9"/>
              </w:rPr>
              <w:t>اقدام</w:t>
            </w:r>
          </w:p>
        </w:tc>
      </w:tr>
      <w:tr>
        <w:tc>
          <w:tcPr>
            <w:tcW w:type="dxa" w:w="2268"/>
            <w:tcMar>
              <w:top w:w="45" w:type="dxa"/>
              <w:left w:w="90" w:type="dxa"/>
              <w:bottom w:w="45" w:type="dxa"/>
              <w:right w:w="90" w:type="dxa"/>
            </w:tcMar>
            <w:vAlign w:val="center"/>
          </w:tcPr>
          <w:p>
            <w:pPr>
              <w:bidi w:val="1"/>
              <w:spacing w:after="0" w:before="0" w:line="276" w:lineRule="auto"/>
              <w:jc w:val="right"/>
            </w:pPr>
            <w:r>
              <w:rPr>
                <w:b w:val="0"/>
                <w:i w:val="0"/>
                <w:color w:val="1F2933"/>
                <w:sz w:val="19"/>
              </w:rPr>
              <w:t>۱ تا ۳۰ روز</w:t>
            </w:r>
          </w:p>
        </w:tc>
        <w:tc>
          <w:tcPr>
            <w:tcW w:type="dxa" w:w="7370"/>
            <w:tcMar>
              <w:top w:w="45" w:type="dxa"/>
              <w:left w:w="90" w:type="dxa"/>
              <w:bottom w:w="45" w:type="dxa"/>
              <w:right w:w="90" w:type="dxa"/>
            </w:tcMar>
            <w:vAlign w:val="center"/>
          </w:tcPr>
          <w:p>
            <w:pPr>
              <w:bidi w:val="1"/>
              <w:spacing w:after="0" w:before="0" w:line="276" w:lineRule="auto"/>
              <w:jc w:val="right"/>
            </w:pPr>
            <w:r>
              <w:rPr>
                <w:b w:val="0"/>
                <w:i w:val="0"/>
                <w:color w:val="1F2933"/>
                <w:sz w:val="19"/>
              </w:rPr>
              <w:t>یادآوری خودکار + تماس واحد اعتبار</w:t>
            </w:r>
          </w:p>
        </w:tc>
      </w:tr>
      <w:tr>
        <w:tc>
          <w:tcPr>
            <w:tcW w:type="dxa" w:w="226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9"/>
              </w:rPr>
              <w:t>۳۱ تا ۶۰ روز</w:t>
            </w:r>
          </w:p>
        </w:tc>
        <w:tc>
          <w:tcPr>
            <w:tcW w:type="dxa" w:w="7370"/>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9"/>
              </w:rPr>
              <w:t>مکاتبهٔ رسمی + توقف سفارش‌های جدید تا تسویه</w:t>
            </w:r>
          </w:p>
        </w:tc>
      </w:tr>
      <w:tr>
        <w:tc>
          <w:tcPr>
            <w:tcW w:type="dxa" w:w="2268"/>
            <w:tcMar>
              <w:top w:w="45" w:type="dxa"/>
              <w:left w:w="90" w:type="dxa"/>
              <w:bottom w:w="45" w:type="dxa"/>
              <w:right w:w="90" w:type="dxa"/>
            </w:tcMar>
            <w:vAlign w:val="center"/>
          </w:tcPr>
          <w:p>
            <w:pPr>
              <w:bidi w:val="1"/>
              <w:spacing w:after="0" w:before="0" w:line="276" w:lineRule="auto"/>
              <w:jc w:val="right"/>
            </w:pPr>
            <w:r>
              <w:rPr>
                <w:b w:val="0"/>
                <w:i w:val="0"/>
                <w:color w:val="1F2933"/>
                <w:sz w:val="19"/>
              </w:rPr>
              <w:t>۶۱ تا ۹۰ روز</w:t>
            </w:r>
          </w:p>
        </w:tc>
        <w:tc>
          <w:tcPr>
            <w:tcW w:type="dxa" w:w="7370"/>
            <w:tcMar>
              <w:top w:w="45" w:type="dxa"/>
              <w:left w:w="90" w:type="dxa"/>
              <w:bottom w:w="45" w:type="dxa"/>
              <w:right w:w="90" w:type="dxa"/>
            </w:tcMar>
            <w:vAlign w:val="center"/>
          </w:tcPr>
          <w:p>
            <w:pPr>
              <w:bidi w:val="1"/>
              <w:spacing w:after="0" w:before="0" w:line="276" w:lineRule="auto"/>
              <w:jc w:val="right"/>
            </w:pPr>
            <w:r>
              <w:rPr>
                <w:b w:val="0"/>
                <w:i w:val="0"/>
                <w:color w:val="1F2933"/>
                <w:sz w:val="19"/>
              </w:rPr>
              <w:t>ارجاع به دایرهٔ حقوقی + مذاکرهٔ تسویهٔ تدریجی</w:t>
            </w:r>
          </w:p>
        </w:tc>
      </w:tr>
      <w:tr>
        <w:tc>
          <w:tcPr>
            <w:tcW w:type="dxa" w:w="226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9"/>
              </w:rPr>
              <w:t>بیش از ۹۰ روز</w:t>
            </w:r>
          </w:p>
        </w:tc>
        <w:tc>
          <w:tcPr>
            <w:tcW w:type="dxa" w:w="7370"/>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9"/>
              </w:rPr>
              <w:t>تصمیم هیئت‌مدیره (سطح 4): مطالبهٔ حقوقی یا تفکیک با ذخیره</w:t>
            </w:r>
          </w:p>
        </w:tc>
      </w:tr>
    </w:tbl>
    <w:p>
      <w:pPr>
        <w:pBdr>
          <w:bottom w:val="single" w:sz="12" w:space="4" w:color="D4AF37"/>
        </w:pBdr>
        <w:bidi w:val="1"/>
        <w:spacing w:after="200" w:before="320" w:line="264" w:lineRule="auto"/>
        <w:jc w:val="right"/>
        <w:outlineLvl w:val="0"/>
      </w:pPr>
      <w:r>
        <w:rPr>
          <w:b/>
          <w:i w:val="0"/>
          <w:color w:val="9E801A"/>
          <w:sz w:val="30"/>
        </w:rPr>
        <w:t xml:space="preserve">فصل ۶ — </w:t>
      </w:r>
      <w:r>
        <w:rPr>
          <w:b/>
          <w:i w:val="0"/>
          <w:color w:val="173154"/>
          <w:sz w:val="30"/>
        </w:rPr>
        <w:t>قیمت‌گذاری و بهای تمام‌شده</w:t>
      </w:r>
    </w:p>
    <w:p>
      <w:pPr>
        <w:bidi w:val="1"/>
        <w:spacing w:after="120" w:before="0" w:line="288" w:lineRule="auto"/>
        <w:jc w:val="right"/>
      </w:pPr>
      <w:r>
        <w:rPr>
          <w:b w:val="0"/>
          <w:i w:val="0"/>
          <w:color w:val="1F2933"/>
          <w:sz w:val="21"/>
        </w:rPr>
        <w:t>این فصل قلب نظام مالی سند است: بهای تمام‌شده استاندارد از کجا ساخته می‌شود، قیمت از روی آن چگونه تعیین می‌شود، چه کسی تصمیم می‌گیرد و چه محرک‌هایی بازنگری قیمت را الزامی می‌کنند.</w:t>
      </w:r>
    </w:p>
    <w:p>
      <w:pPr>
        <w:bidi w:val="1"/>
        <w:spacing w:after="160" w:before="200" w:line="264" w:lineRule="auto"/>
        <w:jc w:val="right"/>
        <w:outlineLvl w:val="1"/>
      </w:pPr>
      <w:r>
        <w:rPr>
          <w:b/>
          <w:i w:val="0"/>
          <w:color w:val="1F4E8C"/>
          <w:sz w:val="25"/>
        </w:rPr>
        <w:t>6.1  روش بهای تمام‌شده</w:t>
      </w:r>
    </w:p>
    <w:p>
      <w:pPr>
        <w:bidi w:val="1"/>
        <w:spacing w:after="120" w:before="0" w:line="288" w:lineRule="auto"/>
        <w:jc w:val="right"/>
      </w:pPr>
      <w:r>
        <w:rPr>
          <w:b w:val="0"/>
          <w:i w:val="0"/>
          <w:color w:val="1F2933"/>
          <w:sz w:val="21"/>
        </w:rPr>
        <w:t>روش مرجع این مدل «بهای تمام‌شده استاندارد» (Standard Costing) بر مبنای IAS 2 است: قیمت ثابت و قابل‌بررسی در طول سال + انحراف ماهانه. اگر سهم سربار در بهای کل بالا باشد (بیش از ۳۰٪)، تخصیص سربار با روش فعالیت‌محور (ABC) انجام می‌شود تا قیمت‌ها واقعی بمانند.</w:t>
      </w:r>
    </w:p>
    <w:p>
      <w:pPr>
        <w:bidi w:val="1"/>
        <w:spacing w:after="160" w:before="200" w:line="264" w:lineRule="auto"/>
        <w:jc w:val="right"/>
        <w:outlineLvl w:val="1"/>
      </w:pPr>
      <w:r>
        <w:rPr>
          <w:b/>
          <w:i w:val="0"/>
          <w:color w:val="1F4E8C"/>
          <w:sz w:val="25"/>
        </w:rPr>
        <w:t>6.2  ترکیب بهای تمام‌شده استاندارد واحد</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D9E1EC"/>
              <w:left w:val="single" w:sz="4" w:space="0" w:color="D9E1EC"/>
              <w:bottom w:val="single" w:sz="4" w:space="0" w:color="D9E1EC"/>
              <w:right w:val="single" w:sz="24" w:space="0" w:color="2962A8"/>
            </w:tcBorders>
            <w:shd w:val="clear" w:color="auto" w:fill="E8F0FA"/>
            <w:tcMar>
              <w:top w:w="45" w:type="dxa"/>
              <w:left w:w="90" w:type="dxa"/>
              <w:bottom w:w="45" w:type="dxa"/>
              <w:right w:w="90" w:type="dxa"/>
            </w:tcMar>
            <w:vAlign w:val="center"/>
          </w:tcPr>
          <w:p>
            <w:pPr>
              <w:bidi w:val="1"/>
              <w:spacing w:after="40" w:before="0" w:line="288" w:lineRule="auto"/>
              <w:jc w:val="right"/>
            </w:pPr>
            <w:r>
              <w:rPr>
                <w:b/>
                <w:i w:val="0"/>
                <w:color w:val="173154"/>
                <w:sz w:val="21"/>
              </w:rPr>
              <w:t>فرمول مرجع</w:t>
            </w:r>
          </w:p>
          <w:p>
            <w:pPr>
              <w:bidi w:val="1"/>
              <w:spacing w:after="40" w:before="0" w:line="288" w:lineRule="auto"/>
              <w:jc w:val="right"/>
            </w:pPr>
            <w:r>
              <w:rPr>
                <w:b w:val="0"/>
                <w:i w:val="0"/>
                <w:color w:val="1F2933"/>
                <w:sz w:val="19"/>
              </w:rPr>
              <w:t>بهای استاندارد واحد = مجموع(مقادیر BOM × قیمت استاندارد مواد) + مجموع(ساعات Routing × نرخ استاندارد دستمزد) + سربار (تخصیص‌یافته)</w:t>
            </w:r>
          </w:p>
          <w:p>
            <w:pPr>
              <w:bidi w:val="1"/>
              <w:spacing w:after="40" w:before="0" w:line="288" w:lineRule="auto"/>
              <w:jc w:val="right"/>
            </w:pPr>
            <w:r>
              <w:rPr>
                <w:b w:val="0"/>
                <w:i w:val="0"/>
                <w:color w:val="1F2933"/>
                <w:sz w:val="19"/>
              </w:rPr>
              <w:t>قیمت فهرست = بهای استاندارد / (1 - حاشیهٔ هدف)</w:t>
            </w:r>
          </w:p>
          <w:p>
            <w:pPr>
              <w:bidi w:val="1"/>
              <w:spacing w:after="40" w:before="0" w:line="288" w:lineRule="auto"/>
              <w:jc w:val="right"/>
            </w:pPr>
            <w:r>
              <w:rPr>
                <w:b w:val="0"/>
                <w:i w:val="0"/>
                <w:color w:val="1F2933"/>
                <w:sz w:val="19"/>
              </w:rPr>
              <w:t>قیمت کف = بهای استاندارد / (1 - حداقل حاشیه)</w:t>
            </w:r>
          </w:p>
        </w:tc>
      </w:tr>
    </w:tbl>
    <w:p>
      <w:pPr>
        <w:bidi w:val="1"/>
        <w:spacing w:after="60" w:before="0" w:line="288" w:lineRule="auto"/>
        <w:jc w:val="right"/>
      </w:pPr>
    </w:p>
    <w:p>
      <w:pPr>
        <w:bidi w:val="1"/>
        <w:spacing w:after="80" w:before="0" w:line="288" w:lineRule="auto"/>
        <w:ind w:left="312"/>
        <w:jc w:val="right"/>
      </w:pPr>
      <w:r>
        <w:rPr>
          <w:b/>
          <w:i w:val="0"/>
          <w:color w:val="9E801A"/>
          <w:sz w:val="21"/>
        </w:rPr>
        <w:t xml:space="preserve">•  </w:t>
      </w:r>
      <w:r>
        <w:rPr>
          <w:b w:val="0"/>
          <w:i w:val="0"/>
          <w:color w:val="1F2933"/>
          <w:sz w:val="21"/>
        </w:rPr>
        <w:t>قیمت استاندارد مواد: میانگین وزنی قیمت‌های خرید تأییدشدهٔ ۶ ماه اخیر (بدون قیمت‌های ناپایدار و یکباره).</w:t>
      </w:r>
    </w:p>
    <w:p>
      <w:pPr>
        <w:bidi w:val="1"/>
        <w:spacing w:after="80" w:before="0" w:line="288" w:lineRule="auto"/>
        <w:ind w:left="312"/>
        <w:jc w:val="right"/>
      </w:pPr>
      <w:r>
        <w:rPr>
          <w:b/>
          <w:i w:val="0"/>
          <w:color w:val="9E801A"/>
          <w:sz w:val="21"/>
        </w:rPr>
        <w:t xml:space="preserve">•  </w:t>
      </w:r>
      <w:r>
        <w:rPr>
          <w:b w:val="0"/>
          <w:i w:val="0"/>
          <w:color w:val="1F2933"/>
          <w:sz w:val="21"/>
        </w:rPr>
        <w:t>بهای استاندارد هر محصول «مالک» دارد: واحد بهای تمام‌شده — نه تولید، نه فروش.</w:t>
      </w:r>
    </w:p>
    <w:p>
      <w:pPr>
        <w:bidi w:val="1"/>
        <w:spacing w:after="80" w:before="0" w:line="288" w:lineRule="auto"/>
        <w:ind w:left="312"/>
        <w:jc w:val="right"/>
      </w:pPr>
      <w:r>
        <w:rPr>
          <w:b/>
          <w:i w:val="0"/>
          <w:color w:val="9E801A"/>
          <w:sz w:val="21"/>
        </w:rPr>
        <w:t xml:space="preserve">•  </w:t>
      </w:r>
      <w:r>
        <w:rPr>
          <w:b w:val="0"/>
          <w:i w:val="0"/>
          <w:color w:val="1F2933"/>
          <w:sz w:val="21"/>
        </w:rPr>
        <w:t>تغییر قیمت استاندارد فقط از طریق فرایند رسمی (6.5) — نه با تصمیم‌های تکی فروشندگان.</w:t>
      </w:r>
    </w:p>
    <w:p>
      <w:pPr>
        <w:bidi w:val="1"/>
        <w:spacing w:after="160" w:before="200" w:line="264" w:lineRule="auto"/>
        <w:jc w:val="right"/>
        <w:outlineLvl w:val="1"/>
      </w:pPr>
      <w:r>
        <w:rPr>
          <w:b/>
          <w:i w:val="0"/>
          <w:color w:val="1F4E8C"/>
          <w:sz w:val="25"/>
        </w:rPr>
        <w:t>6.3  سه مدل قیمت‌گذاری — ترکیب آن‌ها</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204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مدل</w:t>
            </w:r>
          </w:p>
        </w:tc>
        <w:tc>
          <w:tcPr>
            <w:tcW w:type="dxa" w:w="362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مبنای قیمت</w:t>
            </w:r>
          </w:p>
        </w:tc>
        <w:tc>
          <w:tcPr>
            <w:tcW w:type="dxa" w:w="3969"/>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نقش در قیمت‌گذاری</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بها + حاشیه (Cost-Plus)</w:t>
            </w:r>
          </w:p>
        </w:tc>
        <w:tc>
          <w:tcPr>
            <w:tcW w:type="dxa" w:w="3628"/>
            <w:tcMar>
              <w:top w:w="45" w:type="dxa"/>
              <w:left w:w="90" w:type="dxa"/>
              <w:bottom w:w="45" w:type="dxa"/>
              <w:right w:w="90" w:type="dxa"/>
            </w:tcMar>
            <w:vAlign w:val="center"/>
          </w:tcPr>
          <w:p>
            <w:pPr>
              <w:bidi w:val="1"/>
              <w:spacing w:after="0" w:before="0" w:line="276" w:lineRule="auto"/>
              <w:jc w:val="right"/>
            </w:pPr>
            <w:r>
              <w:rPr>
                <w:b w:val="0"/>
                <w:i w:val="0"/>
                <w:color w:val="1F2933"/>
                <w:sz w:val="18"/>
              </w:rPr>
              <w:t>بهای تمام‌شده استاندارد + حاشیهٔ هدف</w:t>
            </w:r>
          </w:p>
        </w:tc>
        <w:tc>
          <w:tcPr>
            <w:tcW w:type="dxa" w:w="3969"/>
            <w:tcMar>
              <w:top w:w="45" w:type="dxa"/>
              <w:left w:w="90" w:type="dxa"/>
              <w:bottom w:w="45" w:type="dxa"/>
              <w:right w:w="90" w:type="dxa"/>
            </w:tcMar>
            <w:vAlign w:val="center"/>
          </w:tcPr>
          <w:p>
            <w:pPr>
              <w:bidi w:val="1"/>
              <w:spacing w:after="0" w:before="0" w:line="276" w:lineRule="auto"/>
              <w:jc w:val="right"/>
            </w:pPr>
            <w:r>
              <w:rPr>
                <w:b w:val="0"/>
                <w:i w:val="0"/>
                <w:color w:val="1F2933"/>
                <w:sz w:val="18"/>
              </w:rPr>
              <w:t>تعیین «قیمت کف» — زیر آن، قیمت پذیرفته نمی‌شود</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بازارمحور (Market-Based)</w:t>
            </w:r>
          </w:p>
        </w:tc>
        <w:tc>
          <w:tcPr>
            <w:tcW w:type="dxa" w:w="36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قیمت رقبا، بودجهٔ خریدار، سقف بازار</w:t>
            </w:r>
          </w:p>
        </w:tc>
        <w:tc>
          <w:tcPr>
            <w:tcW w:type="dxa" w:w="3969"/>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تعیین «لنگر قیمت» — واقع‌بینی در قیمت‌گذاری</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ارزش‌محور (Value-Based)</w:t>
            </w:r>
          </w:p>
        </w:tc>
        <w:tc>
          <w:tcPr>
            <w:tcW w:type="dxa" w:w="3628"/>
            <w:tcMar>
              <w:top w:w="45" w:type="dxa"/>
              <w:left w:w="90" w:type="dxa"/>
              <w:bottom w:w="45" w:type="dxa"/>
              <w:right w:w="90" w:type="dxa"/>
            </w:tcMar>
            <w:vAlign w:val="center"/>
          </w:tcPr>
          <w:p>
            <w:pPr>
              <w:bidi w:val="1"/>
              <w:spacing w:after="0" w:before="0" w:line="276" w:lineRule="auto"/>
              <w:jc w:val="right"/>
            </w:pPr>
            <w:r>
              <w:rPr>
                <w:b w:val="0"/>
                <w:i w:val="0"/>
                <w:color w:val="1F2933"/>
                <w:sz w:val="18"/>
              </w:rPr>
              <w:t>ارزش ادراک‌شده برای مشتری؛ تجزیهٔ ارزش محصول</w:t>
            </w:r>
          </w:p>
        </w:tc>
        <w:tc>
          <w:tcPr>
            <w:tcW w:type="dxa" w:w="3969"/>
            <w:tcMar>
              <w:top w:w="45" w:type="dxa"/>
              <w:left w:w="90" w:type="dxa"/>
              <w:bottom w:w="45" w:type="dxa"/>
              <w:right w:w="90" w:type="dxa"/>
            </w:tcMar>
            <w:vAlign w:val="center"/>
          </w:tcPr>
          <w:p>
            <w:pPr>
              <w:bidi w:val="1"/>
              <w:spacing w:after="0" w:before="0" w:line="276" w:lineRule="auto"/>
              <w:jc w:val="right"/>
            </w:pPr>
            <w:r>
              <w:rPr>
                <w:b w:val="0"/>
                <w:i w:val="0"/>
                <w:color w:val="1F2933"/>
                <w:sz w:val="18"/>
              </w:rPr>
              <w:t>تعیین «سقف ارزش» — جایی که می‌توان تا آن قیمت گرفت</w:t>
            </w:r>
          </w:p>
        </w:tc>
      </w:tr>
    </w:tbl>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E8D9AE"/>
              <w:left w:val="single" w:sz="4" w:space="0" w:color="E8D9AE"/>
              <w:bottom w:val="single" w:sz="4" w:space="0" w:color="E8D9AE"/>
              <w:right w:val="single" w:sz="24" w:space="0" w:color="9E801A"/>
            </w:tcBorders>
            <w:shd w:val="clear" w:color="auto" w:fill="FDF6E4"/>
            <w:tcMar>
              <w:top w:w="45" w:type="dxa"/>
              <w:left w:w="90" w:type="dxa"/>
              <w:bottom w:w="45" w:type="dxa"/>
              <w:right w:w="90" w:type="dxa"/>
            </w:tcMar>
            <w:vAlign w:val="center"/>
          </w:tcPr>
          <w:p>
            <w:pPr>
              <w:bidi w:val="1"/>
              <w:spacing w:after="40" w:before="0" w:line="288" w:lineRule="auto"/>
              <w:jc w:val="right"/>
            </w:pPr>
            <w:r>
              <w:rPr>
                <w:b/>
                <w:i w:val="0"/>
                <w:color w:val="9E801A"/>
                <w:sz w:val="21"/>
              </w:rPr>
              <w:t>ترکیب سه مدل</w:t>
            </w:r>
          </w:p>
          <w:p>
            <w:pPr>
              <w:bidi w:val="1"/>
              <w:spacing w:after="40" w:before="0" w:line="288" w:lineRule="auto"/>
              <w:jc w:val="right"/>
            </w:pPr>
            <w:r>
              <w:rPr>
                <w:b w:val="0"/>
                <w:i w:val="0"/>
                <w:color w:val="1F2933"/>
                <w:sz w:val="19"/>
              </w:rPr>
              <w:t>قیمت فهرست بین دو مرز قرار می‌گیرد: قیمت کف (بها) در پایین و سقف ارزش در بالا. بازار، جایگاه دقیق فهرست در این بازه را مشخص می‌کند. هیچ‌کدام از سه مدل به‌تنهایی کافی نیست — قیمت‌گذار حرفه‌ای هر سه را هم‌زمان می‌بیند.</w:t>
            </w:r>
          </w:p>
        </w:tc>
      </w:tr>
    </w:tbl>
    <w:p>
      <w:pPr>
        <w:bidi w:val="1"/>
        <w:spacing w:after="60" w:before="0" w:line="288" w:lineRule="auto"/>
        <w:jc w:val="right"/>
      </w:pPr>
    </w:p>
    <w:p>
      <w:pPr>
        <w:bidi w:val="1"/>
        <w:spacing w:after="160" w:before="200" w:line="264" w:lineRule="auto"/>
        <w:jc w:val="right"/>
        <w:outlineLvl w:val="1"/>
      </w:pPr>
      <w:r>
        <w:rPr>
          <w:b/>
          <w:i w:val="0"/>
          <w:color w:val="1F4E8C"/>
          <w:sz w:val="25"/>
        </w:rPr>
        <w:t>6.4  حاکمیت قیمت‌گذاری — کمیتهٔ قیمت‌گذاری</w:t>
      </w:r>
    </w:p>
    <w:p>
      <w:pPr>
        <w:bidi w:val="1"/>
        <w:spacing w:after="120" w:before="0" w:line="288" w:lineRule="auto"/>
        <w:jc w:val="right"/>
      </w:pPr>
      <w:r>
        <w:rPr>
          <w:b w:val="0"/>
          <w:i w:val="0"/>
          <w:color w:val="1F2933"/>
          <w:sz w:val="21"/>
        </w:rPr>
        <w:t>قیمت‌گذاری در این مدل «تصمیم جمعی ساختاریافته» است، نه تصمیم تکی. ترکیب کمیته: نمایندگان فروش، تولید، تدارکات، مالی و بهای تمام‌شده با ریاست واحد مالی/بهای تمام‌شده؛ جلسهٔ ماهانه بر اساس دستور کار:</w:t>
      </w:r>
    </w:p>
    <w:p>
      <w:pPr>
        <w:bidi w:val="1"/>
        <w:spacing w:after="80" w:before="0" w:line="288" w:lineRule="auto"/>
        <w:ind w:left="312"/>
        <w:jc w:val="right"/>
      </w:pPr>
      <w:r>
        <w:rPr>
          <w:b/>
          <w:i w:val="0"/>
          <w:color w:val="9E801A"/>
          <w:sz w:val="21"/>
        </w:rPr>
        <w:t xml:space="preserve">•  </w:t>
      </w:r>
      <w:r>
        <w:rPr>
          <w:b w:val="0"/>
          <w:i w:val="0"/>
          <w:color w:val="1F2933"/>
          <w:sz w:val="21"/>
        </w:rPr>
        <w:t>بازبینی انحراف بهای استاندارد/واقعی و تصویب تغییر استاندارد (بند 6.5).</w:t>
      </w:r>
    </w:p>
    <w:p>
      <w:pPr>
        <w:bidi w:val="1"/>
        <w:spacing w:after="80" w:before="0" w:line="288" w:lineRule="auto"/>
        <w:ind w:left="312"/>
        <w:jc w:val="right"/>
      </w:pPr>
      <w:r>
        <w:rPr>
          <w:b/>
          <w:i w:val="0"/>
          <w:color w:val="9E801A"/>
          <w:sz w:val="21"/>
        </w:rPr>
        <w:t xml:space="preserve">•  </w:t>
      </w:r>
      <w:r>
        <w:rPr>
          <w:b w:val="0"/>
          <w:i w:val="0"/>
          <w:color w:val="1F2933"/>
          <w:sz w:val="21"/>
        </w:rPr>
        <w:t>تصویب موارد زیر قیمت کف و تخفیفات بالای سطح (بند 7.2).</w:t>
      </w:r>
    </w:p>
    <w:p>
      <w:pPr>
        <w:bidi w:val="1"/>
        <w:spacing w:after="80" w:before="0" w:line="288" w:lineRule="auto"/>
        <w:ind w:left="312"/>
        <w:jc w:val="right"/>
      </w:pPr>
      <w:r>
        <w:rPr>
          <w:b/>
          <w:i w:val="0"/>
          <w:color w:val="9E801A"/>
          <w:sz w:val="21"/>
        </w:rPr>
        <w:t xml:space="preserve">•  </w:t>
      </w:r>
      <w:r>
        <w:rPr>
          <w:b w:val="0"/>
          <w:i w:val="0"/>
          <w:color w:val="1F2933"/>
          <w:sz w:val="21"/>
        </w:rPr>
        <w:t>روند قیمت‌های ورودی و تصمیم «تغییر یا عدم تغییر» فهرست قیمت.</w:t>
      </w:r>
    </w:p>
    <w:p>
      <w:pPr>
        <w:bidi w:val="1"/>
        <w:spacing w:after="80" w:before="0" w:line="288" w:lineRule="auto"/>
        <w:ind w:left="312"/>
        <w:jc w:val="right"/>
      </w:pPr>
      <w:r>
        <w:rPr>
          <w:b/>
          <w:i w:val="0"/>
          <w:color w:val="9E801A"/>
          <w:sz w:val="21"/>
        </w:rPr>
        <w:t xml:space="preserve">•  </w:t>
      </w:r>
      <w:r>
        <w:rPr>
          <w:b w:val="0"/>
          <w:i w:val="0"/>
          <w:color w:val="1F2933"/>
          <w:sz w:val="21"/>
        </w:rPr>
        <w:t>قیمت‌گذاری محصول/خط جدید همراه با دروازهٔ 5 مدل Stage-Gate.</w:t>
      </w:r>
    </w:p>
    <w:p>
      <w:pPr>
        <w:bidi w:val="1"/>
        <w:spacing w:after="160" w:before="200" w:line="264" w:lineRule="auto"/>
        <w:jc w:val="right"/>
        <w:outlineLvl w:val="1"/>
      </w:pPr>
      <w:r>
        <w:rPr>
          <w:b/>
          <w:i w:val="0"/>
          <w:color w:val="1F4E8C"/>
          <w:sz w:val="25"/>
        </w:rPr>
        <w:t>6.5  محرک‌های بازنگری قیمت (Trigger-Based Review)</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204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محرک</w:t>
            </w:r>
          </w:p>
        </w:tc>
        <w:tc>
          <w:tcPr>
            <w:tcW w:type="dxa" w:w="3175"/>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معیار استاندارد</w:t>
            </w:r>
          </w:p>
        </w:tc>
        <w:tc>
          <w:tcPr>
            <w:tcW w:type="dxa" w:w="4422"/>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اقدام الزامی</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تغییر مواد مستقیم</w:t>
            </w:r>
          </w:p>
        </w:tc>
        <w:tc>
          <w:tcPr>
            <w:tcW w:type="dxa" w:w="3175"/>
            <w:tcMar>
              <w:top w:w="45" w:type="dxa"/>
              <w:left w:w="90" w:type="dxa"/>
              <w:bottom w:w="45" w:type="dxa"/>
              <w:right w:w="90" w:type="dxa"/>
            </w:tcMar>
            <w:vAlign w:val="center"/>
          </w:tcPr>
          <w:p>
            <w:pPr>
              <w:bidi w:val="1"/>
              <w:spacing w:after="0" w:before="0" w:line="276" w:lineRule="auto"/>
              <w:jc w:val="right"/>
            </w:pPr>
            <w:r>
              <w:rPr>
                <w:b w:val="0"/>
                <w:i w:val="0"/>
                <w:color w:val="1F2933"/>
                <w:sz w:val="18"/>
              </w:rPr>
              <w:t>تغییر بیش از ۵٪ در ۳۰ روز</w:t>
            </w:r>
          </w:p>
        </w:tc>
        <w:tc>
          <w:tcPr>
            <w:tcW w:type="dxa" w:w="4422"/>
            <w:tcMar>
              <w:top w:w="45" w:type="dxa"/>
              <w:left w:w="90" w:type="dxa"/>
              <w:bottom w:w="45" w:type="dxa"/>
              <w:right w:w="90" w:type="dxa"/>
            </w:tcMar>
            <w:vAlign w:val="center"/>
          </w:tcPr>
          <w:p>
            <w:pPr>
              <w:bidi w:val="1"/>
              <w:spacing w:after="0" w:before="0" w:line="276" w:lineRule="auto"/>
              <w:jc w:val="right"/>
            </w:pPr>
            <w:r>
              <w:rPr>
                <w:b w:val="0"/>
                <w:i w:val="0"/>
                <w:color w:val="1F2933"/>
                <w:sz w:val="18"/>
              </w:rPr>
              <w:t>بازنگری قیمت ظرف ۱۵ روز کاری</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ارز / تورم</w:t>
            </w:r>
          </w:p>
        </w:tc>
        <w:tc>
          <w:tcPr>
            <w:tcW w:type="dxa" w:w="317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تغییر ۱۰٪</w:t>
            </w:r>
          </w:p>
        </w:tc>
        <w:tc>
          <w:tcPr>
            <w:tcW w:type="dxa" w:w="4422"/>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بازنگری بهای استاندارد (فرایند 6.2)</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حاشیهٔ سود</w:t>
            </w:r>
          </w:p>
        </w:tc>
        <w:tc>
          <w:tcPr>
            <w:tcW w:type="dxa" w:w="3175"/>
            <w:tcMar>
              <w:top w:w="45" w:type="dxa"/>
              <w:left w:w="90" w:type="dxa"/>
              <w:bottom w:w="45" w:type="dxa"/>
              <w:right w:w="90" w:type="dxa"/>
            </w:tcMar>
            <w:vAlign w:val="center"/>
          </w:tcPr>
          <w:p>
            <w:pPr>
              <w:bidi w:val="1"/>
              <w:spacing w:after="0" w:before="0" w:line="276" w:lineRule="auto"/>
              <w:jc w:val="right"/>
            </w:pPr>
            <w:r>
              <w:rPr>
                <w:b w:val="0"/>
                <w:i w:val="0"/>
                <w:color w:val="1F2933"/>
                <w:sz w:val="18"/>
              </w:rPr>
              <w:t>زیر هدف، ۳ ماه متوالی</w:t>
            </w:r>
          </w:p>
        </w:tc>
        <w:tc>
          <w:tcPr>
            <w:tcW w:type="dxa" w:w="4422"/>
            <w:tcMar>
              <w:top w:w="45" w:type="dxa"/>
              <w:left w:w="90" w:type="dxa"/>
              <w:bottom w:w="45" w:type="dxa"/>
              <w:right w:w="90" w:type="dxa"/>
            </w:tcMar>
            <w:vAlign w:val="center"/>
          </w:tcPr>
          <w:p>
            <w:pPr>
              <w:bidi w:val="1"/>
              <w:spacing w:after="0" w:before="0" w:line="276" w:lineRule="auto"/>
              <w:jc w:val="right"/>
            </w:pPr>
            <w:r>
              <w:rPr>
                <w:b w:val="0"/>
                <w:i w:val="0"/>
                <w:color w:val="1F2933"/>
                <w:sz w:val="18"/>
              </w:rPr>
              <w:t>بازنگری راهبردی قیمت (نه فقط تخفیف)</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رقابت / قیمت بازار</w:t>
            </w:r>
          </w:p>
        </w:tc>
        <w:tc>
          <w:tcPr>
            <w:tcW w:type="dxa" w:w="317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هر مورد</w:t>
            </w:r>
          </w:p>
        </w:tc>
        <w:tc>
          <w:tcPr>
            <w:tcW w:type="dxa" w:w="4422"/>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ارزیابی در کمیته + تصمیم راهبردی</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محصول/خط جدید</w:t>
            </w:r>
          </w:p>
        </w:tc>
        <w:tc>
          <w:tcPr>
            <w:tcW w:type="dxa" w:w="3175"/>
            <w:tcMar>
              <w:top w:w="45" w:type="dxa"/>
              <w:left w:w="90" w:type="dxa"/>
              <w:bottom w:w="45" w:type="dxa"/>
              <w:right w:w="90" w:type="dxa"/>
            </w:tcMar>
            <w:vAlign w:val="center"/>
          </w:tcPr>
          <w:p>
            <w:pPr>
              <w:bidi w:val="1"/>
              <w:spacing w:after="0" w:before="0" w:line="276" w:lineRule="auto"/>
              <w:jc w:val="right"/>
            </w:pPr>
            <w:r>
              <w:rPr>
                <w:b w:val="0"/>
                <w:i w:val="0"/>
                <w:color w:val="1F2933"/>
                <w:sz w:val="18"/>
              </w:rPr>
              <w:t>قبل از عرضه</w:t>
            </w:r>
          </w:p>
        </w:tc>
        <w:tc>
          <w:tcPr>
            <w:tcW w:type="dxa" w:w="4422"/>
            <w:tcMar>
              <w:top w:w="45" w:type="dxa"/>
              <w:left w:w="90" w:type="dxa"/>
              <w:bottom w:w="45" w:type="dxa"/>
              <w:right w:w="90" w:type="dxa"/>
            </w:tcMar>
            <w:vAlign w:val="center"/>
          </w:tcPr>
          <w:p>
            <w:pPr>
              <w:bidi w:val="1"/>
              <w:spacing w:after="0" w:before="0" w:line="276" w:lineRule="auto"/>
              <w:jc w:val="right"/>
            </w:pPr>
            <w:r>
              <w:rPr>
                <w:b w:val="0"/>
                <w:i w:val="0"/>
                <w:color w:val="1F2933"/>
                <w:sz w:val="18"/>
              </w:rPr>
              <w:t>قیمت‌گذاری پیش از عرضه (دروازه‌های 4 و 5)</w:t>
            </w:r>
          </w:p>
        </w:tc>
      </w:tr>
    </w:tbl>
    <w:p>
      <w:pPr>
        <w:bidi w:val="1"/>
        <w:spacing w:after="160" w:before="200" w:line="264" w:lineRule="auto"/>
        <w:jc w:val="right"/>
        <w:outlineLvl w:val="1"/>
      </w:pPr>
      <w:r>
        <w:rPr>
          <w:b/>
          <w:i w:val="0"/>
          <w:color w:val="1F4E8C"/>
          <w:sz w:val="25"/>
        </w:rPr>
        <w:t>6.6  پیوند «تأیید قیمت خرید» به بهای استاندارد</w:t>
      </w:r>
    </w:p>
    <w:p>
      <w:pPr>
        <w:bidi w:val="1"/>
        <w:spacing w:after="120" w:before="0" w:line="288" w:lineRule="auto"/>
        <w:jc w:val="right"/>
      </w:pPr>
      <w:r>
        <w:rPr>
          <w:b w:val="0"/>
          <w:i w:val="0"/>
          <w:color w:val="1F2933"/>
          <w:sz w:val="21"/>
        </w:rPr>
        <w:t>هر قیمت خرید تأییدشده (PO) وارد بهای استاندارد می‌شود؛ انحراف قیمت خرید (MPV) ماهانه برای تدارکات گزارش می‌شود — این همان نظارت بر «قیمت خرید تأییدشده» در چارچوب سطح 3 است. قراردادهای راهبردی بلندمدت فقط در صورتی مجازند که بند شفاف «اصلاح قیمت» (Pricing Adjustment Clause) در متن قرارداد داشته باشند.</w:t>
      </w:r>
    </w:p>
    <w:p>
      <w:pPr>
        <w:bidi w:val="1"/>
        <w:spacing w:after="80" w:before="0" w:line="288" w:lineRule="auto"/>
        <w:ind w:left="312"/>
        <w:jc w:val="right"/>
      </w:pPr>
      <w:r>
        <w:rPr>
          <w:b/>
          <w:i w:val="0"/>
          <w:color w:val="9E801A"/>
          <w:sz w:val="21"/>
        </w:rPr>
        <w:t xml:space="preserve">•  </w:t>
      </w:r>
      <w:r>
        <w:rPr>
          <w:b w:val="0"/>
          <w:i w:val="0"/>
          <w:color w:val="1F2933"/>
          <w:sz w:val="21"/>
        </w:rPr>
        <w:t>تغییر قیمت تأمین‌کننده در دورهٔ قرارداد = درخواست تغییر رسمی (CR) — نه صرفاً توافق شفاهی خریدار.</w:t>
      </w:r>
    </w:p>
    <w:p>
      <w:pPr>
        <w:bidi w:val="1"/>
        <w:spacing w:after="160" w:before="200" w:line="264" w:lineRule="auto"/>
        <w:jc w:val="right"/>
        <w:outlineLvl w:val="1"/>
      </w:pPr>
      <w:r>
        <w:rPr>
          <w:b/>
          <w:i w:val="0"/>
          <w:color w:val="1F4E8C"/>
          <w:sz w:val="25"/>
        </w:rPr>
        <w:t>6.7  مثال عددی — محصول X (میلیون ریال؛ ارقام فرضی آموزشی)</w:t>
      </w:r>
    </w:p>
    <w:p>
      <w:pPr>
        <w:bidi w:val="1"/>
        <w:spacing w:after="40" w:before="0" w:line="288" w:lineRule="auto"/>
        <w:jc w:val="right"/>
      </w:pPr>
      <w:r>
        <w:rPr>
          <w:b/>
          <w:i w:val="0"/>
          <w:color w:val="1F2933"/>
          <w:sz w:val="21"/>
        </w:rPr>
        <w:t>مرحلهٔ 1 — بهای تمام‌شده استاندارد:</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4535"/>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9"/>
              </w:rPr>
              <w:t>قطعه</w:t>
            </w:r>
          </w:p>
        </w:tc>
        <w:tc>
          <w:tcPr>
            <w:tcW w:type="dxa" w:w="226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9"/>
              </w:rPr>
              <w:t>مبلغ</w:t>
            </w:r>
          </w:p>
        </w:tc>
        <w:tc>
          <w:tcPr>
            <w:tcW w:type="dxa" w:w="2835"/>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9"/>
              </w:rPr>
              <w:t>درصد از کل</w:t>
            </w:r>
          </w:p>
        </w:tc>
      </w:tr>
      <w:tr>
        <w:tc>
          <w:tcPr>
            <w:tcW w:type="dxa" w:w="4535"/>
            <w:tcMar>
              <w:top w:w="45" w:type="dxa"/>
              <w:left w:w="90" w:type="dxa"/>
              <w:bottom w:w="45" w:type="dxa"/>
              <w:right w:w="90" w:type="dxa"/>
            </w:tcMar>
            <w:vAlign w:val="center"/>
          </w:tcPr>
          <w:p>
            <w:pPr>
              <w:bidi w:val="1"/>
              <w:spacing w:after="0" w:before="0" w:line="276" w:lineRule="auto"/>
              <w:jc w:val="right"/>
            </w:pPr>
            <w:r>
              <w:rPr>
                <w:b w:val="0"/>
                <w:i w:val="0"/>
                <w:color w:val="1F2933"/>
                <w:sz w:val="19"/>
              </w:rPr>
              <w:t>مواد مستقیم (BOM × قیمت استاندارد)</w:t>
            </w:r>
          </w:p>
        </w:tc>
        <w:tc>
          <w:tcPr>
            <w:tcW w:type="dxa" w:w="2268"/>
            <w:tcMar>
              <w:top w:w="45" w:type="dxa"/>
              <w:left w:w="90" w:type="dxa"/>
              <w:bottom w:w="45" w:type="dxa"/>
              <w:right w:w="90" w:type="dxa"/>
            </w:tcMar>
            <w:vAlign w:val="center"/>
          </w:tcPr>
          <w:p>
            <w:pPr>
              <w:bidi w:val="1"/>
              <w:spacing w:after="0" w:before="0" w:line="276" w:lineRule="auto"/>
              <w:jc w:val="center"/>
            </w:pPr>
            <w:r>
              <w:rPr>
                <w:b w:val="0"/>
                <w:i w:val="0"/>
                <w:color w:val="1F2933"/>
                <w:sz w:val="19"/>
              </w:rPr>
              <w:t>۱۲۰</w:t>
            </w:r>
          </w:p>
        </w:tc>
        <w:tc>
          <w:tcPr>
            <w:tcW w:type="dxa" w:w="2835"/>
            <w:tcMar>
              <w:top w:w="45" w:type="dxa"/>
              <w:left w:w="90" w:type="dxa"/>
              <w:bottom w:w="45" w:type="dxa"/>
              <w:right w:w="90" w:type="dxa"/>
            </w:tcMar>
            <w:vAlign w:val="center"/>
          </w:tcPr>
          <w:p>
            <w:pPr>
              <w:bidi w:val="1"/>
              <w:spacing w:after="0" w:before="0" w:line="276" w:lineRule="auto"/>
              <w:jc w:val="center"/>
            </w:pPr>
            <w:r>
              <w:rPr>
                <w:b w:val="0"/>
                <w:i w:val="0"/>
                <w:color w:val="1F2933"/>
                <w:sz w:val="19"/>
              </w:rPr>
              <w:t>۶۷٪</w:t>
            </w:r>
          </w:p>
        </w:tc>
      </w:tr>
      <w:tr>
        <w:tc>
          <w:tcPr>
            <w:tcW w:type="dxa" w:w="453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9"/>
              </w:rPr>
              <w:t>دستمزد مستقیم (Routing × نرخ)</w:t>
            </w:r>
          </w:p>
        </w:tc>
        <w:tc>
          <w:tcPr>
            <w:tcW w:type="dxa" w:w="2268"/>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9"/>
              </w:rPr>
              <w:t>۳۵</w:t>
            </w:r>
          </w:p>
        </w:tc>
        <w:tc>
          <w:tcPr>
            <w:tcW w:type="dxa" w:w="2835"/>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9"/>
              </w:rPr>
              <w:t>۱۹٪</w:t>
            </w:r>
          </w:p>
        </w:tc>
      </w:tr>
      <w:tr>
        <w:tc>
          <w:tcPr>
            <w:tcW w:type="dxa" w:w="4535"/>
            <w:tcMar>
              <w:top w:w="45" w:type="dxa"/>
              <w:left w:w="90" w:type="dxa"/>
              <w:bottom w:w="45" w:type="dxa"/>
              <w:right w:w="90" w:type="dxa"/>
            </w:tcMar>
            <w:vAlign w:val="center"/>
          </w:tcPr>
          <w:p>
            <w:pPr>
              <w:bidi w:val="1"/>
              <w:spacing w:after="0" w:before="0" w:line="276" w:lineRule="auto"/>
              <w:jc w:val="right"/>
            </w:pPr>
            <w:r>
              <w:rPr>
                <w:b w:val="0"/>
                <w:i w:val="0"/>
                <w:color w:val="1F2933"/>
                <w:sz w:val="19"/>
              </w:rPr>
              <w:t>سربار (استاندارد)</w:t>
            </w:r>
          </w:p>
        </w:tc>
        <w:tc>
          <w:tcPr>
            <w:tcW w:type="dxa" w:w="2268"/>
            <w:tcMar>
              <w:top w:w="45" w:type="dxa"/>
              <w:left w:w="90" w:type="dxa"/>
              <w:bottom w:w="45" w:type="dxa"/>
              <w:right w:w="90" w:type="dxa"/>
            </w:tcMar>
            <w:vAlign w:val="center"/>
          </w:tcPr>
          <w:p>
            <w:pPr>
              <w:bidi w:val="1"/>
              <w:spacing w:after="0" w:before="0" w:line="276" w:lineRule="auto"/>
              <w:jc w:val="center"/>
            </w:pPr>
            <w:r>
              <w:rPr>
                <w:b w:val="0"/>
                <w:i w:val="0"/>
                <w:color w:val="1F2933"/>
                <w:sz w:val="19"/>
              </w:rPr>
              <w:t>۲۵</w:t>
            </w:r>
          </w:p>
        </w:tc>
        <w:tc>
          <w:tcPr>
            <w:tcW w:type="dxa" w:w="2835"/>
            <w:tcMar>
              <w:top w:w="45" w:type="dxa"/>
              <w:left w:w="90" w:type="dxa"/>
              <w:bottom w:w="45" w:type="dxa"/>
              <w:right w:w="90" w:type="dxa"/>
            </w:tcMar>
            <w:vAlign w:val="center"/>
          </w:tcPr>
          <w:p>
            <w:pPr>
              <w:bidi w:val="1"/>
              <w:spacing w:after="0" w:before="0" w:line="276" w:lineRule="auto"/>
              <w:jc w:val="center"/>
            </w:pPr>
            <w:r>
              <w:rPr>
                <w:b w:val="0"/>
                <w:i w:val="0"/>
                <w:color w:val="1F2933"/>
                <w:sz w:val="19"/>
              </w:rPr>
              <w:t>۱۴٪</w:t>
            </w:r>
          </w:p>
        </w:tc>
      </w:tr>
      <w:tr>
        <w:tc>
          <w:tcPr>
            <w:tcW w:type="dxa" w:w="453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9"/>
              </w:rPr>
              <w:t>بهای تمام‌شده استاندارد واحد</w:t>
            </w:r>
          </w:p>
        </w:tc>
        <w:tc>
          <w:tcPr>
            <w:tcW w:type="dxa" w:w="2268"/>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9"/>
              </w:rPr>
              <w:t>۱۸۰</w:t>
            </w:r>
          </w:p>
        </w:tc>
        <w:tc>
          <w:tcPr>
            <w:tcW w:type="dxa" w:w="2835"/>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9"/>
              </w:rPr>
              <w:t>۱۰۰٪</w:t>
            </w:r>
          </w:p>
        </w:tc>
      </w:tr>
    </w:tbl>
    <w:p>
      <w:pPr>
        <w:bidi w:val="1"/>
        <w:spacing w:after="40" w:before="0" w:line="288" w:lineRule="auto"/>
        <w:jc w:val="right"/>
      </w:pPr>
      <w:r>
        <w:rPr>
          <w:b/>
          <w:i w:val="0"/>
          <w:color w:val="1F2933"/>
          <w:sz w:val="21"/>
        </w:rPr>
        <w:t>مرحلهٔ 2 — قیمت‌گذاری:</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3402"/>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9"/>
              </w:rPr>
              <w:t>مفهوم</w:t>
            </w:r>
          </w:p>
        </w:tc>
        <w:tc>
          <w:tcPr>
            <w:tcW w:type="dxa" w:w="3402"/>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9"/>
              </w:rPr>
              <w:t>محاسبه</w:t>
            </w:r>
          </w:p>
        </w:tc>
        <w:tc>
          <w:tcPr>
            <w:tcW w:type="dxa" w:w="2835"/>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9"/>
              </w:rPr>
              <w:t>نتیجه</w:t>
            </w:r>
          </w:p>
        </w:tc>
      </w:tr>
      <w:tr>
        <w:tc>
          <w:tcPr>
            <w:tcW w:type="dxa" w:w="3402"/>
            <w:tcMar>
              <w:top w:w="45" w:type="dxa"/>
              <w:left w:w="90" w:type="dxa"/>
              <w:bottom w:w="45" w:type="dxa"/>
              <w:right w:w="90" w:type="dxa"/>
            </w:tcMar>
            <w:vAlign w:val="center"/>
          </w:tcPr>
          <w:p>
            <w:pPr>
              <w:bidi w:val="1"/>
              <w:spacing w:after="0" w:before="0" w:line="276" w:lineRule="auto"/>
              <w:jc w:val="right"/>
            </w:pPr>
            <w:r>
              <w:rPr>
                <w:b w:val="0"/>
                <w:i w:val="0"/>
                <w:color w:val="1F2933"/>
                <w:sz w:val="19"/>
              </w:rPr>
              <w:t>قیمت کف (حداقل حاشیه ۱۰٪)</w:t>
            </w:r>
          </w:p>
        </w:tc>
        <w:tc>
          <w:tcPr>
            <w:tcW w:type="dxa" w:w="3402"/>
            <w:tcMar>
              <w:top w:w="45" w:type="dxa"/>
              <w:left w:w="90" w:type="dxa"/>
              <w:bottom w:w="45" w:type="dxa"/>
              <w:right w:w="90" w:type="dxa"/>
            </w:tcMar>
            <w:vAlign w:val="center"/>
          </w:tcPr>
          <w:p>
            <w:pPr>
              <w:bidi w:val="1"/>
              <w:spacing w:after="0" w:before="0" w:line="276" w:lineRule="auto"/>
              <w:jc w:val="center"/>
            </w:pPr>
            <w:r>
              <w:rPr>
                <w:b w:val="0"/>
                <w:i w:val="0"/>
                <w:color w:val="1F2933"/>
                <w:sz w:val="19"/>
              </w:rPr>
              <w:t>۱۸۰ / (1 - 0.10)</w:t>
            </w:r>
          </w:p>
        </w:tc>
        <w:tc>
          <w:tcPr>
            <w:tcW w:type="dxa" w:w="2835"/>
            <w:tcMar>
              <w:top w:w="45" w:type="dxa"/>
              <w:left w:w="90" w:type="dxa"/>
              <w:bottom w:w="45" w:type="dxa"/>
              <w:right w:w="90" w:type="dxa"/>
            </w:tcMar>
            <w:vAlign w:val="center"/>
          </w:tcPr>
          <w:p>
            <w:pPr>
              <w:bidi w:val="1"/>
              <w:spacing w:after="0" w:before="0" w:line="276" w:lineRule="auto"/>
              <w:jc w:val="center"/>
            </w:pPr>
            <w:r>
              <w:rPr>
                <w:b w:val="0"/>
                <w:i w:val="0"/>
                <w:color w:val="1F2933"/>
                <w:sz w:val="19"/>
              </w:rPr>
              <w:t>۲۰۰</w:t>
            </w:r>
          </w:p>
        </w:tc>
      </w:tr>
      <w:tr>
        <w:tc>
          <w:tcPr>
            <w:tcW w:type="dxa" w:w="3402"/>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9"/>
              </w:rPr>
              <w:t>قیمت فهرست (حاشیهٔ هدف ۲۵٪)</w:t>
            </w:r>
          </w:p>
        </w:tc>
        <w:tc>
          <w:tcPr>
            <w:tcW w:type="dxa" w:w="3402"/>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9"/>
              </w:rPr>
              <w:t>۱۸۰ × 1.25</w:t>
            </w:r>
          </w:p>
        </w:tc>
        <w:tc>
          <w:tcPr>
            <w:tcW w:type="dxa" w:w="2835"/>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9"/>
              </w:rPr>
              <w:t>۲۲۵</w:t>
            </w:r>
          </w:p>
        </w:tc>
      </w:tr>
      <w:tr>
        <w:tc>
          <w:tcPr>
            <w:tcW w:type="dxa" w:w="3402"/>
            <w:tcMar>
              <w:top w:w="45" w:type="dxa"/>
              <w:left w:w="90" w:type="dxa"/>
              <w:bottom w:w="45" w:type="dxa"/>
              <w:right w:w="90" w:type="dxa"/>
            </w:tcMar>
            <w:vAlign w:val="center"/>
          </w:tcPr>
          <w:p>
            <w:pPr>
              <w:bidi w:val="1"/>
              <w:spacing w:after="0" w:before="0" w:line="276" w:lineRule="auto"/>
              <w:jc w:val="right"/>
            </w:pPr>
            <w:r>
              <w:rPr>
                <w:b w:val="0"/>
                <w:i w:val="0"/>
                <w:color w:val="1F2933"/>
                <w:sz w:val="19"/>
              </w:rPr>
              <w:t>حداکثر تخفیف مجاز از فهرست</w:t>
            </w:r>
          </w:p>
        </w:tc>
        <w:tc>
          <w:tcPr>
            <w:tcW w:type="dxa" w:w="3402"/>
            <w:tcMar>
              <w:top w:w="45" w:type="dxa"/>
              <w:left w:w="90" w:type="dxa"/>
              <w:bottom w:w="45" w:type="dxa"/>
              <w:right w:w="90" w:type="dxa"/>
            </w:tcMar>
            <w:vAlign w:val="center"/>
          </w:tcPr>
          <w:p>
            <w:pPr>
              <w:bidi w:val="1"/>
              <w:spacing w:after="0" w:before="0" w:line="276" w:lineRule="auto"/>
              <w:jc w:val="center"/>
            </w:pPr>
            <w:r>
              <w:rPr>
                <w:b w:val="0"/>
                <w:i w:val="0"/>
                <w:color w:val="1F2933"/>
                <w:sz w:val="19"/>
              </w:rPr>
              <w:t>(۲۲۵ - ۲۰۰) / ۲۲۵</w:t>
            </w:r>
          </w:p>
        </w:tc>
        <w:tc>
          <w:tcPr>
            <w:tcW w:type="dxa" w:w="2835"/>
            <w:tcMar>
              <w:top w:w="45" w:type="dxa"/>
              <w:left w:w="90" w:type="dxa"/>
              <w:bottom w:w="45" w:type="dxa"/>
              <w:right w:w="90" w:type="dxa"/>
            </w:tcMar>
            <w:vAlign w:val="center"/>
          </w:tcPr>
          <w:p>
            <w:pPr>
              <w:bidi w:val="1"/>
              <w:spacing w:after="0" w:before="0" w:line="276" w:lineRule="auto"/>
              <w:jc w:val="center"/>
            </w:pPr>
            <w:r>
              <w:rPr>
                <w:b w:val="0"/>
                <w:i w:val="0"/>
                <w:color w:val="1F2933"/>
                <w:sz w:val="19"/>
              </w:rPr>
              <w:t>حدود ۱۱٪</w:t>
            </w:r>
          </w:p>
        </w:tc>
      </w:tr>
    </w:tbl>
    <w:p>
      <w:pPr>
        <w:bidi w:val="1"/>
        <w:spacing w:after="120" w:before="0" w:line="288" w:lineRule="auto"/>
        <w:jc w:val="right"/>
      </w:pPr>
      <w:r>
        <w:rPr>
          <w:b w:val="0"/>
          <w:i w:val="0"/>
          <w:color w:val="1F2933"/>
          <w:sz w:val="21"/>
        </w:rPr>
        <w:t>هر تخفیف بالای حدود ۱۱٪ یعنی فروش زیر کف — خارج از صلاحیت سطح 3 و نیازمند سطح 4 (بند 7.2).</w:t>
      </w:r>
    </w:p>
    <w:p>
      <w:pPr>
        <w:pBdr>
          <w:bottom w:val="single" w:sz="12" w:space="4" w:color="D4AF37"/>
        </w:pBdr>
        <w:bidi w:val="1"/>
        <w:spacing w:after="200" w:before="320" w:line="264" w:lineRule="auto"/>
        <w:jc w:val="right"/>
        <w:outlineLvl w:val="0"/>
      </w:pPr>
      <w:r>
        <w:rPr>
          <w:b/>
          <w:i w:val="0"/>
          <w:color w:val="9E801A"/>
          <w:sz w:val="30"/>
        </w:rPr>
        <w:t xml:space="preserve">فصل ۷ — </w:t>
      </w:r>
      <w:r>
        <w:rPr>
          <w:b/>
          <w:i w:val="0"/>
          <w:color w:val="173154"/>
          <w:sz w:val="30"/>
        </w:rPr>
        <w:t>ماتریس تفویض اختیار (DOA)</w:t>
      </w:r>
    </w:p>
    <w:p>
      <w:pPr>
        <w:bidi w:val="1"/>
        <w:spacing w:after="120" w:before="0" w:line="288" w:lineRule="auto"/>
        <w:jc w:val="right"/>
      </w:pPr>
      <w:r>
        <w:rPr>
          <w:b w:val="0"/>
          <w:i w:val="0"/>
          <w:color w:val="1F2933"/>
          <w:sz w:val="21"/>
        </w:rPr>
        <w:t>این فصل DOA چهارسطحی مدل را ارائه می‌دهد. ارقام «نسبی» به هزینه سالانهٔ خرید (B) و خالص‌فروش سالانه (S) هستند و سازمان مبنا باید مقدار مطلق را با تصویب هیئت‌مدیره تعریف کند.</w:t>
      </w:r>
    </w:p>
    <w:p>
      <w:pPr>
        <w:bidi w:val="1"/>
        <w:spacing w:after="160" w:before="200" w:line="264" w:lineRule="auto"/>
        <w:jc w:val="right"/>
        <w:outlineLvl w:val="1"/>
      </w:pPr>
      <w:r>
        <w:rPr>
          <w:b/>
          <w:i w:val="0"/>
          <w:color w:val="1F4E8C"/>
          <w:sz w:val="25"/>
        </w:rPr>
        <w:t>7.1  سطوح و معیارهای تعیین سطح</w:t>
      </w:r>
    </w:p>
    <w:p>
      <w:pPr>
        <w:bidi w:val="1"/>
        <w:spacing w:after="80" w:before="0" w:line="288" w:lineRule="auto"/>
        <w:ind w:left="312"/>
        <w:jc w:val="right"/>
      </w:pPr>
      <w:r>
        <w:rPr>
          <w:b/>
          <w:i w:val="0"/>
          <w:color w:val="9E801A"/>
          <w:sz w:val="21"/>
        </w:rPr>
        <w:t xml:space="preserve">•  </w:t>
      </w:r>
      <w:r>
        <w:rPr>
          <w:b w:val="0"/>
          <w:i w:val="0"/>
          <w:color w:val="1F2933"/>
          <w:sz w:val="21"/>
        </w:rPr>
        <w:t>سطح 1 — عملیاتی: مدیر ارشد در بازهٔ مصوب</w:t>
      </w:r>
    </w:p>
    <w:p>
      <w:pPr>
        <w:bidi w:val="1"/>
        <w:spacing w:after="80" w:before="0" w:line="288" w:lineRule="auto"/>
        <w:ind w:left="312"/>
        <w:jc w:val="right"/>
      </w:pPr>
      <w:r>
        <w:rPr>
          <w:b/>
          <w:i w:val="0"/>
          <w:color w:val="9E801A"/>
          <w:sz w:val="21"/>
        </w:rPr>
        <w:t xml:space="preserve">•  </w:t>
      </w:r>
      <w:r>
        <w:rPr>
          <w:b w:val="0"/>
          <w:i w:val="0"/>
          <w:color w:val="1F2933"/>
          <w:sz w:val="21"/>
        </w:rPr>
        <w:t>سطح 2 — مدیریتی: مدیریت میانی/کارکنان ارشد (مدیران)</w:t>
      </w:r>
    </w:p>
    <w:p>
      <w:pPr>
        <w:bidi w:val="1"/>
        <w:spacing w:after="80" w:before="0" w:line="288" w:lineRule="auto"/>
        <w:ind w:left="312"/>
        <w:jc w:val="right"/>
      </w:pPr>
      <w:r>
        <w:rPr>
          <w:b/>
          <w:i w:val="0"/>
          <w:color w:val="9E801A"/>
          <w:sz w:val="21"/>
        </w:rPr>
        <w:t xml:space="preserve">•  </w:t>
      </w:r>
      <w:r>
        <w:rPr>
          <w:b w:val="0"/>
          <w:i w:val="0"/>
          <w:color w:val="1F2933"/>
          <w:sz w:val="21"/>
        </w:rPr>
        <w:t>سطح 3 — ارشد: مدیرعامل</w:t>
      </w:r>
    </w:p>
    <w:p>
      <w:pPr>
        <w:bidi w:val="1"/>
        <w:spacing w:after="80" w:before="0" w:line="288" w:lineRule="auto"/>
        <w:ind w:left="312"/>
        <w:jc w:val="right"/>
      </w:pPr>
      <w:r>
        <w:rPr>
          <w:b/>
          <w:i w:val="0"/>
          <w:color w:val="9E801A"/>
          <w:sz w:val="21"/>
        </w:rPr>
        <w:t xml:space="preserve">•  </w:t>
      </w:r>
      <w:r>
        <w:rPr>
          <w:b w:val="0"/>
          <w:i w:val="0"/>
          <w:color w:val="1F2933"/>
          <w:sz w:val="21"/>
        </w:rPr>
        <w:t>سطح 4 — راهبردی: هیئت‌مدیره</w:t>
      </w:r>
    </w:p>
    <w:p>
      <w:pPr>
        <w:bidi w:val="1"/>
        <w:spacing w:after="120" w:before="0" w:line="288" w:lineRule="auto"/>
        <w:jc w:val="right"/>
      </w:pPr>
      <w:r>
        <w:rPr>
          <w:b w:val="0"/>
          <w:i w:val="0"/>
          <w:color w:val="1F2933"/>
          <w:sz w:val="21"/>
        </w:rPr>
        <w:t>معیار تعیین سطح: حاصل‌ضرب مبلغ × ریسک × اثر راهبردی؛ اگر معیار مبلغ و معیار راهبردی بودن جداگانه سطوح مختلف بدهند، سطح بالاتر حاکم است.</w:t>
      </w:r>
    </w:p>
    <w:p>
      <w:pPr>
        <w:bidi w:val="1"/>
        <w:spacing w:after="160" w:before="200" w:line="264" w:lineRule="auto"/>
        <w:jc w:val="right"/>
        <w:outlineLvl w:val="1"/>
      </w:pPr>
      <w:r>
        <w:rPr>
          <w:b/>
          <w:i w:val="0"/>
          <w:color w:val="1F4E8C"/>
          <w:sz w:val="25"/>
        </w:rPr>
        <w:t>7.2  ماتریس DOA (مدل مرجع)</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1928"/>
        <w:gridCol w:w="1928"/>
        <w:gridCol w:w="1928"/>
        <w:gridCol w:w="1928"/>
        <w:gridCol w:w="1928"/>
      </w:tblGrid>
      <w:tr>
        <w:tc>
          <w:tcPr>
            <w:tcW w:type="dxa" w:w="238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فعالیت</w:t>
            </w:r>
          </w:p>
        </w:tc>
        <w:tc>
          <w:tcPr>
            <w:tcW w:type="dxa" w:w="181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سطح 1 — عملیاتی</w:t>
            </w:r>
          </w:p>
        </w:tc>
        <w:tc>
          <w:tcPr>
            <w:tcW w:type="dxa" w:w="170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سطح 2 — مدیریتی</w:t>
            </w:r>
          </w:p>
        </w:tc>
        <w:tc>
          <w:tcPr>
            <w:tcW w:type="dxa" w:w="192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سطح 3 — مدیرعامل</w:t>
            </w:r>
          </w:p>
        </w:tc>
        <w:tc>
          <w:tcPr>
            <w:tcW w:type="dxa" w:w="181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سطح 4 — هیئت‌مدیره</w:t>
            </w:r>
          </w:p>
        </w:tc>
      </w:tr>
      <w:tr>
        <w:tc>
          <w:tcPr>
            <w:tcW w:type="dxa" w:w="2381"/>
            <w:tcMar>
              <w:top w:w="45" w:type="dxa"/>
              <w:left w:w="90" w:type="dxa"/>
              <w:bottom w:w="45" w:type="dxa"/>
              <w:right w:w="90" w:type="dxa"/>
            </w:tcMar>
            <w:vAlign w:val="center"/>
          </w:tcPr>
          <w:p>
            <w:pPr>
              <w:bidi w:val="1"/>
              <w:spacing w:after="0" w:before="0" w:line="276" w:lineRule="auto"/>
              <w:jc w:val="right"/>
            </w:pPr>
            <w:r>
              <w:rPr>
                <w:b w:val="0"/>
                <w:i w:val="0"/>
                <w:color w:val="1F2933"/>
                <w:sz w:val="17"/>
              </w:rPr>
              <w:t>سفارش خرید / قرارداد تأمین</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تا ۱٪ B</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تا ۵٪ B</w:t>
            </w:r>
          </w:p>
        </w:tc>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7"/>
              </w:rPr>
              <w:t>۵ تا ۲۰٪ B</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بیش از ۲۰٪ B</w:t>
            </w:r>
          </w:p>
        </w:tc>
      </w:tr>
      <w:tr>
        <w:tc>
          <w:tcPr>
            <w:tcW w:type="dxa" w:w="238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خرید خارج از برنامه (عجله‌ای)</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تا ۰.۵٪ B + دلایل ظرف ۵ روز</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تا ۲٪ B</w:t>
            </w:r>
          </w:p>
        </w:tc>
        <w:tc>
          <w:tcPr>
            <w:tcW w:type="dxa" w:w="19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بیش از ۲٪ B</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w:t>
            </w:r>
          </w:p>
        </w:tc>
      </w:tr>
      <w:tr>
        <w:tc>
          <w:tcPr>
            <w:tcW w:type="dxa" w:w="2381"/>
            <w:tcMar>
              <w:top w:w="45" w:type="dxa"/>
              <w:left w:w="90" w:type="dxa"/>
              <w:bottom w:w="45" w:type="dxa"/>
              <w:right w:w="90" w:type="dxa"/>
            </w:tcMar>
            <w:vAlign w:val="center"/>
          </w:tcPr>
          <w:p>
            <w:pPr>
              <w:bidi w:val="1"/>
              <w:spacing w:after="0" w:before="0" w:line="276" w:lineRule="auto"/>
              <w:jc w:val="right"/>
            </w:pPr>
            <w:r>
              <w:rPr>
                <w:b w:val="0"/>
                <w:i w:val="0"/>
                <w:color w:val="1F2933"/>
                <w:sz w:val="17"/>
              </w:rPr>
              <w:t>تغییر قیمت خرید بالاتر از بهای استاندارد</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تا ۳ ماهه</w:t>
            </w:r>
          </w:p>
        </w:tc>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7"/>
              </w:rPr>
              <w:t>۳ تا ۱۲ ماهه</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چندساله / راهبردی</w:t>
            </w:r>
          </w:p>
        </w:tc>
      </w:tr>
      <w:tr>
        <w:tc>
          <w:tcPr>
            <w:tcW w:type="dxa" w:w="238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ورود تأمین‌کنندهٔ جدید</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کلاس C (روتین)</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کلاس B</w:t>
            </w:r>
          </w:p>
        </w:tc>
        <w:tc>
          <w:tcPr>
            <w:tcW w:type="dxa" w:w="19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کلاس A (راهبردی)</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تک‌منبعهٔ راهبردی</w:t>
            </w:r>
          </w:p>
        </w:tc>
      </w:tr>
      <w:tr>
        <w:tc>
          <w:tcPr>
            <w:tcW w:type="dxa" w:w="2381"/>
            <w:tcMar>
              <w:top w:w="45" w:type="dxa"/>
              <w:left w:w="90" w:type="dxa"/>
              <w:bottom w:w="45" w:type="dxa"/>
              <w:right w:w="90" w:type="dxa"/>
            </w:tcMar>
            <w:vAlign w:val="center"/>
          </w:tcPr>
          <w:p>
            <w:pPr>
              <w:bidi w:val="1"/>
              <w:spacing w:after="0" w:before="0" w:line="276" w:lineRule="auto"/>
              <w:jc w:val="right"/>
            </w:pPr>
            <w:r>
              <w:rPr>
                <w:b w:val="0"/>
                <w:i w:val="0"/>
                <w:color w:val="1F2933"/>
                <w:sz w:val="17"/>
              </w:rPr>
              <w:t>تخفیف فروش از فهرست</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تا ۳٪</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۳ تا ۵٪</w:t>
            </w:r>
          </w:p>
        </w:tc>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7"/>
              </w:rPr>
              <w:t>۵ تا ۱۱٪</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بیش از ۱۱٪ (استراتژیک)</w:t>
            </w:r>
          </w:p>
        </w:tc>
      </w:tr>
      <w:tr>
        <w:tc>
          <w:tcPr>
            <w:tcW w:type="dxa" w:w="238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تغییر فهرست قیمت (ساختاری)</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w:t>
            </w:r>
          </w:p>
        </w:tc>
        <w:tc>
          <w:tcPr>
            <w:tcW w:type="dxa" w:w="19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سطح محصول</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ساختار / چند محصول</w:t>
            </w:r>
          </w:p>
        </w:tc>
      </w:tr>
      <w:tr>
        <w:tc>
          <w:tcPr>
            <w:tcW w:type="dxa" w:w="2381"/>
            <w:tcMar>
              <w:top w:w="45" w:type="dxa"/>
              <w:left w:w="90" w:type="dxa"/>
              <w:bottom w:w="45" w:type="dxa"/>
              <w:right w:w="90" w:type="dxa"/>
            </w:tcMar>
            <w:vAlign w:val="center"/>
          </w:tcPr>
          <w:p>
            <w:pPr>
              <w:bidi w:val="1"/>
              <w:spacing w:after="0" w:before="0" w:line="276" w:lineRule="auto"/>
              <w:jc w:val="right"/>
            </w:pPr>
            <w:r>
              <w:rPr>
                <w:b w:val="0"/>
                <w:i w:val="0"/>
                <w:color w:val="1F2933"/>
                <w:sz w:val="17"/>
              </w:rPr>
              <w:t>سرمایه‌گذاری پروژهٔ جدید (دروازهٔ 3)</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کلاس C (تا ۵٪ B)</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کلاس B (۵ تا ۲۰٪ B)</w:t>
            </w:r>
          </w:p>
        </w:tc>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7"/>
              </w:rPr>
              <w:t>کلاس A (بیش از ۲۰٪ B یا خط/سایت جدید)</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w:t>
            </w:r>
          </w:p>
        </w:tc>
      </w:tr>
      <w:tr>
        <w:tc>
          <w:tcPr>
            <w:tcW w:type="dxa" w:w="238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سقف اعتبار مشتری</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تا ۱٪ S</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۱ تا ۵٪ S</w:t>
            </w:r>
          </w:p>
        </w:tc>
        <w:tc>
          <w:tcPr>
            <w:tcW w:type="dxa" w:w="19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۵ تا ۲۰٪ S</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بیش از ۲۰٪ S</w:t>
            </w:r>
          </w:p>
        </w:tc>
      </w:tr>
      <w:tr>
        <w:tc>
          <w:tcPr>
            <w:tcW w:type="dxa" w:w="2381"/>
            <w:tcMar>
              <w:top w:w="45" w:type="dxa"/>
              <w:left w:w="90" w:type="dxa"/>
              <w:bottom w:w="45" w:type="dxa"/>
              <w:right w:w="90" w:type="dxa"/>
            </w:tcMar>
            <w:vAlign w:val="center"/>
          </w:tcPr>
          <w:p>
            <w:pPr>
              <w:bidi w:val="1"/>
              <w:spacing w:after="0" w:before="0" w:line="276" w:lineRule="auto"/>
              <w:jc w:val="right"/>
            </w:pPr>
            <w:r>
              <w:rPr>
                <w:b w:val="0"/>
                <w:i w:val="0"/>
                <w:color w:val="1F2933"/>
                <w:sz w:val="17"/>
              </w:rPr>
              <w:t>حذف / واگذاری دارایی</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تا ۰.۵٪ B</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تا ۲٪ B</w:t>
            </w:r>
          </w:p>
        </w:tc>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7"/>
              </w:rPr>
              <w:t>بیش از ۲٪ B</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7"/>
              </w:rPr>
              <w:t>دارایی راهبردی بزرگ</w:t>
            </w:r>
          </w:p>
        </w:tc>
      </w:tr>
    </w:tbl>
    <w:p>
      <w:pPr>
        <w:bidi w:val="1"/>
        <w:spacing w:after="160" w:before="200" w:line="264" w:lineRule="auto"/>
        <w:jc w:val="right"/>
        <w:outlineLvl w:val="1"/>
      </w:pPr>
      <w:r>
        <w:rPr>
          <w:b/>
          <w:i w:val="0"/>
          <w:color w:val="1F4E8C"/>
          <w:sz w:val="25"/>
        </w:rPr>
        <w:t>7.3  قواعد ساختاری DOA</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E8D9AE"/>
              <w:left w:val="single" w:sz="4" w:space="0" w:color="E8D9AE"/>
              <w:bottom w:val="single" w:sz="4" w:space="0" w:color="E8D9AE"/>
              <w:right w:val="single" w:sz="24" w:space="0" w:color="9E801A"/>
            </w:tcBorders>
            <w:shd w:val="clear" w:color="auto" w:fill="FDF6E4"/>
            <w:tcMar>
              <w:top w:w="45" w:type="dxa"/>
              <w:left w:w="90" w:type="dxa"/>
              <w:bottom w:w="45" w:type="dxa"/>
              <w:right w:w="90" w:type="dxa"/>
            </w:tcMar>
            <w:vAlign w:val="center"/>
          </w:tcPr>
          <w:p>
            <w:pPr>
              <w:bidi w:val="1"/>
              <w:spacing w:after="40" w:before="0" w:line="288" w:lineRule="auto"/>
              <w:jc w:val="right"/>
            </w:pPr>
            <w:r>
              <w:rPr>
                <w:b/>
                <w:i w:val="0"/>
                <w:color w:val="9E801A"/>
                <w:sz w:val="21"/>
              </w:rPr>
              <w:t>سه قاعدهٔ ساختاری</w:t>
            </w:r>
          </w:p>
          <w:p>
            <w:pPr>
              <w:bidi w:val="1"/>
              <w:spacing w:after="40" w:before="0" w:line="288" w:lineRule="auto"/>
              <w:jc w:val="right"/>
            </w:pPr>
            <w:r>
              <w:rPr>
                <w:b w:val="0"/>
                <w:i w:val="0"/>
                <w:color w:val="1F2933"/>
                <w:sz w:val="19"/>
              </w:rPr>
              <w:t>(1) قاعدهٔ تصمیم: خریدهای یکسان از یک تأمین‌کننده در ۱۲ ماه جاری جمع‌شده، با سطح DOA «مجموع» سنجش می‌شود — شکستن سفارش برای پایین نگه‌داشتن سقف، تخلف مالی است. (2) قاعدهٔ دو نفره: تصمیمات سطح 3 و 4 حداقل دو امضای مستقل (مثلاً مدیرعامل + مدیر مالی) یا مصوبهٔ کتبی هیئت‌مدیره می‌طلبد. (3) شرایط اضطراری: در شرایط اضطراری، تصمیم‌گیری فوری و کتبی؛ سپس بازنگری و تصویب در اولین جلسهٔ هیئت‌مدیره.</w:t>
            </w:r>
          </w:p>
        </w:tc>
      </w:tr>
    </w:tbl>
    <w:p>
      <w:pPr>
        <w:bidi w:val="1"/>
        <w:spacing w:after="60" w:before="0" w:line="288" w:lineRule="auto"/>
        <w:jc w:val="right"/>
      </w:pPr>
    </w:p>
    <w:p>
      <w:pPr>
        <w:pBdr>
          <w:bottom w:val="single" w:sz="12" w:space="4" w:color="D4AF37"/>
        </w:pBdr>
        <w:bidi w:val="1"/>
        <w:spacing w:after="200" w:before="320" w:line="264" w:lineRule="auto"/>
        <w:jc w:val="right"/>
        <w:outlineLvl w:val="0"/>
      </w:pPr>
      <w:r>
        <w:rPr>
          <w:b/>
          <w:i w:val="0"/>
          <w:color w:val="9E801A"/>
          <w:sz w:val="30"/>
        </w:rPr>
        <w:t xml:space="preserve">فصل ۸ — </w:t>
      </w:r>
      <w:r>
        <w:rPr>
          <w:b/>
          <w:i w:val="0"/>
          <w:color w:val="173154"/>
          <w:sz w:val="30"/>
        </w:rPr>
        <w:t>مدیریت پروژه‌های راه‌اندازی (Stage-Gate)</w:t>
      </w:r>
    </w:p>
    <w:p>
      <w:pPr>
        <w:bidi w:val="1"/>
        <w:spacing w:after="120" w:before="0" w:line="288" w:lineRule="auto"/>
        <w:jc w:val="right"/>
      </w:pPr>
      <w:r>
        <w:rPr>
          <w:b w:val="0"/>
          <w:i w:val="0"/>
          <w:color w:val="1F2933"/>
          <w:sz w:val="21"/>
        </w:rPr>
        <w:t>پروژه‌های راه‌اندازی خط جدید، سایت جدید و محصولات جدید نمی‌توانند از مسیر عملیاتی روزمره عبور کنند: ریسک، ارقام، زمان و سطح تصمیم‌گیری‌شان متفاوت است. مدل مرجع: Stage-Gate (Cooper, 1990; Cooper, 2008) — ۶ مرحله، ۵ دروازه.</w:t>
      </w:r>
    </w:p>
    <w:p>
      <w:pPr>
        <w:bidi w:val="1"/>
        <w:spacing w:after="160" w:before="200" w:line="264" w:lineRule="auto"/>
        <w:jc w:val="right"/>
        <w:outlineLvl w:val="1"/>
      </w:pPr>
      <w:r>
        <w:rPr>
          <w:b/>
          <w:i w:val="0"/>
          <w:color w:val="1F4E8C"/>
          <w:sz w:val="25"/>
        </w:rPr>
        <w:t>8.1  چرا مسیر مجزا؟</w:t>
      </w:r>
    </w:p>
    <w:p>
      <w:pPr>
        <w:bidi w:val="1"/>
        <w:spacing w:after="80" w:before="0" w:line="288" w:lineRule="auto"/>
        <w:ind w:left="312"/>
        <w:jc w:val="right"/>
      </w:pPr>
      <w:r>
        <w:rPr>
          <w:b/>
          <w:i w:val="0"/>
          <w:color w:val="9E801A"/>
          <w:sz w:val="21"/>
        </w:rPr>
        <w:t xml:space="preserve">•  </w:t>
      </w:r>
      <w:r>
        <w:rPr>
          <w:b w:val="0"/>
          <w:i w:val="0"/>
          <w:color w:val="1F2933"/>
          <w:sz w:val="21"/>
        </w:rPr>
        <w:t>پروژهٔ سرمایه‌ای بدون طرح توجیهی (FSB) = تعهد سنگین بدون «برگهٔ راه» — رایج‌ترین ریشهٔ شکست پروژه.</w:t>
      </w:r>
    </w:p>
    <w:p>
      <w:pPr>
        <w:bidi w:val="1"/>
        <w:spacing w:after="80" w:before="0" w:line="288" w:lineRule="auto"/>
        <w:ind w:left="312"/>
        <w:jc w:val="right"/>
      </w:pPr>
      <w:r>
        <w:rPr>
          <w:b/>
          <w:i w:val="0"/>
          <w:color w:val="9E801A"/>
          <w:sz w:val="21"/>
        </w:rPr>
        <w:t xml:space="preserve">•  </w:t>
      </w:r>
      <w:r>
        <w:rPr>
          <w:b w:val="0"/>
          <w:i w:val="0"/>
          <w:color w:val="1F2933"/>
          <w:sz w:val="21"/>
        </w:rPr>
        <w:t>حاکمیت پروژه نباید به تصویب‌های پراکندهٔ DOA عملیاتی بسپارده شود: یک دروازهٔ واحد با بستهٔ تصمیم (Decision Package) پاسخگو باشد.</w:t>
      </w:r>
    </w:p>
    <w:p>
      <w:pPr>
        <w:bidi w:val="1"/>
        <w:spacing w:after="80" w:before="0" w:line="288" w:lineRule="auto"/>
        <w:ind w:left="312"/>
        <w:jc w:val="right"/>
      </w:pPr>
      <w:r>
        <w:rPr>
          <w:b/>
          <w:i w:val="0"/>
          <w:color w:val="9E801A"/>
          <w:sz w:val="21"/>
        </w:rPr>
        <w:t xml:space="preserve">•  </w:t>
      </w:r>
      <w:r>
        <w:rPr>
          <w:b w:val="0"/>
          <w:i w:val="0"/>
          <w:color w:val="1F2933"/>
          <w:sz w:val="21"/>
        </w:rPr>
        <w:t>خرید تجهیزات پروژه از کنترل‌های فصل 3 استفاده می‌کند (تفکیک وظایف درون پروژه هم واجب است) — فقط سطح حاکمیت بالاتر است.</w:t>
      </w:r>
    </w:p>
    <w:p>
      <w:pPr>
        <w:bidi w:val="1"/>
        <w:spacing w:after="160" w:before="200" w:line="264" w:lineRule="auto"/>
        <w:jc w:val="right"/>
        <w:outlineLvl w:val="1"/>
      </w:pPr>
      <w:r>
        <w:rPr>
          <w:b/>
          <w:i w:val="0"/>
          <w:color w:val="1F4E8C"/>
          <w:sz w:val="25"/>
        </w:rPr>
        <w:t>8.2  شش مرحله و پنج دروازه</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1928"/>
        <w:gridCol w:w="1928"/>
        <w:gridCol w:w="1928"/>
        <w:gridCol w:w="1928"/>
        <w:gridCol w:w="1928"/>
      </w:tblGrid>
      <w:tr>
        <w:tc>
          <w:tcPr>
            <w:tcW w:type="dxa" w:w="170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6"/>
              </w:rPr>
              <w:t>مرحله</w:t>
            </w:r>
          </w:p>
        </w:tc>
        <w:tc>
          <w:tcPr>
            <w:tcW w:type="dxa" w:w="249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6"/>
              </w:rPr>
              <w:t>محتوا</w:t>
            </w:r>
          </w:p>
        </w:tc>
        <w:tc>
          <w:tcPr>
            <w:tcW w:type="dxa" w:w="181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6"/>
              </w:rPr>
              <w:t>خروجی کلیدی</w:t>
            </w:r>
          </w:p>
        </w:tc>
        <w:tc>
          <w:tcPr>
            <w:tcW w:type="dxa" w:w="136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6"/>
              </w:rPr>
              <w:t>دروازه</w:t>
            </w:r>
          </w:p>
        </w:tc>
        <w:tc>
          <w:tcPr>
            <w:tcW w:type="dxa" w:w="226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6"/>
              </w:rPr>
              <w:t>معیارهای تصمیم</w:t>
            </w:r>
          </w:p>
        </w:tc>
      </w:tr>
      <w:tr>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6"/>
              </w:rPr>
              <w:t>1. غربال ایده</w:t>
            </w:r>
          </w:p>
        </w:tc>
        <w:tc>
          <w:tcPr>
            <w:tcW w:type="dxa" w:w="2494"/>
            <w:tcMar>
              <w:top w:w="45" w:type="dxa"/>
              <w:left w:w="90" w:type="dxa"/>
              <w:bottom w:w="45" w:type="dxa"/>
              <w:right w:w="90" w:type="dxa"/>
            </w:tcMar>
            <w:vAlign w:val="center"/>
          </w:tcPr>
          <w:p>
            <w:pPr>
              <w:bidi w:val="1"/>
              <w:spacing w:after="0" w:before="0" w:line="276" w:lineRule="auto"/>
              <w:jc w:val="right"/>
            </w:pPr>
            <w:r>
              <w:rPr>
                <w:b w:val="0"/>
                <w:i w:val="0"/>
                <w:color w:val="1F2933"/>
                <w:sz w:val="16"/>
              </w:rPr>
              <w:t>اسکچ فرصت، غربال اولیه</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6"/>
              </w:rPr>
              <w:t>برگهٔ ایده (Charter) + بستهٔ تصمیم دروازهٔ G1</w:t>
            </w:r>
          </w:p>
        </w:tc>
        <w:tc>
          <w:tcPr>
            <w:tcW w:type="dxa" w:w="1361"/>
            <w:tcMar>
              <w:top w:w="45" w:type="dxa"/>
              <w:left w:w="90" w:type="dxa"/>
              <w:bottom w:w="45" w:type="dxa"/>
              <w:right w:w="90" w:type="dxa"/>
            </w:tcMar>
            <w:vAlign w:val="center"/>
          </w:tcPr>
          <w:p>
            <w:pPr>
              <w:bidi w:val="1"/>
              <w:spacing w:after="0" w:before="0" w:line="276" w:lineRule="auto"/>
              <w:jc w:val="right"/>
            </w:pPr>
            <w:r>
              <w:rPr>
                <w:b w:val="0"/>
                <w:i w:val="0"/>
                <w:color w:val="1F2933"/>
                <w:sz w:val="16"/>
              </w:rPr>
              <w:t>G1 ورودگاه</w:t>
            </w:r>
          </w:p>
        </w:tc>
        <w:tc>
          <w:tcPr>
            <w:tcW w:type="dxa" w:w="2268"/>
            <w:tcMar>
              <w:top w:w="45" w:type="dxa"/>
              <w:left w:w="90" w:type="dxa"/>
              <w:bottom w:w="45" w:type="dxa"/>
              <w:right w:w="90" w:type="dxa"/>
            </w:tcMar>
            <w:vAlign w:val="center"/>
          </w:tcPr>
          <w:p>
            <w:pPr>
              <w:bidi w:val="1"/>
              <w:spacing w:after="0" w:before="0" w:line="276" w:lineRule="auto"/>
              <w:jc w:val="right"/>
            </w:pPr>
            <w:r>
              <w:rPr>
                <w:b w:val="0"/>
                <w:i w:val="0"/>
                <w:color w:val="1F2933"/>
                <w:sz w:val="16"/>
              </w:rPr>
              <w:t>انطباق راهبردی، ارقام تقریبی، ریسک‌سنجی اولیه</w:t>
            </w:r>
          </w:p>
        </w:tc>
      </w:tr>
      <w:tr>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2. بررسی دامنه (امکان‌سنجی اولیه)</w:t>
            </w:r>
          </w:p>
        </w:tc>
        <w:tc>
          <w:tcPr>
            <w:tcW w:type="dxa" w:w="249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فنی، بازار، سایت، مجوزها</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گزارش امکان‌سنجی اولیه</w:t>
            </w:r>
          </w:p>
        </w:tc>
        <w:tc>
          <w:tcPr>
            <w:tcW w:type="dxa" w:w="13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G2 خروجی از طرح کامل</w:t>
            </w:r>
          </w:p>
        </w:tc>
        <w:tc>
          <w:tcPr>
            <w:tcW w:type="dxa" w:w="226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محدودیت‌های فنی، اولویت بازار، بازدهی اولیه (حدود ۳۰٪)</w:t>
            </w:r>
          </w:p>
        </w:tc>
      </w:tr>
      <w:tr>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6"/>
              </w:rPr>
              <w:t>3. طرح توجیهی کامل (FSB)</w:t>
            </w:r>
          </w:p>
        </w:tc>
        <w:tc>
          <w:tcPr>
            <w:tcW w:type="dxa" w:w="2494"/>
            <w:tcMar>
              <w:top w:w="45" w:type="dxa"/>
              <w:left w:w="90" w:type="dxa"/>
              <w:bottom w:w="45" w:type="dxa"/>
              <w:right w:w="90" w:type="dxa"/>
            </w:tcMar>
            <w:vAlign w:val="center"/>
          </w:tcPr>
          <w:p>
            <w:pPr>
              <w:bidi w:val="1"/>
              <w:spacing w:after="0" w:before="0" w:line="276" w:lineRule="auto"/>
              <w:jc w:val="right"/>
            </w:pPr>
            <w:r>
              <w:rPr>
                <w:b w:val="0"/>
                <w:i w:val="0"/>
                <w:color w:val="1F2933"/>
                <w:sz w:val="16"/>
              </w:rPr>
              <w:t>طراحی مفهومی، سرمایه‌گذاری دقیق، NPV/IRR/دوره بازگشت، حساسیت (±۱۵ تا ۲۰٪)، ریسک‌ها، تفکیک مالی</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6"/>
              </w:rPr>
              <w:t>FSB + ریسک‌سنجی</w:t>
            </w:r>
          </w:p>
        </w:tc>
        <w:tc>
          <w:tcPr>
            <w:tcW w:type="dxa" w:w="1361"/>
            <w:tcMar>
              <w:top w:w="45" w:type="dxa"/>
              <w:left w:w="90" w:type="dxa"/>
              <w:bottom w:w="45" w:type="dxa"/>
              <w:right w:w="90" w:type="dxa"/>
            </w:tcMar>
            <w:vAlign w:val="center"/>
          </w:tcPr>
          <w:p>
            <w:pPr>
              <w:bidi w:val="1"/>
              <w:spacing w:after="0" w:before="0" w:line="276" w:lineRule="auto"/>
              <w:jc w:val="right"/>
            </w:pPr>
            <w:r>
              <w:rPr>
                <w:b w:val="0"/>
                <w:i w:val="0"/>
                <w:color w:val="1F2933"/>
                <w:sz w:val="16"/>
              </w:rPr>
              <w:t>G3 تأیید سرمایه‌گذاری</w:t>
            </w:r>
          </w:p>
        </w:tc>
        <w:tc>
          <w:tcPr>
            <w:tcW w:type="dxa" w:w="2268"/>
            <w:tcMar>
              <w:top w:w="45" w:type="dxa"/>
              <w:left w:w="90" w:type="dxa"/>
              <w:bottom w:w="45" w:type="dxa"/>
              <w:right w:w="90" w:type="dxa"/>
            </w:tcMar>
            <w:vAlign w:val="center"/>
          </w:tcPr>
          <w:p>
            <w:pPr>
              <w:bidi w:val="1"/>
              <w:spacing w:after="0" w:before="0" w:line="276" w:lineRule="auto"/>
              <w:jc w:val="right"/>
            </w:pPr>
            <w:r>
              <w:rPr>
                <w:b w:val="0"/>
                <w:i w:val="0"/>
                <w:color w:val="1F2933"/>
                <w:sz w:val="16"/>
              </w:rPr>
              <w:t>تصویب NPV مثبت، IRR بالاتر از WACC، ریسک در حد قابل‌تحمل — تصمیم مشترک مدیرعامل و مدیران ارشد</w:t>
            </w:r>
          </w:p>
        </w:tc>
      </w:tr>
      <w:tr>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4. اجرا</w:t>
            </w:r>
          </w:p>
        </w:tc>
        <w:tc>
          <w:tcPr>
            <w:tcW w:type="dxa" w:w="249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مهندسی تفصیلی، خرید تجهیزات (کنترل‌های فصل 3)، ساخت/نصب</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گزارش‌های هزینه/زمان/ریسک</w:t>
            </w:r>
          </w:p>
        </w:tc>
        <w:tc>
          <w:tcPr>
            <w:tcW w:type="dxa" w:w="13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G4 آماده‌گی راه‌اندازی</w:t>
            </w:r>
          </w:p>
        </w:tc>
        <w:tc>
          <w:tcPr>
            <w:tcW w:type="dxa" w:w="226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چک‌لیست آماده‌گی، HSE، استقرار عملکرد تجهیزات</w:t>
            </w:r>
          </w:p>
        </w:tc>
      </w:tr>
      <w:tr>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6"/>
              </w:rPr>
              <w:t>5. راه‌اندازی آزمایشی</w:t>
            </w:r>
          </w:p>
        </w:tc>
        <w:tc>
          <w:tcPr>
            <w:tcW w:type="dxa" w:w="2494"/>
            <w:tcMar>
              <w:top w:w="45" w:type="dxa"/>
              <w:left w:w="90" w:type="dxa"/>
              <w:bottom w:w="45" w:type="dxa"/>
              <w:right w:w="90" w:type="dxa"/>
            </w:tcMar>
            <w:vAlign w:val="center"/>
          </w:tcPr>
          <w:p>
            <w:pPr>
              <w:bidi w:val="1"/>
              <w:spacing w:after="0" w:before="0" w:line="276" w:lineRule="auto"/>
              <w:jc w:val="right"/>
            </w:pPr>
            <w:r>
              <w:rPr>
                <w:b w:val="0"/>
                <w:i w:val="0"/>
                <w:color w:val="1F2933"/>
                <w:sz w:val="16"/>
              </w:rPr>
              <w:t>اجرای آزمایشی، تست عملکردی (مثلاً ۳۰ ساعت مداوم)</w:t>
            </w:r>
          </w:p>
        </w:tc>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6"/>
              </w:rPr>
              <w:t>گزارش آزمایش + معیارهای بدو</w:t>
            </w:r>
          </w:p>
        </w:tc>
        <w:tc>
          <w:tcPr>
            <w:tcW w:type="dxa" w:w="1361"/>
            <w:tcMar>
              <w:top w:w="45" w:type="dxa"/>
              <w:left w:w="90" w:type="dxa"/>
              <w:bottom w:w="45" w:type="dxa"/>
              <w:right w:w="90" w:type="dxa"/>
            </w:tcMar>
            <w:vAlign w:val="center"/>
          </w:tcPr>
          <w:p>
            <w:pPr>
              <w:bidi w:val="1"/>
              <w:spacing w:after="0" w:before="0" w:line="276" w:lineRule="auto"/>
              <w:jc w:val="right"/>
            </w:pPr>
            <w:r>
              <w:rPr>
                <w:b w:val="0"/>
                <w:i w:val="0"/>
                <w:color w:val="1F2933"/>
                <w:sz w:val="16"/>
              </w:rPr>
              <w:t>G5 تجاری‌سازی</w:t>
            </w:r>
          </w:p>
        </w:tc>
        <w:tc>
          <w:tcPr>
            <w:tcW w:type="dxa" w:w="2268"/>
            <w:tcMar>
              <w:top w:w="45" w:type="dxa"/>
              <w:left w:w="90" w:type="dxa"/>
              <w:bottom w:w="45" w:type="dxa"/>
              <w:right w:w="90" w:type="dxa"/>
            </w:tcMar>
            <w:vAlign w:val="center"/>
          </w:tcPr>
          <w:p>
            <w:pPr>
              <w:bidi w:val="1"/>
              <w:spacing w:after="0" w:before="0" w:line="276" w:lineRule="auto"/>
              <w:jc w:val="right"/>
            </w:pPr>
            <w:r>
              <w:rPr>
                <w:b w:val="0"/>
                <w:i w:val="0"/>
                <w:color w:val="1F2933"/>
                <w:sz w:val="16"/>
              </w:rPr>
              <w:t>دستیابی به معیارهای فنی/بازاری مصوب FSB</w:t>
            </w:r>
          </w:p>
        </w:tc>
      </w:tr>
      <w:tr>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6. بازنگری پس از اجرا</w:t>
            </w:r>
          </w:p>
        </w:tc>
        <w:tc>
          <w:tcPr>
            <w:tcW w:type="dxa" w:w="249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مقایسه واقعیت با FSB (تا ۱۲ ماه پس از راه‌اندازی)</w:t>
            </w:r>
          </w:p>
        </w:tc>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گزارش PIR + درس‌آموخته‌ها</w:t>
            </w:r>
          </w:p>
        </w:tc>
        <w:tc>
          <w:tcPr>
            <w:tcW w:type="dxa" w:w="13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 (خروج به فرایند عادی)</w:t>
            </w:r>
          </w:p>
        </w:tc>
        <w:tc>
          <w:tcPr>
            <w:tcW w:type="dxa" w:w="226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6"/>
              </w:rPr>
              <w:t>نرخ تحقق، انحراف هزینه/زمان، کیفیت تصمیم‌نامه‌های قبلی</w:t>
            </w:r>
          </w:p>
        </w:tc>
      </w:tr>
    </w:tbl>
    <w:p>
      <w:pPr>
        <w:bidi w:val="1"/>
        <w:spacing w:after="160" w:before="200" w:line="264" w:lineRule="auto"/>
        <w:jc w:val="right"/>
        <w:outlineLvl w:val="1"/>
      </w:pPr>
      <w:r>
        <w:rPr>
          <w:b/>
          <w:i w:val="0"/>
          <w:color w:val="1F4E8C"/>
          <w:sz w:val="25"/>
        </w:rPr>
        <w:t>8.3  نتیجهٔ تصمیم در هر دروازه</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181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نتیجه</w:t>
            </w:r>
          </w:p>
        </w:tc>
        <w:tc>
          <w:tcPr>
            <w:tcW w:type="dxa" w:w="294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معنا</w:t>
            </w:r>
          </w:p>
        </w:tc>
        <w:tc>
          <w:tcPr>
            <w:tcW w:type="dxa" w:w="4876"/>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شرط/اثر</w:t>
            </w:r>
          </w:p>
        </w:tc>
      </w:tr>
      <w:tr>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8"/>
              </w:rPr>
              <w:t>Go (تأیید)</w:t>
            </w:r>
          </w:p>
        </w:tc>
        <w:tc>
          <w:tcPr>
            <w:tcW w:type="dxa" w:w="2948"/>
            <w:tcMar>
              <w:top w:w="45" w:type="dxa"/>
              <w:left w:w="90" w:type="dxa"/>
              <w:bottom w:w="45" w:type="dxa"/>
              <w:right w:w="90" w:type="dxa"/>
            </w:tcMar>
            <w:vAlign w:val="center"/>
          </w:tcPr>
          <w:p>
            <w:pPr>
              <w:bidi w:val="1"/>
              <w:spacing w:after="0" w:before="0" w:line="276" w:lineRule="auto"/>
              <w:jc w:val="right"/>
            </w:pPr>
            <w:r>
              <w:rPr>
                <w:b w:val="0"/>
                <w:i w:val="0"/>
                <w:color w:val="1F2933"/>
                <w:sz w:val="18"/>
              </w:rPr>
              <w:t>عبور به مرحلهٔ بعد</w:t>
            </w:r>
          </w:p>
        </w:tc>
        <w:tc>
          <w:tcPr>
            <w:tcW w:type="dxa" w:w="4876"/>
            <w:tcMar>
              <w:top w:w="45" w:type="dxa"/>
              <w:left w:w="90" w:type="dxa"/>
              <w:bottom w:w="45" w:type="dxa"/>
              <w:right w:w="90" w:type="dxa"/>
            </w:tcMar>
            <w:vAlign w:val="center"/>
          </w:tcPr>
          <w:p>
            <w:pPr>
              <w:bidi w:val="1"/>
              <w:spacing w:after="0" w:before="0" w:line="276" w:lineRule="auto"/>
              <w:jc w:val="right"/>
            </w:pPr>
            <w:r>
              <w:rPr>
                <w:b w:val="0"/>
                <w:i w:val="0"/>
                <w:color w:val="1F2933"/>
                <w:sz w:val="18"/>
              </w:rPr>
              <w:t>عبور با شرایط مصوب و تخصیص منابع</w:t>
            </w:r>
          </w:p>
        </w:tc>
      </w:tr>
      <w:tr>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Recycle (بازگشت)</w:t>
            </w:r>
          </w:p>
        </w:tc>
        <w:tc>
          <w:tcPr>
            <w:tcW w:type="dxa" w:w="294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مرحلهٔ ناقص — بازنگری و بازگشت</w:t>
            </w:r>
          </w:p>
        </w:tc>
        <w:tc>
          <w:tcPr>
            <w:tcW w:type="dxa" w:w="4876"/>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با مشکل مشخص‌شده؛ دروازهٔ بعدی پس از بازنگری</w:t>
            </w:r>
          </w:p>
        </w:tc>
      </w:tr>
      <w:tr>
        <w:tc>
          <w:tcPr>
            <w:tcW w:type="dxa" w:w="1814"/>
            <w:tcMar>
              <w:top w:w="45" w:type="dxa"/>
              <w:left w:w="90" w:type="dxa"/>
              <w:bottom w:w="45" w:type="dxa"/>
              <w:right w:w="90" w:type="dxa"/>
            </w:tcMar>
            <w:vAlign w:val="center"/>
          </w:tcPr>
          <w:p>
            <w:pPr>
              <w:bidi w:val="1"/>
              <w:spacing w:after="0" w:before="0" w:line="276" w:lineRule="auto"/>
              <w:jc w:val="right"/>
            </w:pPr>
            <w:r>
              <w:rPr>
                <w:b w:val="0"/>
                <w:i w:val="0"/>
                <w:color w:val="1F2933"/>
                <w:sz w:val="18"/>
              </w:rPr>
              <w:t>Hold (توقیف)</w:t>
            </w:r>
          </w:p>
        </w:tc>
        <w:tc>
          <w:tcPr>
            <w:tcW w:type="dxa" w:w="2948"/>
            <w:tcMar>
              <w:top w:w="45" w:type="dxa"/>
              <w:left w:w="90" w:type="dxa"/>
              <w:bottom w:w="45" w:type="dxa"/>
              <w:right w:w="90" w:type="dxa"/>
            </w:tcMar>
            <w:vAlign w:val="center"/>
          </w:tcPr>
          <w:p>
            <w:pPr>
              <w:bidi w:val="1"/>
              <w:spacing w:after="0" w:before="0" w:line="276" w:lineRule="auto"/>
              <w:jc w:val="right"/>
            </w:pPr>
            <w:r>
              <w:rPr>
                <w:b w:val="0"/>
                <w:i w:val="0"/>
                <w:color w:val="1F2933"/>
                <w:sz w:val="18"/>
              </w:rPr>
              <w:t>توقیف تا تاریخ بازنگری</w:t>
            </w:r>
          </w:p>
        </w:tc>
        <w:tc>
          <w:tcPr>
            <w:tcW w:type="dxa" w:w="4876"/>
            <w:tcMar>
              <w:top w:w="45" w:type="dxa"/>
              <w:left w:w="90" w:type="dxa"/>
              <w:bottom w:w="45" w:type="dxa"/>
              <w:right w:w="90" w:type="dxa"/>
            </w:tcMar>
            <w:vAlign w:val="center"/>
          </w:tcPr>
          <w:p>
            <w:pPr>
              <w:bidi w:val="1"/>
              <w:spacing w:after="0" w:before="0" w:line="276" w:lineRule="auto"/>
              <w:jc w:val="right"/>
            </w:pPr>
            <w:r>
              <w:rPr>
                <w:b w:val="0"/>
                <w:i w:val="0"/>
                <w:color w:val="1F2933"/>
                <w:sz w:val="18"/>
              </w:rPr>
              <w:t>توقف موقت پروژه تا فراهم آمدن شرایط</w:t>
            </w:r>
          </w:p>
        </w:tc>
      </w:tr>
      <w:tr>
        <w:tc>
          <w:tcPr>
            <w:tcW w:type="dxa" w:w="181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Kill (توقف)</w:t>
            </w:r>
          </w:p>
        </w:tc>
        <w:tc>
          <w:tcPr>
            <w:tcW w:type="dxa" w:w="294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توقف پروژه</w:t>
            </w:r>
          </w:p>
        </w:tc>
        <w:tc>
          <w:tcPr>
            <w:tcW w:type="dxa" w:w="4876"/>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تجاوز ریسک از ظرفیت تحمل یا تغییر بازار</w:t>
            </w:r>
          </w:p>
        </w:tc>
      </w:tr>
    </w:tbl>
    <w:p>
      <w:pPr>
        <w:bidi w:val="1"/>
        <w:spacing w:after="160" w:before="200" w:line="264" w:lineRule="auto"/>
        <w:jc w:val="right"/>
        <w:outlineLvl w:val="1"/>
      </w:pPr>
      <w:r>
        <w:rPr>
          <w:b/>
          <w:i w:val="0"/>
          <w:color w:val="1F4E8C"/>
          <w:sz w:val="25"/>
        </w:rPr>
        <w:t>8.4  بازنگری پس از اجرا (PIR)</w:t>
      </w:r>
    </w:p>
    <w:p>
      <w:pPr>
        <w:bidi w:val="1"/>
        <w:spacing w:after="120" w:before="0" w:line="288" w:lineRule="auto"/>
        <w:jc w:val="right"/>
      </w:pPr>
      <w:r>
        <w:rPr>
          <w:b w:val="0"/>
          <w:i w:val="0"/>
          <w:color w:val="1F2933"/>
          <w:sz w:val="21"/>
        </w:rPr>
        <w:t>PIR در ۶ تا ۱۲ ماه پس از راه‌اندازی اجباری است: مقایسهٔ واقعیات (هزینه، زمان، کیفیت، فروش) با FSB؛ ارزیابی کیفیت تصمیم‌های دروازه‌ای (چه چیزی درست و چه چیزی نادرست پیش‌بینی شد)؛ ثبت درس‌آموخته‌ها برای فرایند بعدی. نتیجهٔ PIR در آرشیو پروژه‌ها ثبت می‌شود و ورودی بازنگری سالانهٔ مدل است.</w:t>
      </w:r>
    </w:p>
    <w:p>
      <w:pPr>
        <w:pBdr>
          <w:bottom w:val="single" w:sz="12" w:space="4" w:color="D4AF37"/>
        </w:pBdr>
        <w:bidi w:val="1"/>
        <w:spacing w:after="200" w:before="320" w:line="264" w:lineRule="auto"/>
        <w:jc w:val="right"/>
        <w:outlineLvl w:val="0"/>
      </w:pPr>
      <w:r>
        <w:rPr>
          <w:b/>
          <w:i w:val="0"/>
          <w:color w:val="9E801A"/>
          <w:sz w:val="30"/>
        </w:rPr>
        <w:t xml:space="preserve">فصل ۹ — </w:t>
      </w:r>
      <w:r>
        <w:rPr>
          <w:b/>
          <w:i w:val="0"/>
          <w:color w:val="173154"/>
          <w:sz w:val="30"/>
        </w:rPr>
        <w:t>کنترل‌های حیاتی (غیرقابل حذف)</w:t>
      </w:r>
    </w:p>
    <w:p>
      <w:pPr>
        <w:bidi w:val="1"/>
        <w:spacing w:after="120" w:before="0" w:line="288" w:lineRule="auto"/>
        <w:jc w:val="right"/>
      </w:pPr>
      <w:r>
        <w:rPr>
          <w:b w:val="0"/>
          <w:i w:val="0"/>
          <w:color w:val="1F2933"/>
          <w:sz w:val="21"/>
        </w:rPr>
        <w:t>این فصل، همراه با بند 7.3، «فهرست کنترل‌های غیرقابل حذف» مدل را تعریف می‌کند: هیچ‌یک از کنترل‌های زیر قابل حذف، کاهش سطح یا تفویض به واحد درگیر نیست. این فهرست، پاسخ مستقیم به رایج‌ترین نقض‌های کنترلی در سازمان‌های تولیدی/بازرگانی است.</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3213"/>
        <w:gridCol w:w="3213"/>
        <w:gridCol w:w="3213"/>
      </w:tblGrid>
      <w:tr>
        <w:tc>
          <w:tcPr>
            <w:tcW w:type="dxa" w:w="192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کنترل</w:t>
            </w:r>
          </w:p>
        </w:tc>
        <w:tc>
          <w:tcPr>
            <w:tcW w:type="dxa" w:w="5216"/>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محتوا</w:t>
            </w:r>
          </w:p>
        </w:tc>
        <w:tc>
          <w:tcPr>
            <w:tcW w:type="dxa" w:w="249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مبنای مرجع</w:t>
            </w:r>
          </w:p>
        </w:tc>
      </w:tr>
      <w:tr>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8"/>
              </w:rPr>
              <w:t>1. استقلال QC</w:t>
            </w:r>
          </w:p>
        </w:tc>
        <w:tc>
          <w:tcPr>
            <w:tcW w:type="dxa" w:w="5216"/>
            <w:tcMar>
              <w:top w:w="45" w:type="dxa"/>
              <w:left w:w="90" w:type="dxa"/>
              <w:bottom w:w="45" w:type="dxa"/>
              <w:right w:w="90" w:type="dxa"/>
            </w:tcMar>
            <w:vAlign w:val="center"/>
          </w:tcPr>
          <w:p>
            <w:pPr>
              <w:bidi w:val="1"/>
              <w:spacing w:after="0" w:before="0" w:line="276" w:lineRule="auto"/>
              <w:jc w:val="right"/>
            </w:pPr>
            <w:r>
              <w:rPr>
                <w:b w:val="0"/>
                <w:i w:val="0"/>
                <w:color w:val="1F2933"/>
                <w:sz w:val="18"/>
              </w:rPr>
              <w:t>بازرسی ورودی و ترخیص خروجی فقط توسط واحد مستقل از خرید/انبار/تولید</w:t>
            </w:r>
          </w:p>
        </w:tc>
        <w:tc>
          <w:tcPr>
            <w:tcW w:type="dxa" w:w="2494"/>
            <w:tcMar>
              <w:top w:w="45" w:type="dxa"/>
              <w:left w:w="90" w:type="dxa"/>
              <w:bottom w:w="45" w:type="dxa"/>
              <w:right w:w="90" w:type="dxa"/>
            </w:tcMar>
            <w:vAlign w:val="center"/>
          </w:tcPr>
          <w:p>
            <w:pPr>
              <w:bidi w:val="1"/>
              <w:spacing w:after="0" w:before="0" w:line="276" w:lineRule="auto"/>
              <w:jc w:val="right"/>
            </w:pPr>
            <w:r>
              <w:rPr>
                <w:b w:val="0"/>
                <w:i w:val="0"/>
                <w:color w:val="1F2933"/>
                <w:sz w:val="18"/>
              </w:rPr>
              <w:t>ISO 9001 بند 8.6-8.7</w:t>
            </w:r>
          </w:p>
        </w:tc>
      </w:tr>
      <w:tr>
        <w:tc>
          <w:tcPr>
            <w:tcW w:type="dxa" w:w="19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2. ترخیص بدون تأیید = ممنوع</w:t>
            </w:r>
          </w:p>
        </w:tc>
        <w:tc>
          <w:tcPr>
            <w:tcW w:type="dxa" w:w="5216"/>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محصول بدون تأیید بازرسی، ترخیص نمی‌شود و صادر نمی‌شود</w:t>
            </w:r>
          </w:p>
        </w:tc>
        <w:tc>
          <w:tcPr>
            <w:tcW w:type="dxa" w:w="249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ISO 9001 بند 8.6</w:t>
            </w:r>
          </w:p>
        </w:tc>
      </w:tr>
      <w:tr>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8"/>
              </w:rPr>
              <w:t>3. ACRR</w:t>
            </w:r>
          </w:p>
        </w:tc>
        <w:tc>
          <w:tcPr>
            <w:tcW w:type="dxa" w:w="5216"/>
            <w:tcMar>
              <w:top w:w="45" w:type="dxa"/>
              <w:left w:w="90" w:type="dxa"/>
              <w:bottom w:w="45" w:type="dxa"/>
              <w:right w:w="90" w:type="dxa"/>
            </w:tcMar>
            <w:vAlign w:val="center"/>
          </w:tcPr>
          <w:p>
            <w:pPr>
              <w:bidi w:val="1"/>
              <w:spacing w:after="0" w:before="0" w:line="276" w:lineRule="auto"/>
              <w:jc w:val="right"/>
            </w:pPr>
            <w:r>
              <w:rPr>
                <w:b w:val="0"/>
                <w:i w:val="0"/>
                <w:color w:val="1F2933"/>
                <w:sz w:val="18"/>
              </w:rPr>
              <w:t>هیچ فردی: تأیید + تعهد + دریافت + تطبیق برای یک جریان</w:t>
            </w:r>
          </w:p>
        </w:tc>
        <w:tc>
          <w:tcPr>
            <w:tcW w:type="dxa" w:w="2494"/>
            <w:tcMar>
              <w:top w:w="45" w:type="dxa"/>
              <w:left w:w="90" w:type="dxa"/>
              <w:bottom w:w="45" w:type="dxa"/>
              <w:right w:w="90" w:type="dxa"/>
            </w:tcMar>
            <w:vAlign w:val="center"/>
          </w:tcPr>
          <w:p>
            <w:pPr>
              <w:bidi w:val="1"/>
              <w:spacing w:after="0" w:before="0" w:line="276" w:lineRule="auto"/>
              <w:jc w:val="right"/>
            </w:pPr>
            <w:r>
              <w:rPr>
                <w:b w:val="0"/>
                <w:i w:val="0"/>
                <w:color w:val="1F2933"/>
                <w:sz w:val="18"/>
              </w:rPr>
              <w:t>COSO 2013</w:t>
            </w:r>
          </w:p>
        </w:tc>
      </w:tr>
      <w:tr>
        <w:tc>
          <w:tcPr>
            <w:tcW w:type="dxa" w:w="19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4. تطبیق چهارگانه</w:t>
            </w:r>
          </w:p>
        </w:tc>
        <w:tc>
          <w:tcPr>
            <w:tcW w:type="dxa" w:w="5216"/>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پرداخت فقط پس از تطبیق PO/GRN/QC/فاکتور (سه‌نقطه فقط با مجوز مالی)</w:t>
            </w:r>
          </w:p>
        </w:tc>
        <w:tc>
          <w:tcPr>
            <w:tcW w:type="dxa" w:w="249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COSO 2013 / عملکرد صنعت</w:t>
            </w:r>
          </w:p>
        </w:tc>
      </w:tr>
      <w:tr>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8"/>
              </w:rPr>
              <w:t>5. قیمت‌گذاری ساختاریافته</w:t>
            </w:r>
          </w:p>
        </w:tc>
        <w:tc>
          <w:tcPr>
            <w:tcW w:type="dxa" w:w="5216"/>
            <w:tcMar>
              <w:top w:w="45" w:type="dxa"/>
              <w:left w:w="90" w:type="dxa"/>
              <w:bottom w:w="45" w:type="dxa"/>
              <w:right w:w="90" w:type="dxa"/>
            </w:tcMar>
            <w:vAlign w:val="center"/>
          </w:tcPr>
          <w:p>
            <w:pPr>
              <w:bidi w:val="1"/>
              <w:spacing w:after="0" w:before="0" w:line="276" w:lineRule="auto"/>
              <w:jc w:val="right"/>
            </w:pPr>
            <w:r>
              <w:rPr>
                <w:b w:val="0"/>
                <w:i w:val="0"/>
                <w:color w:val="1F2933"/>
                <w:sz w:val="18"/>
              </w:rPr>
              <w:t>تغییر فهرست قیمت و تخفیف‌های بالا فقط از کمیتهٔ قیمت‌گذاری + DOA</w:t>
            </w:r>
          </w:p>
        </w:tc>
        <w:tc>
          <w:tcPr>
            <w:tcW w:type="dxa" w:w="2494"/>
            <w:tcMar>
              <w:top w:w="45" w:type="dxa"/>
              <w:left w:w="90" w:type="dxa"/>
              <w:bottom w:w="45" w:type="dxa"/>
              <w:right w:w="90" w:type="dxa"/>
            </w:tcMar>
            <w:vAlign w:val="center"/>
          </w:tcPr>
          <w:p>
            <w:pPr>
              <w:bidi w:val="1"/>
              <w:spacing w:after="0" w:before="0" w:line="276" w:lineRule="auto"/>
              <w:jc w:val="right"/>
            </w:pPr>
            <w:r>
              <w:rPr>
                <w:b w:val="0"/>
                <w:i w:val="0"/>
                <w:color w:val="1F2933"/>
                <w:sz w:val="18"/>
              </w:rPr>
              <w:t>COSO 2017 (ERM)</w:t>
            </w:r>
          </w:p>
        </w:tc>
      </w:tr>
      <w:tr>
        <w:tc>
          <w:tcPr>
            <w:tcW w:type="dxa" w:w="1928"/>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6. ردّ تعقیب ۷ ساله</w:t>
            </w:r>
          </w:p>
        </w:tc>
        <w:tc>
          <w:tcPr>
            <w:tcW w:type="dxa" w:w="5216"/>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هر تصمیم، سند و امضا قابل ردّیابی؛ نسخه‌های قبلی حفظ می‌شود</w:t>
            </w:r>
          </w:p>
        </w:tc>
        <w:tc>
          <w:tcPr>
            <w:tcW w:type="dxa" w:w="249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IIA / COBIT 2019</w:t>
            </w:r>
          </w:p>
        </w:tc>
      </w:tr>
      <w:tr>
        <w:tc>
          <w:tcPr>
            <w:tcW w:type="dxa" w:w="1928"/>
            <w:tcMar>
              <w:top w:w="45" w:type="dxa"/>
              <w:left w:w="90" w:type="dxa"/>
              <w:bottom w:w="45" w:type="dxa"/>
              <w:right w:w="90" w:type="dxa"/>
            </w:tcMar>
            <w:vAlign w:val="center"/>
          </w:tcPr>
          <w:p>
            <w:pPr>
              <w:bidi w:val="1"/>
              <w:spacing w:after="0" w:before="0" w:line="276" w:lineRule="auto"/>
              <w:jc w:val="right"/>
            </w:pPr>
            <w:r>
              <w:rPr>
                <w:b w:val="0"/>
                <w:i w:val="0"/>
                <w:color w:val="1F2933"/>
                <w:sz w:val="18"/>
              </w:rPr>
              <w:t>7. قدرت‌های صِرف هیئت‌مدیره</w:t>
            </w:r>
          </w:p>
        </w:tc>
        <w:tc>
          <w:tcPr>
            <w:tcW w:type="dxa" w:w="5216"/>
            <w:tcMar>
              <w:top w:w="45" w:type="dxa"/>
              <w:left w:w="90" w:type="dxa"/>
              <w:bottom w:w="45" w:type="dxa"/>
              <w:right w:w="90" w:type="dxa"/>
            </w:tcMar>
            <w:vAlign w:val="center"/>
          </w:tcPr>
          <w:p>
            <w:pPr>
              <w:bidi w:val="1"/>
              <w:spacing w:after="0" w:before="0" w:line="276" w:lineRule="auto"/>
              <w:jc w:val="right"/>
            </w:pPr>
            <w:r>
              <w:rPr>
                <w:b w:val="0"/>
                <w:i w:val="0"/>
                <w:color w:val="1F2933"/>
                <w:sz w:val="18"/>
              </w:rPr>
              <w:t>پروژهٔ جدید، خرید ارزی خارج از برنامه، خط/محصول جدید (بند 7.3)</w:t>
            </w:r>
          </w:p>
        </w:tc>
        <w:tc>
          <w:tcPr>
            <w:tcW w:type="dxa" w:w="2494"/>
            <w:tcMar>
              <w:top w:w="45" w:type="dxa"/>
              <w:left w:w="90" w:type="dxa"/>
              <w:bottom w:w="45" w:type="dxa"/>
              <w:right w:w="90" w:type="dxa"/>
            </w:tcMar>
            <w:vAlign w:val="center"/>
          </w:tcPr>
          <w:p>
            <w:pPr>
              <w:bidi w:val="1"/>
              <w:spacing w:after="0" w:before="0" w:line="276" w:lineRule="auto"/>
              <w:jc w:val="right"/>
            </w:pPr>
            <w:r>
              <w:rPr>
                <w:b w:val="0"/>
                <w:i w:val="0"/>
                <w:color w:val="1F2933"/>
                <w:sz w:val="18"/>
              </w:rPr>
              <w:t>COSO 2013</w:t>
            </w:r>
          </w:p>
        </w:tc>
      </w:tr>
    </w:tbl>
    <w:p>
      <w:pPr>
        <w:bidi w:val="1"/>
        <w:spacing w:after="120" w:before="0" w:line="288" w:lineRule="auto"/>
        <w:jc w:val="right"/>
      </w:pPr>
      <w:r>
        <w:rPr>
          <w:b w:val="0"/>
          <w:i w:val="0"/>
          <w:color w:val="1F2933"/>
          <w:sz w:val="21"/>
        </w:rPr>
        <w:t>محرک‌های تشدید به هیئت‌مدیره (هم‌پوشانی با 7.3): ۱) هر پروژهٔ سرمایه‌ای جدید؛ ۲) هر خرید ارزی خارج از برنامهٔ سالانه؛ ۳) هر راه‌اندازی خط/محصول جدید.</w:t>
      </w:r>
    </w:p>
    <w:p>
      <w:pPr>
        <w:sectPr>
          <w:headerReference w:type="default" r:id="rId9"/>
          <w:footerReference w:type="default" r:id="rId10"/>
          <w:pgSz w:w="11906" w:h="16838"/>
          <w:pgMar w:top="1020" w:right="1134" w:bottom="907" w:left="1134" w:header="720" w:footer="720" w:gutter="0"/>
          <w:cols w:space="720"/>
          <w:titlePg/>
          <w:docGrid w:linePitch="360"/>
        </w:sectPr>
      </w:pPr>
    </w:p>
    <w:p>
      <w:pPr>
        <w:pBdr>
          <w:bottom w:val="single" w:sz="12" w:space="4" w:color="D4AF37"/>
        </w:pBdr>
        <w:bidi w:val="1"/>
        <w:spacing w:after="200" w:before="320" w:line="264" w:lineRule="auto"/>
        <w:jc w:val="right"/>
        <w:outlineLvl w:val="0"/>
      </w:pPr>
      <w:r>
        <w:rPr>
          <w:b/>
          <w:i w:val="0"/>
          <w:color w:val="9E801A"/>
          <w:sz w:val="30"/>
        </w:rPr>
        <w:t xml:space="preserve">فصل ۱۰ — </w:t>
      </w:r>
      <w:r>
        <w:rPr>
          <w:b/>
          <w:i w:val="0"/>
          <w:color w:val="173154"/>
          <w:sz w:val="30"/>
        </w:rPr>
        <w:t>ماتریس مسئولیت‌ها (RACI)</w:t>
      </w:r>
    </w:p>
    <w:p>
      <w:pPr>
        <w:bidi w:val="1"/>
        <w:spacing w:after="120" w:before="0" w:line="288" w:lineRule="auto"/>
        <w:jc w:val="right"/>
      </w:pPr>
      <w:r>
        <w:rPr>
          <w:b w:val="0"/>
          <w:i w:val="0"/>
          <w:color w:val="1F2933"/>
          <w:sz w:val="21"/>
        </w:rPr>
        <w:t>R = مجری (Responsible) — A = پاسخگو/مالک (Accountable، فقط یکی در هر ردیف) — C = مشاوره‌شده (Consulted) — I = مطلع‌شده (Informed). عنوان‌های ذیل عنوان‌های مرجع هستند و با ساختار سازمان مبنا تطبیق داده می‌شوند.</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1261"/>
        <w:gridCol w:w="1261"/>
        <w:gridCol w:w="1261"/>
        <w:gridCol w:w="1261"/>
        <w:gridCol w:w="1261"/>
        <w:gridCol w:w="1261"/>
        <w:gridCol w:w="1261"/>
        <w:gridCol w:w="1261"/>
        <w:gridCol w:w="1261"/>
        <w:gridCol w:w="1261"/>
        <w:gridCol w:w="1261"/>
        <w:gridCol w:w="1261"/>
      </w:tblGrid>
      <w:tr>
        <w:tc>
          <w:tcPr>
            <w:tcW w:type="dxa" w:w="204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فعالیت</w:t>
            </w:r>
          </w:p>
        </w:tc>
        <w:tc>
          <w:tcPr>
            <w:tcW w:type="dxa" w:w="107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درخواست‌کننده</w:t>
            </w:r>
          </w:p>
        </w:tc>
        <w:tc>
          <w:tcPr>
            <w:tcW w:type="dxa" w:w="107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تدارکات</w:t>
            </w:r>
          </w:p>
        </w:tc>
        <w:tc>
          <w:tcPr>
            <w:tcW w:type="dxa" w:w="107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بازرسی</w:t>
            </w:r>
          </w:p>
        </w:tc>
        <w:tc>
          <w:tcPr>
            <w:tcW w:type="dxa" w:w="107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انبار</w:t>
            </w:r>
          </w:p>
        </w:tc>
        <w:tc>
          <w:tcPr>
            <w:tcW w:type="dxa" w:w="107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تولید</w:t>
            </w:r>
          </w:p>
        </w:tc>
        <w:tc>
          <w:tcPr>
            <w:tcW w:type="dxa" w:w="119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برنامه‌ریزی</w:t>
            </w:r>
          </w:p>
        </w:tc>
        <w:tc>
          <w:tcPr>
            <w:tcW w:type="dxa" w:w="107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فروش</w:t>
            </w:r>
          </w:p>
        </w:tc>
        <w:tc>
          <w:tcPr>
            <w:tcW w:type="dxa" w:w="107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اعتبار</w:t>
            </w:r>
          </w:p>
        </w:tc>
        <w:tc>
          <w:tcPr>
            <w:tcW w:type="dxa" w:w="130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بهای/مالی</w:t>
            </w:r>
          </w:p>
        </w:tc>
        <w:tc>
          <w:tcPr>
            <w:tcW w:type="dxa" w:w="130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فروش مالی</w:t>
            </w:r>
          </w:p>
        </w:tc>
        <w:tc>
          <w:tcPr>
            <w:tcW w:type="dxa" w:w="164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هیئت‌مدیره</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درخواست خرید (PR)</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صدور PO</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تحویل و GRN</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بازرسی ورودی</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191"/>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فاکتور و پرداخت (تطبیق)</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برنامهٔ ماهانهٔ تولید</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191"/>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BOM و بهای استاندارد</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تحویل مواد به خط</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191"/>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ترخیص محصول (ISO 8.6)</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فهرست قیمت</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191"/>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64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پیشنهاد و تخفیف</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تأییدیهٔ سفارش (OCA)</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تحویل و ارسال</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فاکتور (IFRS 15)</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وصول و اعتبار</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بازگشت/شکایت</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191"/>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R/A</w:t>
            </w:r>
          </w:p>
        </w:tc>
        <w:tc>
          <w:tcPr>
            <w:tcW w:type="dxa" w:w="1077"/>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I</w:t>
            </w:r>
          </w:p>
        </w:tc>
        <w:tc>
          <w:tcPr>
            <w:tcW w:type="dxa" w:w="130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644"/>
            <w:shd w:val="clear" w:color="auto" w:fill="F7FAFE"/>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7"/>
              </w:rPr>
              <w:t>FSB و دروازهٔ 3</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191"/>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077"/>
            <w:tcMar>
              <w:top w:w="45" w:type="dxa"/>
              <w:left w:w="90" w:type="dxa"/>
              <w:bottom w:w="45" w:type="dxa"/>
              <w:right w:w="90" w:type="dxa"/>
            </w:tcMar>
            <w:vAlign w:val="center"/>
          </w:tcPr>
          <w:p>
            <w:pPr>
              <w:bidi w:val="1"/>
              <w:spacing w:after="0" w:before="0" w:line="276" w:lineRule="auto"/>
              <w:jc w:val="center"/>
            </w:pPr>
            <w:r>
              <w:rPr>
                <w:b w:val="0"/>
                <w:i w:val="0"/>
                <w:color w:val="1F2933"/>
                <w:sz w:val="17"/>
              </w:rPr>
              <w:t>—</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304"/>
            <w:tcMar>
              <w:top w:w="45" w:type="dxa"/>
              <w:left w:w="90" w:type="dxa"/>
              <w:bottom w:w="45" w:type="dxa"/>
              <w:right w:w="90" w:type="dxa"/>
            </w:tcMar>
            <w:vAlign w:val="center"/>
          </w:tcPr>
          <w:p>
            <w:pPr>
              <w:bidi w:val="1"/>
              <w:spacing w:after="0" w:before="0" w:line="276" w:lineRule="auto"/>
              <w:jc w:val="center"/>
            </w:pPr>
            <w:r>
              <w:rPr>
                <w:b w:val="0"/>
                <w:i w:val="0"/>
                <w:color w:val="1F2933"/>
                <w:sz w:val="17"/>
              </w:rPr>
              <w:t>C</w:t>
            </w:r>
          </w:p>
        </w:tc>
        <w:tc>
          <w:tcPr>
            <w:tcW w:type="dxa" w:w="1644"/>
            <w:tcMar>
              <w:top w:w="45" w:type="dxa"/>
              <w:left w:w="90" w:type="dxa"/>
              <w:bottom w:w="45" w:type="dxa"/>
              <w:right w:w="90" w:type="dxa"/>
            </w:tcMar>
            <w:vAlign w:val="center"/>
          </w:tcPr>
          <w:p>
            <w:pPr>
              <w:bidi w:val="1"/>
              <w:spacing w:after="0" w:before="0" w:line="276" w:lineRule="auto"/>
              <w:jc w:val="center"/>
            </w:pPr>
            <w:r>
              <w:rPr>
                <w:b w:val="0"/>
                <w:i w:val="0"/>
                <w:color w:val="1F2933"/>
                <w:sz w:val="17"/>
              </w:rPr>
              <w:t>A (طبق کلاس)</w:t>
            </w:r>
          </w:p>
        </w:tc>
      </w:tr>
    </w:tbl>
    <w:p>
      <w:pPr>
        <w:sectPr>
          <w:pgSz w:w="16838" w:h="11906" w:orient="landscape"/>
          <w:pgMar w:top="907" w:right="850" w:bottom="850" w:left="850" w:header="720" w:footer="720" w:gutter="0"/>
          <w:pgNumType w:fmt="arabicIndic"/>
          <w:cols w:space="720"/>
          <w:titlePg/>
          <w:docGrid w:linePitch="360"/>
        </w:sectPr>
      </w:pPr>
    </w:p>
    <w:p>
      <w:pPr>
        <w:pBdr>
          <w:bottom w:val="single" w:sz="12" w:space="4" w:color="D4AF37"/>
        </w:pBdr>
        <w:bidi w:val="1"/>
        <w:spacing w:after="200" w:before="320" w:line="264" w:lineRule="auto"/>
        <w:jc w:val="right"/>
        <w:outlineLvl w:val="0"/>
      </w:pPr>
      <w:r>
        <w:rPr>
          <w:b/>
          <w:i w:val="0"/>
          <w:color w:val="9E801A"/>
          <w:sz w:val="30"/>
        </w:rPr>
        <w:t xml:space="preserve">فصل ۱۱ — </w:t>
      </w:r>
      <w:r>
        <w:rPr>
          <w:b/>
          <w:i w:val="0"/>
          <w:color w:val="173154"/>
          <w:sz w:val="30"/>
        </w:rPr>
        <w:t>شاخص‌های کلیدی (KPI)</w:t>
      </w:r>
    </w:p>
    <w:p>
      <w:pPr>
        <w:bidi w:val="1"/>
        <w:spacing w:after="120" w:before="0" w:line="288" w:lineRule="auto"/>
        <w:jc w:val="right"/>
      </w:pPr>
      <w:r>
        <w:rPr>
          <w:b w:val="0"/>
          <w:i w:val="0"/>
          <w:color w:val="1F2933"/>
          <w:sz w:val="21"/>
        </w:rPr>
        <w:t>هر فرآیند بدون شاخص، «برای خود» جریان دارد. اهداف ذیل یک «بسته مرجع» هستند و سازمان مبنا باید آن‌ها را بر اساس بلوغ خود تنظیم کند.</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1606"/>
        <w:gridCol w:w="1606"/>
        <w:gridCol w:w="1606"/>
        <w:gridCol w:w="1606"/>
        <w:gridCol w:w="1606"/>
        <w:gridCol w:w="1606"/>
      </w:tblGrid>
      <w:tr>
        <w:tc>
          <w:tcPr>
            <w:tcW w:type="dxa" w:w="124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فرآیند</w:t>
            </w:r>
          </w:p>
        </w:tc>
        <w:tc>
          <w:tcPr>
            <w:tcW w:type="dxa" w:w="170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شاخص</w:t>
            </w:r>
          </w:p>
        </w:tc>
        <w:tc>
          <w:tcPr>
            <w:tcW w:type="dxa" w:w="306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تعریف</w:t>
            </w:r>
          </w:p>
        </w:tc>
        <w:tc>
          <w:tcPr>
            <w:tcW w:type="dxa" w:w="158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هدف مرجع</w:t>
            </w:r>
          </w:p>
        </w:tc>
        <w:tc>
          <w:tcPr>
            <w:tcW w:type="dxa" w:w="113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مالک</w:t>
            </w:r>
          </w:p>
        </w:tc>
        <w:tc>
          <w:tcPr>
            <w:tcW w:type="dxa" w:w="90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7"/>
              </w:rPr>
              <w:t>فرکانس</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7"/>
              </w:rPr>
              <w:t>تأمین</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OTD</w:t>
            </w:r>
          </w:p>
        </w:tc>
        <w:tc>
          <w:tcPr>
            <w:tcW w:type="dxa" w:w="3061"/>
            <w:tcMar>
              <w:top w:w="45" w:type="dxa"/>
              <w:left w:w="90" w:type="dxa"/>
              <w:bottom w:w="45" w:type="dxa"/>
              <w:right w:w="90" w:type="dxa"/>
            </w:tcMar>
            <w:vAlign w:val="center"/>
          </w:tcPr>
          <w:p>
            <w:pPr>
              <w:bidi w:val="1"/>
              <w:spacing w:after="0" w:before="0" w:line="276" w:lineRule="auto"/>
              <w:jc w:val="right"/>
            </w:pPr>
            <w:r>
              <w:rPr>
                <w:b w:val="0"/>
                <w:i w:val="0"/>
                <w:color w:val="1F2933"/>
                <w:sz w:val="17"/>
              </w:rPr>
              <w:t>درصد سفارش‌های رسیده به‌موقع (طبق تاریخ PO)</w:t>
            </w:r>
          </w:p>
        </w:tc>
        <w:tc>
          <w:tcPr>
            <w:tcW w:type="dxa" w:w="1587"/>
            <w:tcMar>
              <w:top w:w="45" w:type="dxa"/>
              <w:left w:w="90" w:type="dxa"/>
              <w:bottom w:w="45" w:type="dxa"/>
              <w:right w:w="90" w:type="dxa"/>
            </w:tcMar>
            <w:vAlign w:val="center"/>
          </w:tcPr>
          <w:p>
            <w:pPr>
              <w:bidi w:val="1"/>
              <w:spacing w:after="0" w:before="0" w:line="276" w:lineRule="auto"/>
              <w:jc w:val="right"/>
            </w:pPr>
            <w:r>
              <w:rPr>
                <w:b w:val="0"/>
                <w:i w:val="0"/>
                <w:color w:val="1F2933"/>
                <w:sz w:val="17"/>
              </w:rPr>
              <w:t>۹۵٪+</w:t>
            </w:r>
          </w:p>
        </w:tc>
        <w:tc>
          <w:tcPr>
            <w:tcW w:type="dxa" w:w="1134"/>
            <w:tcMar>
              <w:top w:w="45" w:type="dxa"/>
              <w:left w:w="90" w:type="dxa"/>
              <w:bottom w:w="45" w:type="dxa"/>
              <w:right w:w="90" w:type="dxa"/>
            </w:tcMar>
            <w:vAlign w:val="center"/>
          </w:tcPr>
          <w:p>
            <w:pPr>
              <w:bidi w:val="1"/>
              <w:spacing w:after="0" w:before="0" w:line="276" w:lineRule="auto"/>
              <w:jc w:val="right"/>
            </w:pPr>
            <w:r>
              <w:rPr>
                <w:b w:val="0"/>
                <w:i w:val="0"/>
                <w:color w:val="1F2933"/>
                <w:sz w:val="17"/>
              </w:rPr>
              <w:t>تدارکات</w:t>
            </w:r>
          </w:p>
        </w:tc>
        <w:tc>
          <w:tcPr>
            <w:tcW w:type="dxa" w:w="907"/>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تأمین</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DPPM</w:t>
            </w:r>
          </w:p>
        </w:tc>
        <w:tc>
          <w:tcPr>
            <w:tcW w:type="dxa" w:w="30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قطعات معیوب در میلیون واحد دریافتی</w:t>
            </w:r>
          </w:p>
        </w:tc>
        <w:tc>
          <w:tcPr>
            <w:tcW w:type="dxa" w:w="158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۱۰۰۰ ppm-</w:t>
            </w:r>
          </w:p>
        </w:tc>
        <w:tc>
          <w:tcPr>
            <w:tcW w:type="dxa" w:w="113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تدارکات + بازرسی</w:t>
            </w:r>
          </w:p>
        </w:tc>
        <w:tc>
          <w:tcPr>
            <w:tcW w:type="dxa" w:w="90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7"/>
              </w:rPr>
              <w:t>تأمین</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انحراف قیمت خرید (MPV)</w:t>
            </w:r>
          </w:p>
        </w:tc>
        <w:tc>
          <w:tcPr>
            <w:tcW w:type="dxa" w:w="3061"/>
            <w:tcMar>
              <w:top w:w="45" w:type="dxa"/>
              <w:left w:w="90" w:type="dxa"/>
              <w:bottom w:w="45" w:type="dxa"/>
              <w:right w:w="90" w:type="dxa"/>
            </w:tcMar>
            <w:vAlign w:val="center"/>
          </w:tcPr>
          <w:p>
            <w:pPr>
              <w:bidi w:val="1"/>
              <w:spacing w:after="0" w:before="0" w:line="276" w:lineRule="auto"/>
              <w:jc w:val="right"/>
            </w:pPr>
            <w:r>
              <w:rPr>
                <w:b w:val="0"/>
                <w:i w:val="0"/>
                <w:color w:val="1F2933"/>
                <w:sz w:val="17"/>
              </w:rPr>
              <w:t>(قیمت واقعی - استاندارد) / استاندارد</w:t>
            </w:r>
          </w:p>
        </w:tc>
        <w:tc>
          <w:tcPr>
            <w:tcW w:type="dxa" w:w="1587"/>
            <w:tcMar>
              <w:top w:w="45" w:type="dxa"/>
              <w:left w:w="90" w:type="dxa"/>
              <w:bottom w:w="45" w:type="dxa"/>
              <w:right w:w="90" w:type="dxa"/>
            </w:tcMar>
            <w:vAlign w:val="center"/>
          </w:tcPr>
          <w:p>
            <w:pPr>
              <w:bidi w:val="1"/>
              <w:spacing w:after="0" w:before="0" w:line="276" w:lineRule="auto"/>
              <w:jc w:val="right"/>
            </w:pPr>
            <w:r>
              <w:rPr>
                <w:b w:val="0"/>
                <w:i w:val="0"/>
                <w:color w:val="1F2933"/>
                <w:sz w:val="17"/>
              </w:rPr>
              <w:t>۵٪±</w:t>
            </w:r>
          </w:p>
        </w:tc>
        <w:tc>
          <w:tcPr>
            <w:tcW w:type="dxa" w:w="1134"/>
            <w:tcMar>
              <w:top w:w="45" w:type="dxa"/>
              <w:left w:w="90" w:type="dxa"/>
              <w:bottom w:w="45" w:type="dxa"/>
              <w:right w:w="90" w:type="dxa"/>
            </w:tcMar>
            <w:vAlign w:val="center"/>
          </w:tcPr>
          <w:p>
            <w:pPr>
              <w:bidi w:val="1"/>
              <w:spacing w:after="0" w:before="0" w:line="276" w:lineRule="auto"/>
              <w:jc w:val="right"/>
            </w:pPr>
            <w:r>
              <w:rPr>
                <w:b w:val="0"/>
                <w:i w:val="0"/>
                <w:color w:val="1F2933"/>
                <w:sz w:val="17"/>
              </w:rPr>
              <w:t>بهای/مالی</w:t>
            </w:r>
          </w:p>
        </w:tc>
        <w:tc>
          <w:tcPr>
            <w:tcW w:type="dxa" w:w="907"/>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تأمین</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چرخهٔ PO</w:t>
            </w:r>
          </w:p>
        </w:tc>
        <w:tc>
          <w:tcPr>
            <w:tcW w:type="dxa" w:w="30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میانگین روز از PR تا PO</w:t>
            </w:r>
          </w:p>
        </w:tc>
        <w:tc>
          <w:tcPr>
            <w:tcW w:type="dxa" w:w="158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۵ روز-</w:t>
            </w:r>
          </w:p>
        </w:tc>
        <w:tc>
          <w:tcPr>
            <w:tcW w:type="dxa" w:w="113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تدارکات</w:t>
            </w:r>
          </w:p>
        </w:tc>
        <w:tc>
          <w:tcPr>
            <w:tcW w:type="dxa" w:w="90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7"/>
              </w:rPr>
              <w:t>تأمین</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پوشش استعلام</w:t>
            </w:r>
          </w:p>
        </w:tc>
        <w:tc>
          <w:tcPr>
            <w:tcW w:type="dxa" w:w="3061"/>
            <w:tcMar>
              <w:top w:w="45" w:type="dxa"/>
              <w:left w:w="90" w:type="dxa"/>
              <w:bottom w:w="45" w:type="dxa"/>
              <w:right w:w="90" w:type="dxa"/>
            </w:tcMar>
            <w:vAlign w:val="center"/>
          </w:tcPr>
          <w:p>
            <w:pPr>
              <w:bidi w:val="1"/>
              <w:spacing w:after="0" w:before="0" w:line="276" w:lineRule="auto"/>
              <w:jc w:val="right"/>
            </w:pPr>
            <w:r>
              <w:rPr>
                <w:b w:val="0"/>
                <w:i w:val="0"/>
                <w:color w:val="1F2933"/>
                <w:sz w:val="17"/>
              </w:rPr>
              <w:t>درصد ارزش سفارش‌های بالای سقف با ۳+ استعلام</w:t>
            </w:r>
          </w:p>
        </w:tc>
        <w:tc>
          <w:tcPr>
            <w:tcW w:type="dxa" w:w="1587"/>
            <w:tcMar>
              <w:top w:w="45" w:type="dxa"/>
              <w:left w:w="90" w:type="dxa"/>
              <w:bottom w:w="45" w:type="dxa"/>
              <w:right w:w="90" w:type="dxa"/>
            </w:tcMar>
            <w:vAlign w:val="center"/>
          </w:tcPr>
          <w:p>
            <w:pPr>
              <w:bidi w:val="1"/>
              <w:spacing w:after="0" w:before="0" w:line="276" w:lineRule="auto"/>
              <w:jc w:val="right"/>
            </w:pPr>
            <w:r>
              <w:rPr>
                <w:b w:val="0"/>
                <w:i w:val="0"/>
                <w:color w:val="1F2933"/>
                <w:sz w:val="17"/>
              </w:rPr>
              <w:t>۸۵٪+</w:t>
            </w:r>
          </w:p>
        </w:tc>
        <w:tc>
          <w:tcPr>
            <w:tcW w:type="dxa" w:w="1134"/>
            <w:tcMar>
              <w:top w:w="45" w:type="dxa"/>
              <w:left w:w="90" w:type="dxa"/>
              <w:bottom w:w="45" w:type="dxa"/>
              <w:right w:w="90" w:type="dxa"/>
            </w:tcMar>
            <w:vAlign w:val="center"/>
          </w:tcPr>
          <w:p>
            <w:pPr>
              <w:bidi w:val="1"/>
              <w:spacing w:after="0" w:before="0" w:line="276" w:lineRule="auto"/>
              <w:jc w:val="right"/>
            </w:pPr>
            <w:r>
              <w:rPr>
                <w:b w:val="0"/>
                <w:i w:val="0"/>
                <w:color w:val="1F2933"/>
                <w:sz w:val="17"/>
              </w:rPr>
              <w:t>تدارکات</w:t>
            </w:r>
          </w:p>
        </w:tc>
        <w:tc>
          <w:tcPr>
            <w:tcW w:type="dxa" w:w="907"/>
            <w:tcMar>
              <w:top w:w="45" w:type="dxa"/>
              <w:left w:w="90" w:type="dxa"/>
              <w:bottom w:w="45" w:type="dxa"/>
              <w:right w:w="90" w:type="dxa"/>
            </w:tcMar>
            <w:vAlign w:val="center"/>
          </w:tcPr>
          <w:p>
            <w:pPr>
              <w:bidi w:val="1"/>
              <w:spacing w:after="0" w:before="0" w:line="276" w:lineRule="auto"/>
              <w:jc w:val="right"/>
            </w:pPr>
            <w:r>
              <w:rPr>
                <w:b w:val="0"/>
                <w:i w:val="0"/>
                <w:color w:val="1F2933"/>
                <w:sz w:val="17"/>
              </w:rPr>
              <w:t>چهارمایی</w:t>
            </w:r>
          </w:p>
        </w:tc>
      </w:tr>
      <w:tr>
        <w:tc>
          <w:tcPr>
            <w:tcW w:type="dxa" w:w="124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تولید</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OEE</w:t>
            </w:r>
          </w:p>
        </w:tc>
        <w:tc>
          <w:tcPr>
            <w:tcW w:type="dxa" w:w="30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کارایی کل تجهیزات (دسترسی‌پذیری × عملکرد × کیفیت)</w:t>
            </w:r>
          </w:p>
        </w:tc>
        <w:tc>
          <w:tcPr>
            <w:tcW w:type="dxa" w:w="158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۸۵٪ (حداقل ۸۰٪)</w:t>
            </w:r>
          </w:p>
        </w:tc>
        <w:tc>
          <w:tcPr>
            <w:tcW w:type="dxa" w:w="113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تولید</w:t>
            </w:r>
          </w:p>
        </w:tc>
        <w:tc>
          <w:tcPr>
            <w:tcW w:type="dxa" w:w="90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هفتگی</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7"/>
              </w:rPr>
              <w:t>تولید</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ضایعات</w:t>
            </w:r>
          </w:p>
        </w:tc>
        <w:tc>
          <w:tcPr>
            <w:tcW w:type="dxa" w:w="3061"/>
            <w:tcMar>
              <w:top w:w="45" w:type="dxa"/>
              <w:left w:w="90" w:type="dxa"/>
              <w:bottom w:w="45" w:type="dxa"/>
              <w:right w:w="90" w:type="dxa"/>
            </w:tcMar>
            <w:vAlign w:val="center"/>
          </w:tcPr>
          <w:p>
            <w:pPr>
              <w:bidi w:val="1"/>
              <w:spacing w:after="0" w:before="0" w:line="276" w:lineRule="auto"/>
              <w:jc w:val="right"/>
            </w:pPr>
            <w:r>
              <w:rPr>
                <w:b w:val="0"/>
                <w:i w:val="0"/>
                <w:color w:val="1F2933"/>
                <w:sz w:val="17"/>
              </w:rPr>
              <w:t>ضایعات / (ورودی + خروجی)</w:t>
            </w:r>
          </w:p>
        </w:tc>
        <w:tc>
          <w:tcPr>
            <w:tcW w:type="dxa" w:w="1587"/>
            <w:tcMar>
              <w:top w:w="45" w:type="dxa"/>
              <w:left w:w="90" w:type="dxa"/>
              <w:bottom w:w="45" w:type="dxa"/>
              <w:right w:w="90" w:type="dxa"/>
            </w:tcMar>
            <w:vAlign w:val="center"/>
          </w:tcPr>
          <w:p>
            <w:pPr>
              <w:bidi w:val="1"/>
              <w:spacing w:after="0" w:before="0" w:line="276" w:lineRule="auto"/>
              <w:jc w:val="right"/>
            </w:pPr>
            <w:r>
              <w:rPr>
                <w:b w:val="0"/>
                <w:i w:val="0"/>
                <w:color w:val="1F2933"/>
                <w:sz w:val="17"/>
              </w:rPr>
              <w:t>۲٪-</w:t>
            </w:r>
          </w:p>
        </w:tc>
        <w:tc>
          <w:tcPr>
            <w:tcW w:type="dxa" w:w="1134"/>
            <w:tcMar>
              <w:top w:w="45" w:type="dxa"/>
              <w:left w:w="90" w:type="dxa"/>
              <w:bottom w:w="45" w:type="dxa"/>
              <w:right w:w="90" w:type="dxa"/>
            </w:tcMar>
            <w:vAlign w:val="center"/>
          </w:tcPr>
          <w:p>
            <w:pPr>
              <w:bidi w:val="1"/>
              <w:spacing w:after="0" w:before="0" w:line="276" w:lineRule="auto"/>
              <w:jc w:val="right"/>
            </w:pPr>
            <w:r>
              <w:rPr>
                <w:b w:val="0"/>
                <w:i w:val="0"/>
                <w:color w:val="1F2933"/>
                <w:sz w:val="17"/>
              </w:rPr>
              <w:t>تولید</w:t>
            </w:r>
          </w:p>
        </w:tc>
        <w:tc>
          <w:tcPr>
            <w:tcW w:type="dxa" w:w="907"/>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تولید</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انحراف مصرف (MUV)</w:t>
            </w:r>
          </w:p>
        </w:tc>
        <w:tc>
          <w:tcPr>
            <w:tcW w:type="dxa" w:w="30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(مقدار واقعی - استاندارد) / استاندارد</w:t>
            </w:r>
          </w:p>
        </w:tc>
        <w:tc>
          <w:tcPr>
            <w:tcW w:type="dxa" w:w="158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۵٪±</w:t>
            </w:r>
          </w:p>
        </w:tc>
        <w:tc>
          <w:tcPr>
            <w:tcW w:type="dxa" w:w="113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تولید</w:t>
            </w:r>
          </w:p>
        </w:tc>
        <w:tc>
          <w:tcPr>
            <w:tcW w:type="dxa" w:w="90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تحقق از برنامه</w:t>
            </w:r>
          </w:p>
        </w:tc>
        <w:tc>
          <w:tcPr>
            <w:tcW w:type="dxa" w:w="3061"/>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 واقعی / فروش برنامه‌ای</w:t>
            </w:r>
          </w:p>
        </w:tc>
        <w:tc>
          <w:tcPr>
            <w:tcW w:type="dxa" w:w="1587"/>
            <w:tcMar>
              <w:top w:w="45" w:type="dxa"/>
              <w:left w:w="90" w:type="dxa"/>
              <w:bottom w:w="45" w:type="dxa"/>
              <w:right w:w="90" w:type="dxa"/>
            </w:tcMar>
            <w:vAlign w:val="center"/>
          </w:tcPr>
          <w:p>
            <w:pPr>
              <w:bidi w:val="1"/>
              <w:spacing w:after="0" w:before="0" w:line="276" w:lineRule="auto"/>
              <w:jc w:val="right"/>
            </w:pPr>
            <w:r>
              <w:rPr>
                <w:b w:val="0"/>
                <w:i w:val="0"/>
                <w:color w:val="1F2933"/>
                <w:sz w:val="17"/>
              </w:rPr>
              <w:t>۹۵٪+</w:t>
            </w:r>
          </w:p>
        </w:tc>
        <w:tc>
          <w:tcPr>
            <w:tcW w:type="dxa" w:w="1134"/>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w:t>
            </w:r>
          </w:p>
        </w:tc>
        <w:tc>
          <w:tcPr>
            <w:tcW w:type="dxa" w:w="907"/>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DSO</w:t>
            </w:r>
          </w:p>
        </w:tc>
        <w:tc>
          <w:tcPr>
            <w:tcW w:type="dxa" w:w="30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میانگین روز از فاکتور تا وصول</w:t>
            </w:r>
          </w:p>
        </w:tc>
        <w:tc>
          <w:tcPr>
            <w:tcW w:type="dxa" w:w="158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۳۰ روز-</w:t>
            </w:r>
          </w:p>
        </w:tc>
        <w:tc>
          <w:tcPr>
            <w:tcW w:type="dxa" w:w="113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اعتبار</w:t>
            </w:r>
          </w:p>
        </w:tc>
        <w:tc>
          <w:tcPr>
            <w:tcW w:type="dxa" w:w="90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نرخ بازگشت</w:t>
            </w:r>
          </w:p>
        </w:tc>
        <w:tc>
          <w:tcPr>
            <w:tcW w:type="dxa" w:w="3061"/>
            <w:tcMar>
              <w:top w:w="45" w:type="dxa"/>
              <w:left w:w="90" w:type="dxa"/>
              <w:bottom w:w="45" w:type="dxa"/>
              <w:right w:w="90" w:type="dxa"/>
            </w:tcMar>
            <w:vAlign w:val="center"/>
          </w:tcPr>
          <w:p>
            <w:pPr>
              <w:bidi w:val="1"/>
              <w:spacing w:after="0" w:before="0" w:line="276" w:lineRule="auto"/>
              <w:jc w:val="right"/>
            </w:pPr>
            <w:r>
              <w:rPr>
                <w:b w:val="0"/>
                <w:i w:val="0"/>
                <w:color w:val="1F2933"/>
                <w:sz w:val="17"/>
              </w:rPr>
              <w:t>مبلغ بازگشت / فروش</w:t>
            </w:r>
          </w:p>
        </w:tc>
        <w:tc>
          <w:tcPr>
            <w:tcW w:type="dxa" w:w="1587"/>
            <w:tcMar>
              <w:top w:w="45" w:type="dxa"/>
              <w:left w:w="90" w:type="dxa"/>
              <w:bottom w:w="45" w:type="dxa"/>
              <w:right w:w="90" w:type="dxa"/>
            </w:tcMar>
            <w:vAlign w:val="center"/>
          </w:tcPr>
          <w:p>
            <w:pPr>
              <w:bidi w:val="1"/>
              <w:spacing w:after="0" w:before="0" w:line="276" w:lineRule="auto"/>
              <w:jc w:val="right"/>
            </w:pPr>
            <w:r>
              <w:rPr>
                <w:b w:val="0"/>
                <w:i w:val="0"/>
                <w:color w:val="1F2933"/>
                <w:sz w:val="17"/>
              </w:rPr>
              <w:t>۱.۲٪-</w:t>
            </w:r>
          </w:p>
        </w:tc>
        <w:tc>
          <w:tcPr>
            <w:tcW w:type="dxa" w:w="1134"/>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w:t>
            </w:r>
          </w:p>
        </w:tc>
        <w:tc>
          <w:tcPr>
            <w:tcW w:type="dxa" w:w="907"/>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حاشیهٔ سود ناخالص</w:t>
            </w:r>
          </w:p>
        </w:tc>
        <w:tc>
          <w:tcPr>
            <w:tcW w:type="dxa" w:w="30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 - بهای فروش کالا) / فروش</w:t>
            </w:r>
          </w:p>
        </w:tc>
        <w:tc>
          <w:tcPr>
            <w:tcW w:type="dxa" w:w="158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حداقل هدف مصوب</w:t>
            </w:r>
          </w:p>
        </w:tc>
        <w:tc>
          <w:tcPr>
            <w:tcW w:type="dxa" w:w="113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بهای/مالی</w:t>
            </w:r>
          </w:p>
        </w:tc>
        <w:tc>
          <w:tcPr>
            <w:tcW w:type="dxa" w:w="90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7"/>
              </w:rPr>
              <w:t>قیمت‌گذاری</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انحراف حاشیهٔ هدف</w:t>
            </w:r>
          </w:p>
        </w:tc>
        <w:tc>
          <w:tcPr>
            <w:tcW w:type="dxa" w:w="3061"/>
            <w:tcMar>
              <w:top w:w="45" w:type="dxa"/>
              <w:left w:w="90" w:type="dxa"/>
              <w:bottom w:w="45" w:type="dxa"/>
              <w:right w:w="90" w:type="dxa"/>
            </w:tcMar>
            <w:vAlign w:val="center"/>
          </w:tcPr>
          <w:p>
            <w:pPr>
              <w:bidi w:val="1"/>
              <w:spacing w:after="0" w:before="0" w:line="276" w:lineRule="auto"/>
              <w:jc w:val="right"/>
            </w:pPr>
            <w:r>
              <w:rPr>
                <w:b w:val="0"/>
                <w:i w:val="0"/>
                <w:color w:val="1F2933"/>
                <w:sz w:val="17"/>
              </w:rPr>
              <w:t>حاشیهٔ واقعی هر محصول - هدف</w:t>
            </w:r>
          </w:p>
        </w:tc>
        <w:tc>
          <w:tcPr>
            <w:tcW w:type="dxa" w:w="1587"/>
            <w:tcMar>
              <w:top w:w="45" w:type="dxa"/>
              <w:left w:w="90" w:type="dxa"/>
              <w:bottom w:w="45" w:type="dxa"/>
              <w:right w:w="90" w:type="dxa"/>
            </w:tcMar>
            <w:vAlign w:val="center"/>
          </w:tcPr>
          <w:p>
            <w:pPr>
              <w:bidi w:val="1"/>
              <w:spacing w:after="0" w:before="0" w:line="276" w:lineRule="auto"/>
              <w:jc w:val="right"/>
            </w:pPr>
            <w:r>
              <w:rPr>
                <w:b w:val="0"/>
                <w:i w:val="0"/>
                <w:color w:val="1F2933"/>
                <w:sz w:val="17"/>
              </w:rPr>
              <w:t>±۱ درصد</w:t>
            </w:r>
          </w:p>
        </w:tc>
        <w:tc>
          <w:tcPr>
            <w:tcW w:type="dxa" w:w="1134"/>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 مالی</w:t>
            </w:r>
          </w:p>
        </w:tc>
        <w:tc>
          <w:tcPr>
            <w:tcW w:type="dxa" w:w="907"/>
            <w:tcMar>
              <w:top w:w="45" w:type="dxa"/>
              <w:left w:w="90" w:type="dxa"/>
              <w:bottom w:w="45" w:type="dxa"/>
              <w:right w:w="90" w:type="dxa"/>
            </w:tcMar>
            <w:vAlign w:val="center"/>
          </w:tcPr>
          <w:p>
            <w:pPr>
              <w:bidi w:val="1"/>
              <w:spacing w:after="0" w:before="0" w:line="276" w:lineRule="auto"/>
              <w:jc w:val="right"/>
            </w:pPr>
            <w:r>
              <w:rPr>
                <w:b w:val="0"/>
                <w:i w:val="0"/>
                <w:color w:val="1F2933"/>
                <w:sz w:val="17"/>
              </w:rPr>
              <w:t>ماهانه</w:t>
            </w:r>
          </w:p>
        </w:tc>
      </w:tr>
      <w:tr>
        <w:tc>
          <w:tcPr>
            <w:tcW w:type="dxa" w:w="124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قیمت‌گذاری</w:t>
            </w:r>
          </w:p>
        </w:tc>
        <w:tc>
          <w:tcPr>
            <w:tcW w:type="dxa" w:w="170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سهم فروش زیر کف</w:t>
            </w:r>
          </w:p>
        </w:tc>
        <w:tc>
          <w:tcPr>
            <w:tcW w:type="dxa" w:w="306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درصد فروش زیر قیمت کف</w:t>
            </w:r>
          </w:p>
        </w:tc>
        <w:tc>
          <w:tcPr>
            <w:tcW w:type="dxa" w:w="158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۵٪-</w:t>
            </w:r>
          </w:p>
        </w:tc>
        <w:tc>
          <w:tcPr>
            <w:tcW w:type="dxa" w:w="113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فروش مالی</w:t>
            </w:r>
          </w:p>
        </w:tc>
        <w:tc>
          <w:tcPr>
            <w:tcW w:type="dxa" w:w="90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7"/>
              </w:rPr>
              <w:t>چهارمایی</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7"/>
              </w:rPr>
              <w:t>قیمت‌گذاری</w:t>
            </w:r>
          </w:p>
        </w:tc>
        <w:tc>
          <w:tcPr>
            <w:tcW w:type="dxa" w:w="1701"/>
            <w:tcMar>
              <w:top w:w="45" w:type="dxa"/>
              <w:left w:w="90" w:type="dxa"/>
              <w:bottom w:w="45" w:type="dxa"/>
              <w:right w:w="90" w:type="dxa"/>
            </w:tcMar>
            <w:vAlign w:val="center"/>
          </w:tcPr>
          <w:p>
            <w:pPr>
              <w:bidi w:val="1"/>
              <w:spacing w:after="0" w:before="0" w:line="276" w:lineRule="auto"/>
              <w:jc w:val="right"/>
            </w:pPr>
            <w:r>
              <w:rPr>
                <w:b w:val="0"/>
                <w:i w:val="0"/>
                <w:color w:val="1F2933"/>
                <w:sz w:val="17"/>
              </w:rPr>
              <w:t>بازنگری بهای استاندارد</w:t>
            </w:r>
          </w:p>
        </w:tc>
        <w:tc>
          <w:tcPr>
            <w:tcW w:type="dxa" w:w="3061"/>
            <w:tcMar>
              <w:top w:w="45" w:type="dxa"/>
              <w:left w:w="90" w:type="dxa"/>
              <w:bottom w:w="45" w:type="dxa"/>
              <w:right w:w="90" w:type="dxa"/>
            </w:tcMar>
            <w:vAlign w:val="center"/>
          </w:tcPr>
          <w:p>
            <w:pPr>
              <w:bidi w:val="1"/>
              <w:spacing w:after="0" w:before="0" w:line="276" w:lineRule="auto"/>
              <w:jc w:val="right"/>
            </w:pPr>
            <w:r>
              <w:rPr>
                <w:b w:val="0"/>
                <w:i w:val="0"/>
                <w:color w:val="1F2933"/>
                <w:sz w:val="17"/>
              </w:rPr>
              <w:t>بازنگری سالانهٔ استاندارد در برابر واقعی</w:t>
            </w:r>
          </w:p>
        </w:tc>
        <w:tc>
          <w:tcPr>
            <w:tcW w:type="dxa" w:w="1587"/>
            <w:tcMar>
              <w:top w:w="45" w:type="dxa"/>
              <w:left w:w="90" w:type="dxa"/>
              <w:bottom w:w="45" w:type="dxa"/>
              <w:right w:w="90" w:type="dxa"/>
            </w:tcMar>
            <w:vAlign w:val="center"/>
          </w:tcPr>
          <w:p>
            <w:pPr>
              <w:bidi w:val="1"/>
              <w:spacing w:after="0" w:before="0" w:line="276" w:lineRule="auto"/>
              <w:jc w:val="right"/>
            </w:pPr>
            <w:r>
              <w:rPr>
                <w:b w:val="0"/>
                <w:i w:val="0"/>
                <w:color w:val="1F2933"/>
                <w:sz w:val="17"/>
              </w:rPr>
              <w:t>۱۰۰٪ انجام‌شده</w:t>
            </w:r>
          </w:p>
        </w:tc>
        <w:tc>
          <w:tcPr>
            <w:tcW w:type="dxa" w:w="1134"/>
            <w:tcMar>
              <w:top w:w="45" w:type="dxa"/>
              <w:left w:w="90" w:type="dxa"/>
              <w:bottom w:w="45" w:type="dxa"/>
              <w:right w:w="90" w:type="dxa"/>
            </w:tcMar>
            <w:vAlign w:val="center"/>
          </w:tcPr>
          <w:p>
            <w:pPr>
              <w:bidi w:val="1"/>
              <w:spacing w:after="0" w:before="0" w:line="276" w:lineRule="auto"/>
              <w:jc w:val="right"/>
            </w:pPr>
            <w:r>
              <w:rPr>
                <w:b w:val="0"/>
                <w:i w:val="0"/>
                <w:color w:val="1F2933"/>
                <w:sz w:val="17"/>
              </w:rPr>
              <w:t>بهای/مالی</w:t>
            </w:r>
          </w:p>
        </w:tc>
        <w:tc>
          <w:tcPr>
            <w:tcW w:type="dxa" w:w="907"/>
            <w:tcMar>
              <w:top w:w="45" w:type="dxa"/>
              <w:left w:w="90" w:type="dxa"/>
              <w:bottom w:w="45" w:type="dxa"/>
              <w:right w:w="90" w:type="dxa"/>
            </w:tcMar>
            <w:vAlign w:val="center"/>
          </w:tcPr>
          <w:p>
            <w:pPr>
              <w:bidi w:val="1"/>
              <w:spacing w:after="0" w:before="0" w:line="276" w:lineRule="auto"/>
              <w:jc w:val="right"/>
            </w:pPr>
            <w:r>
              <w:rPr>
                <w:b w:val="0"/>
                <w:i w:val="0"/>
                <w:color w:val="1F2933"/>
                <w:sz w:val="17"/>
              </w:rPr>
              <w:t>سالانه</w:t>
            </w:r>
          </w:p>
        </w:tc>
      </w:tr>
    </w:tbl>
    <w:p>
      <w:pPr>
        <w:pBdr>
          <w:bottom w:val="single" w:sz="12" w:space="4" w:color="D4AF37"/>
        </w:pBdr>
        <w:bidi w:val="1"/>
        <w:spacing w:after="200" w:before="320" w:line="264" w:lineRule="auto"/>
        <w:jc w:val="right"/>
        <w:outlineLvl w:val="0"/>
      </w:pPr>
      <w:r>
        <w:rPr>
          <w:b/>
          <w:i w:val="0"/>
          <w:color w:val="9E801A"/>
          <w:sz w:val="30"/>
        </w:rPr>
        <w:t xml:space="preserve">فصل ۱۲ — </w:t>
      </w:r>
      <w:r>
        <w:rPr>
          <w:b/>
          <w:i w:val="0"/>
          <w:color w:val="173154"/>
          <w:sz w:val="30"/>
        </w:rPr>
        <w:t>نقشهٔ راه پیاده‌سازی</w:t>
      </w:r>
    </w:p>
    <w:p>
      <w:pPr>
        <w:bidi w:val="1"/>
        <w:spacing w:after="120" w:before="0" w:line="288" w:lineRule="auto"/>
        <w:jc w:val="right"/>
      </w:pPr>
      <w:r>
        <w:rPr>
          <w:b w:val="0"/>
          <w:i w:val="0"/>
          <w:color w:val="1F2933"/>
          <w:sz w:val="21"/>
        </w:rPr>
        <w:t>پیاده‌سازی «یکشنبه‌شب» در سازمان‌های تولیدی/بازرگانی شکست می‌خورد. این نقشهٔ راه ۶ مرحله‌ای، خروجی هر مرحله را در قالب «معیار خروج» تعریف می‌کند که هر قدم قابل اندازه‌گیری باشد.</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2409"/>
        <w:gridCol w:w="2409"/>
        <w:gridCol w:w="2409"/>
        <w:gridCol w:w="2409"/>
      </w:tblGrid>
      <w:tr>
        <w:tc>
          <w:tcPr>
            <w:tcW w:type="dxa" w:w="147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مرحله</w:t>
            </w:r>
          </w:p>
        </w:tc>
        <w:tc>
          <w:tcPr>
            <w:tcW w:type="dxa" w:w="3855"/>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کار اصلی</w:t>
            </w:r>
          </w:p>
        </w:tc>
        <w:tc>
          <w:tcPr>
            <w:tcW w:type="dxa" w:w="147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مدت مرجع</w:t>
            </w:r>
          </w:p>
        </w:tc>
        <w:tc>
          <w:tcPr>
            <w:tcW w:type="dxa" w:w="2835"/>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معیار خروج</w:t>
            </w:r>
          </w:p>
        </w:tc>
      </w:tr>
      <w:tr>
        <w:tc>
          <w:tcPr>
            <w:tcW w:type="dxa" w:w="1474"/>
            <w:tcMar>
              <w:top w:w="45" w:type="dxa"/>
              <w:left w:w="90" w:type="dxa"/>
              <w:bottom w:w="45" w:type="dxa"/>
              <w:right w:w="90" w:type="dxa"/>
            </w:tcMar>
            <w:vAlign w:val="center"/>
          </w:tcPr>
          <w:p>
            <w:pPr>
              <w:bidi w:val="1"/>
              <w:spacing w:after="0" w:before="0" w:line="276" w:lineRule="auto"/>
              <w:jc w:val="right"/>
            </w:pPr>
            <w:r>
              <w:rPr>
                <w:b w:val="0"/>
                <w:i w:val="0"/>
                <w:color w:val="1F2933"/>
                <w:sz w:val="18"/>
              </w:rPr>
              <w:t>P0 — ارزیابی</w:t>
            </w:r>
          </w:p>
        </w:tc>
        <w:tc>
          <w:tcPr>
            <w:tcW w:type="dxa" w:w="3855"/>
            <w:tcMar>
              <w:top w:w="45" w:type="dxa"/>
              <w:left w:w="90" w:type="dxa"/>
              <w:bottom w:w="45" w:type="dxa"/>
              <w:right w:w="90" w:type="dxa"/>
            </w:tcMar>
            <w:vAlign w:val="center"/>
          </w:tcPr>
          <w:p>
            <w:pPr>
              <w:bidi w:val="1"/>
              <w:spacing w:after="0" w:before="0" w:line="276" w:lineRule="auto"/>
              <w:jc w:val="right"/>
            </w:pPr>
            <w:r>
              <w:rPr>
                <w:b w:val="0"/>
                <w:i w:val="0"/>
                <w:color w:val="1F2933"/>
                <w:sz w:val="18"/>
              </w:rPr>
              <w:t>Gap Analysis وضعیت موجود با این مدل (SoD، اسناد، سیستم‌ها)، ریسک‌سنجی برتر</w:t>
            </w:r>
          </w:p>
        </w:tc>
        <w:tc>
          <w:tcPr>
            <w:tcW w:type="dxa" w:w="1474"/>
            <w:tcMar>
              <w:top w:w="45" w:type="dxa"/>
              <w:left w:w="90" w:type="dxa"/>
              <w:bottom w:w="45" w:type="dxa"/>
              <w:right w:w="90" w:type="dxa"/>
            </w:tcMar>
            <w:vAlign w:val="center"/>
          </w:tcPr>
          <w:p>
            <w:pPr>
              <w:bidi w:val="1"/>
              <w:spacing w:after="0" w:before="0" w:line="276" w:lineRule="auto"/>
              <w:jc w:val="right"/>
            </w:pPr>
            <w:r>
              <w:rPr>
                <w:b w:val="0"/>
                <w:i w:val="0"/>
                <w:color w:val="1F2933"/>
                <w:sz w:val="18"/>
              </w:rPr>
              <w:t>1 ماه</w:t>
            </w:r>
          </w:p>
        </w:tc>
        <w:tc>
          <w:tcPr>
            <w:tcW w:type="dxa" w:w="2835"/>
            <w:tcMar>
              <w:top w:w="45" w:type="dxa"/>
              <w:left w:w="90" w:type="dxa"/>
              <w:bottom w:w="45" w:type="dxa"/>
              <w:right w:w="90" w:type="dxa"/>
            </w:tcMar>
            <w:vAlign w:val="center"/>
          </w:tcPr>
          <w:p>
            <w:pPr>
              <w:bidi w:val="1"/>
              <w:spacing w:after="0" w:before="0" w:line="276" w:lineRule="auto"/>
              <w:jc w:val="right"/>
            </w:pPr>
            <w:r>
              <w:rPr>
                <w:b w:val="0"/>
                <w:i w:val="0"/>
                <w:color w:val="1F2933"/>
                <w:sz w:val="18"/>
              </w:rPr>
              <w:t>گزارش شکاف مصوب کمیتهٔ پروژه</w:t>
            </w:r>
          </w:p>
        </w:tc>
      </w:tr>
      <w:tr>
        <w:tc>
          <w:tcPr>
            <w:tcW w:type="dxa" w:w="147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P1 — سیاست</w:t>
            </w:r>
          </w:p>
        </w:tc>
        <w:tc>
          <w:tcPr>
            <w:tcW w:type="dxa" w:w="385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تصویب DOA با ارقام مطلق؛ اصلاح نقشهٔ تصویب؛ تصویب فهرست کنترل‌های غیرقابل حذف</w:t>
            </w:r>
          </w:p>
        </w:tc>
        <w:tc>
          <w:tcPr>
            <w:tcW w:type="dxa" w:w="147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1 تا 3 ماه</w:t>
            </w:r>
          </w:p>
        </w:tc>
        <w:tc>
          <w:tcPr>
            <w:tcW w:type="dxa" w:w="283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مصوبهٔ هیئت‌مدیره</w:t>
            </w:r>
          </w:p>
        </w:tc>
      </w:tr>
      <w:tr>
        <w:tc>
          <w:tcPr>
            <w:tcW w:type="dxa" w:w="1474"/>
            <w:tcMar>
              <w:top w:w="45" w:type="dxa"/>
              <w:left w:w="90" w:type="dxa"/>
              <w:bottom w:w="45" w:type="dxa"/>
              <w:right w:w="90" w:type="dxa"/>
            </w:tcMar>
            <w:vAlign w:val="center"/>
          </w:tcPr>
          <w:p>
            <w:pPr>
              <w:bidi w:val="1"/>
              <w:spacing w:after="0" w:before="0" w:line="276" w:lineRule="auto"/>
              <w:jc w:val="right"/>
            </w:pPr>
            <w:r>
              <w:rPr>
                <w:b w:val="0"/>
                <w:i w:val="0"/>
                <w:color w:val="1F2933"/>
                <w:sz w:val="18"/>
              </w:rPr>
              <w:t>P2 — سیستم</w:t>
            </w:r>
          </w:p>
        </w:tc>
        <w:tc>
          <w:tcPr>
            <w:tcW w:type="dxa" w:w="3855"/>
            <w:tcMar>
              <w:top w:w="45" w:type="dxa"/>
              <w:left w:w="90" w:type="dxa"/>
              <w:bottom w:w="45" w:type="dxa"/>
              <w:right w:w="90" w:type="dxa"/>
            </w:tcMar>
            <w:vAlign w:val="center"/>
          </w:tcPr>
          <w:p>
            <w:pPr>
              <w:bidi w:val="1"/>
              <w:spacing w:after="0" w:before="0" w:line="276" w:lineRule="auto"/>
              <w:jc w:val="right"/>
            </w:pPr>
            <w:r>
              <w:rPr>
                <w:b w:val="0"/>
                <w:i w:val="0"/>
                <w:color w:val="1F2933"/>
                <w:sz w:val="18"/>
              </w:rPr>
              <w:t>داده‌های پایه (فهرست قیمت، AVL، اعتبار)؛ پیگیری‌پذیری تطبیق چهارگانه و فهرست قیمت در ERP؛ گزارش انحراف</w:t>
            </w:r>
          </w:p>
        </w:tc>
        <w:tc>
          <w:tcPr>
            <w:tcW w:type="dxa" w:w="1474"/>
            <w:tcMar>
              <w:top w:w="45" w:type="dxa"/>
              <w:left w:w="90" w:type="dxa"/>
              <w:bottom w:w="45" w:type="dxa"/>
              <w:right w:w="90" w:type="dxa"/>
            </w:tcMar>
            <w:vAlign w:val="center"/>
          </w:tcPr>
          <w:p>
            <w:pPr>
              <w:bidi w:val="1"/>
              <w:spacing w:after="0" w:before="0" w:line="276" w:lineRule="auto"/>
              <w:jc w:val="right"/>
            </w:pPr>
            <w:r>
              <w:rPr>
                <w:b w:val="0"/>
                <w:i w:val="0"/>
                <w:color w:val="1F2933"/>
                <w:sz w:val="18"/>
              </w:rPr>
              <w:t>2 تا 4 ماه</w:t>
            </w:r>
          </w:p>
        </w:tc>
        <w:tc>
          <w:tcPr>
            <w:tcW w:type="dxa" w:w="2835"/>
            <w:tcMar>
              <w:top w:w="45" w:type="dxa"/>
              <w:left w:w="90" w:type="dxa"/>
              <w:bottom w:w="45" w:type="dxa"/>
              <w:right w:w="90" w:type="dxa"/>
            </w:tcMar>
            <w:vAlign w:val="center"/>
          </w:tcPr>
          <w:p>
            <w:pPr>
              <w:bidi w:val="1"/>
              <w:spacing w:after="0" w:before="0" w:line="276" w:lineRule="auto"/>
              <w:jc w:val="right"/>
            </w:pPr>
            <w:r>
              <w:rPr>
                <w:b w:val="0"/>
                <w:i w:val="0"/>
                <w:color w:val="1F2933"/>
                <w:sz w:val="18"/>
              </w:rPr>
              <w:t>پذیرش کاربری (UAT) با سناریوهای واقعی</w:t>
            </w:r>
          </w:p>
        </w:tc>
      </w:tr>
      <w:tr>
        <w:tc>
          <w:tcPr>
            <w:tcW w:type="dxa" w:w="147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P3 — پایلوت</w:t>
            </w:r>
          </w:p>
        </w:tc>
        <w:tc>
          <w:tcPr>
            <w:tcW w:type="dxa" w:w="385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یک خط محصول یا یک سایت؛ هر سه مسیر (تأمین/تولید/فروش)</w:t>
            </w:r>
          </w:p>
        </w:tc>
        <w:tc>
          <w:tcPr>
            <w:tcW w:type="dxa" w:w="147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1 تا 2 ماه</w:t>
            </w:r>
          </w:p>
        </w:tc>
        <w:tc>
          <w:tcPr>
            <w:tcW w:type="dxa" w:w="283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KPIهای خط پایه؛ بدون نقص سطح 1</w:t>
            </w:r>
          </w:p>
        </w:tc>
      </w:tr>
      <w:tr>
        <w:tc>
          <w:tcPr>
            <w:tcW w:type="dxa" w:w="1474"/>
            <w:tcMar>
              <w:top w:w="45" w:type="dxa"/>
              <w:left w:w="90" w:type="dxa"/>
              <w:bottom w:w="45" w:type="dxa"/>
              <w:right w:w="90" w:type="dxa"/>
            </w:tcMar>
            <w:vAlign w:val="center"/>
          </w:tcPr>
          <w:p>
            <w:pPr>
              <w:bidi w:val="1"/>
              <w:spacing w:after="0" w:before="0" w:line="276" w:lineRule="auto"/>
              <w:jc w:val="right"/>
            </w:pPr>
            <w:r>
              <w:rPr>
                <w:b w:val="0"/>
                <w:i w:val="0"/>
                <w:color w:val="1F2933"/>
                <w:sz w:val="18"/>
              </w:rPr>
              <w:t>P4 — گسترش</w:t>
            </w:r>
          </w:p>
        </w:tc>
        <w:tc>
          <w:tcPr>
            <w:tcW w:type="dxa" w:w="3855"/>
            <w:tcMar>
              <w:top w:w="45" w:type="dxa"/>
              <w:left w:w="90" w:type="dxa"/>
              <w:bottom w:w="45" w:type="dxa"/>
              <w:right w:w="90" w:type="dxa"/>
            </w:tcMar>
            <w:vAlign w:val="center"/>
          </w:tcPr>
          <w:p>
            <w:pPr>
              <w:bidi w:val="1"/>
              <w:spacing w:after="0" w:before="0" w:line="276" w:lineRule="auto"/>
              <w:jc w:val="right"/>
            </w:pPr>
            <w:r>
              <w:rPr>
                <w:b w:val="0"/>
                <w:i w:val="0"/>
                <w:color w:val="1F2933"/>
                <w:sz w:val="18"/>
              </w:rPr>
              <w:t>همهٔ سایت‌ها؛ آموزش داشبورد KPI</w:t>
            </w:r>
          </w:p>
        </w:tc>
        <w:tc>
          <w:tcPr>
            <w:tcW w:type="dxa" w:w="1474"/>
            <w:tcMar>
              <w:top w:w="45" w:type="dxa"/>
              <w:left w:w="90" w:type="dxa"/>
              <w:bottom w:w="45" w:type="dxa"/>
              <w:right w:w="90" w:type="dxa"/>
            </w:tcMar>
            <w:vAlign w:val="center"/>
          </w:tcPr>
          <w:p>
            <w:pPr>
              <w:bidi w:val="1"/>
              <w:spacing w:after="0" w:before="0" w:line="276" w:lineRule="auto"/>
              <w:jc w:val="right"/>
            </w:pPr>
            <w:r>
              <w:rPr>
                <w:b w:val="0"/>
                <w:i w:val="0"/>
                <w:color w:val="1F2933"/>
                <w:sz w:val="18"/>
              </w:rPr>
              <w:t>3 ماه</w:t>
            </w:r>
          </w:p>
        </w:tc>
        <w:tc>
          <w:tcPr>
            <w:tcW w:type="dxa" w:w="2835"/>
            <w:tcMar>
              <w:top w:w="45" w:type="dxa"/>
              <w:left w:w="90" w:type="dxa"/>
              <w:bottom w:w="45" w:type="dxa"/>
              <w:right w:w="90" w:type="dxa"/>
            </w:tcMar>
            <w:vAlign w:val="center"/>
          </w:tcPr>
          <w:p>
            <w:pPr>
              <w:bidi w:val="1"/>
              <w:spacing w:after="0" w:before="0" w:line="276" w:lineRule="auto"/>
              <w:jc w:val="right"/>
            </w:pPr>
            <w:r>
              <w:rPr>
                <w:b w:val="0"/>
                <w:i w:val="0"/>
                <w:color w:val="1F2933"/>
                <w:sz w:val="18"/>
              </w:rPr>
              <w:t>۱۰۰٪ تراکنش‌ها از طریق سیستم</w:t>
            </w:r>
          </w:p>
        </w:tc>
      </w:tr>
      <w:tr>
        <w:tc>
          <w:tcPr>
            <w:tcW w:type="dxa" w:w="147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P5 — بهبود مستمر</w:t>
            </w:r>
          </w:p>
        </w:tc>
        <w:tc>
          <w:tcPr>
            <w:tcW w:type="dxa" w:w="385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بازنگری ماهانهٔ انحراف/حاشیه؛ بازنگری سالانهٔ DOA/AVL؛ حسابرسی داخلی</w:t>
            </w:r>
          </w:p>
        </w:tc>
        <w:tc>
          <w:tcPr>
            <w:tcW w:type="dxa" w:w="1474"/>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ادامه‌دار</w:t>
            </w:r>
          </w:p>
        </w:tc>
        <w:tc>
          <w:tcPr>
            <w:tcW w:type="dxa" w:w="2835"/>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گزارش سالانهٔ حسابرسی بدون نقص اصلی</w:t>
            </w:r>
          </w:p>
        </w:tc>
      </w:tr>
    </w:tbl>
    <w:p>
      <w:pPr>
        <w:bidi w:val="1"/>
        <w:spacing w:after="160" w:before="200" w:line="264" w:lineRule="auto"/>
        <w:jc w:val="right"/>
        <w:outlineLvl w:val="1"/>
      </w:pPr>
      <w:r>
        <w:rPr>
          <w:b/>
          <w:i w:val="0"/>
          <w:color w:val="1F4E8C"/>
          <w:sz w:val="25"/>
        </w:rPr>
        <w:t>12.1  مدیریت تغییر — نکات موفقیت</w:t>
      </w:r>
    </w:p>
    <w:p>
      <w:pPr>
        <w:bidi w:val="1"/>
        <w:spacing w:after="80" w:before="0" w:line="288" w:lineRule="auto"/>
        <w:ind w:left="312"/>
        <w:jc w:val="right"/>
      </w:pPr>
      <w:r>
        <w:rPr>
          <w:b/>
          <w:i w:val="0"/>
          <w:color w:val="9E801A"/>
          <w:sz w:val="21"/>
        </w:rPr>
        <w:t xml:space="preserve">•  </w:t>
      </w:r>
      <w:r>
        <w:rPr>
          <w:b w:val="0"/>
          <w:i w:val="0"/>
          <w:color w:val="1F2933"/>
          <w:sz w:val="21"/>
        </w:rPr>
        <w:t>آموزش «مالک فرآیند» (نه فقط کاربر پایانی): اگر مدیران میانی نقاط کنترل را ندانند، کنترل را دور می‌زنند.</w:t>
      </w:r>
    </w:p>
    <w:p>
      <w:pPr>
        <w:bidi w:val="1"/>
        <w:spacing w:after="80" w:before="0" w:line="288" w:lineRule="auto"/>
        <w:ind w:left="312"/>
        <w:jc w:val="right"/>
      </w:pPr>
      <w:r>
        <w:rPr>
          <w:b/>
          <w:i w:val="0"/>
          <w:color w:val="9E801A"/>
          <w:sz w:val="21"/>
        </w:rPr>
        <w:t xml:space="preserve">•  </w:t>
      </w:r>
      <w:r>
        <w:rPr>
          <w:b w:val="0"/>
          <w:i w:val="0"/>
          <w:color w:val="1F2933"/>
          <w:sz w:val="21"/>
        </w:rPr>
        <w:t>پشتیبانی علنی مدیرعامل در جلسات کارکنان — بدون این، سیستم «فشار بالا» روی میانی‌ها می‌شود.</w:t>
      </w:r>
    </w:p>
    <w:p>
      <w:pPr>
        <w:bidi w:val="1"/>
        <w:spacing w:after="80" w:before="0" w:line="288" w:lineRule="auto"/>
        <w:ind w:left="312"/>
        <w:jc w:val="right"/>
      </w:pPr>
      <w:r>
        <w:rPr>
          <w:b/>
          <w:i w:val="0"/>
          <w:color w:val="9E801A"/>
          <w:sz w:val="21"/>
        </w:rPr>
        <w:t xml:space="preserve">•  </w:t>
      </w:r>
      <w:r>
        <w:rPr>
          <w:b w:val="0"/>
          <w:i w:val="0"/>
          <w:color w:val="1F2933"/>
          <w:sz w:val="21"/>
        </w:rPr>
        <w:t>شروع با «آزمون کوتاه»: ۴ تا ۶ هفتهٔ اجرای کنترل‌ها در نظم عادی سازمان.</w:t>
      </w:r>
    </w:p>
    <w:p>
      <w:pPr>
        <w:bidi w:val="1"/>
        <w:spacing w:after="80" w:before="0" w:line="288" w:lineRule="auto"/>
        <w:ind w:left="312"/>
        <w:jc w:val="right"/>
      </w:pPr>
      <w:r>
        <w:rPr>
          <w:b/>
          <w:i w:val="0"/>
          <w:color w:val="9E801A"/>
          <w:sz w:val="21"/>
        </w:rPr>
        <w:t xml:space="preserve">•  </w:t>
      </w:r>
      <w:r>
        <w:rPr>
          <w:b w:val="0"/>
          <w:i w:val="0"/>
          <w:color w:val="1F2933"/>
          <w:sz w:val="21"/>
        </w:rPr>
        <w:t>معیارهای موفقیت ۶ ماه پس از راه‌اندازی: ۱۰۰٪ پرداخت‌ها با تطبیق چهارگانه؛ ۱۰۰٪ POها از AVL (یا استثناء ثبت‌شده)؛ گزارش ماهانهٔ انحراف منتشرشده؛ پیشنهادهای زیر کف کمتر از ۵٪.</w:t>
      </w:r>
    </w:p>
    <w:p>
      <w:pPr>
        <w:pBdr>
          <w:bottom w:val="single" w:sz="12" w:space="4" w:color="D4AF37"/>
        </w:pBdr>
        <w:bidi w:val="1"/>
        <w:spacing w:after="200" w:before="320" w:line="264" w:lineRule="auto"/>
        <w:jc w:val="right"/>
        <w:outlineLvl w:val="0"/>
      </w:pPr>
      <w:r>
        <w:rPr>
          <w:b/>
          <w:i w:val="0"/>
          <w:color w:val="9E801A"/>
          <w:sz w:val="30"/>
        </w:rPr>
        <w:t xml:space="preserve">فصل ۱۳ — </w:t>
      </w:r>
      <w:r>
        <w:rPr>
          <w:b/>
          <w:i w:val="0"/>
          <w:color w:val="173154"/>
          <w:sz w:val="30"/>
        </w:rPr>
        <w:t>پیوست‌ها</w:t>
      </w:r>
    </w:p>
    <w:p>
      <w:pPr>
        <w:bidi w:val="1"/>
        <w:spacing w:after="160" w:before="200" w:line="264" w:lineRule="auto"/>
        <w:jc w:val="right"/>
        <w:outlineLvl w:val="1"/>
      </w:pPr>
      <w:r>
        <w:rPr>
          <w:b/>
          <w:i w:val="0"/>
          <w:color w:val="1F4E8C"/>
          <w:sz w:val="25"/>
        </w:rPr>
        <w:t>پیوست A — واژه‌نامه</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4819"/>
        <w:gridCol w:w="4819"/>
      </w:tblGrid>
      <w:tr>
        <w:tc>
          <w:tcPr>
            <w:tcW w:type="dxa" w:w="2041"/>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اصطلاح</w:t>
            </w:r>
          </w:p>
        </w:tc>
        <w:tc>
          <w:tcPr>
            <w:tcW w:type="dxa" w:w="759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تعریف</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ABC</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هزینه‌بندی بر مبنای فعالیت (Activity-Based Costing)</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ACRR</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تفکیک چهار نقش ناسازگار: تأیید، انبارداری، ثبت، تطبیق</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AVL</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فهرست تأمین‌کنندگان تأییدشده (Approved Vendor List)</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BOM</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ساختار مواد (Bill of Materials)</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Change Request</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درخواست تغییر رسمی (دامنه/هزینه/زمان/مشخصه)</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DOA</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ماتریس تفویض اختیار (Delegation of Authority)</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DPPM</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قطعات معیوب در میلیون واحد (Defective Parts Per Million)</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DSO</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میانگین دورهٔ وصول وجه (Days Sales Outstanding)</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FSB</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طرح توجیهی کامل (Full Business Case / Feasibility Study)</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GRN</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برگهٔ رسید انبار (Goods Receiving Note)</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Incoterms</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شرایط تجاری بین‌المللی (ICC 2020)</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IRR</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نرخ بازده داخلی (Internal Rate of Return)</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MRB</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کمیتهٔ بررسی انحرافات (Material Review Board)</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MPS / MRP</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برنامه‌ریزی تولید اعلی / برنامه‌ریزی نیازمندی‌های مواد</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NPV</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ارزش اکنون خالص (Net Present Value)</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OCA</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تأییدیهٔ سفارش مشتری (Order Confirmation)</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OEE</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کارایی کل تجهیزات (Overall Equipment Effectiveness)</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OTD</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تحویل به‌موقع (On-Time Delivery)</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PIR</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بازنگری پس از اجرا (Post Implementation Review)</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PO / PR</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سفارش خرید (Purchase Order) / درخواست خرید (Purchase Requisition)</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RACI</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ماتریس مسئولیت: مجری/پاسخگو/مشاوره‌شده/مطلع‌شده</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RMA</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مجوز بازگشت کالا (Return Merchandise Authorization)</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S&amp;OP</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برنامه‌ریزی فروش و عملیات (Sales &amp; Operations Planning)</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SoD</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تفکیک وظایف (Segregation of Duties)</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Stage-Gate</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مدل مرحله/دروازهٔ مدیریت نوآوری و پروژه (Cooper)</w:t>
            </w:r>
          </w:p>
        </w:tc>
      </w:tr>
      <w:tr>
        <w:tc>
          <w:tcPr>
            <w:tcW w:type="dxa" w:w="2041"/>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WACC</w:t>
            </w:r>
          </w:p>
        </w:tc>
        <w:tc>
          <w:tcPr>
            <w:tcW w:type="dxa" w:w="7597"/>
            <w:shd w:val="clear" w:color="auto" w:fill="F7FAFE"/>
            <w:tcMar>
              <w:top w:w="45" w:type="dxa"/>
              <w:left w:w="90" w:type="dxa"/>
              <w:bottom w:w="45" w:type="dxa"/>
              <w:right w:w="90" w:type="dxa"/>
            </w:tcMar>
            <w:vAlign w:val="center"/>
          </w:tcPr>
          <w:p>
            <w:pPr>
              <w:bidi w:val="1"/>
              <w:spacing w:after="0" w:before="0" w:line="276" w:lineRule="auto"/>
              <w:jc w:val="right"/>
            </w:pPr>
            <w:r>
              <w:rPr>
                <w:b w:val="0"/>
                <w:i w:val="0"/>
                <w:color w:val="1F2933"/>
                <w:sz w:val="18"/>
              </w:rPr>
              <w:t>میانگین هزینهٔ مجموع سرمایه (Weighted Average Cost of Capital)</w:t>
            </w:r>
          </w:p>
        </w:tc>
      </w:tr>
      <w:tr>
        <w:tc>
          <w:tcPr>
            <w:tcW w:type="dxa" w:w="2041"/>
            <w:tcMar>
              <w:top w:w="45" w:type="dxa"/>
              <w:left w:w="90" w:type="dxa"/>
              <w:bottom w:w="45" w:type="dxa"/>
              <w:right w:w="90" w:type="dxa"/>
            </w:tcMar>
            <w:vAlign w:val="center"/>
          </w:tcPr>
          <w:p>
            <w:pPr>
              <w:bidi w:val="1"/>
              <w:spacing w:after="0" w:before="0" w:line="276" w:lineRule="auto"/>
              <w:jc w:val="right"/>
            </w:pPr>
            <w:r>
              <w:rPr>
                <w:b w:val="0"/>
                <w:i w:val="0"/>
                <w:color w:val="1F2933"/>
                <w:sz w:val="18"/>
              </w:rPr>
              <w:t>WBS</w:t>
            </w:r>
          </w:p>
        </w:tc>
        <w:tc>
          <w:tcPr>
            <w:tcW w:type="dxa" w:w="7597"/>
            <w:tcMar>
              <w:top w:w="45" w:type="dxa"/>
              <w:left w:w="90" w:type="dxa"/>
              <w:bottom w:w="45" w:type="dxa"/>
              <w:right w:w="90" w:type="dxa"/>
            </w:tcMar>
            <w:vAlign w:val="center"/>
          </w:tcPr>
          <w:p>
            <w:pPr>
              <w:bidi w:val="1"/>
              <w:spacing w:after="0" w:before="0" w:line="276" w:lineRule="auto"/>
              <w:jc w:val="right"/>
            </w:pPr>
            <w:r>
              <w:rPr>
                <w:b w:val="0"/>
                <w:i w:val="0"/>
                <w:color w:val="1F2933"/>
                <w:sz w:val="18"/>
              </w:rPr>
              <w:t>ساختار شکستهٔ کار (Work Breakdown Structure)</w:t>
            </w:r>
          </w:p>
        </w:tc>
      </w:tr>
    </w:tbl>
    <w:p>
      <w:pPr>
        <w:bidi w:val="1"/>
        <w:spacing w:after="160" w:before="200" w:line="264" w:lineRule="auto"/>
        <w:jc w:val="right"/>
        <w:outlineLvl w:val="1"/>
      </w:pPr>
      <w:r>
        <w:rPr>
          <w:b/>
          <w:i w:val="0"/>
          <w:color w:val="1F4E8C"/>
          <w:sz w:val="25"/>
        </w:rPr>
        <w:t>پیوست B — فهرست مراجع</w:t>
      </w:r>
    </w:p>
    <w:p>
      <w:pPr>
        <w:bidi w:val="1"/>
        <w:spacing w:after="60" w:before="0" w:line="288" w:lineRule="auto"/>
        <w:ind w:left="340"/>
        <w:jc w:val="right"/>
      </w:pPr>
      <w:r>
        <w:rPr>
          <w:b w:val="0"/>
          <w:i w:val="0"/>
          <w:color w:val="333D4A"/>
          <w:sz w:val="19"/>
        </w:rPr>
        <w:t>۱.  ISO 9001:2015 — Quality management systems — Requirements (ISO)</w:t>
      </w:r>
    </w:p>
    <w:p>
      <w:pPr>
        <w:bidi w:val="1"/>
        <w:spacing w:after="60" w:before="0" w:line="288" w:lineRule="auto"/>
        <w:ind w:left="340"/>
        <w:jc w:val="right"/>
      </w:pPr>
      <w:r>
        <w:rPr>
          <w:b w:val="0"/>
          <w:i w:val="0"/>
          <w:color w:val="333D4A"/>
          <w:sz w:val="19"/>
        </w:rPr>
        <w:t>۲.  ISO 31000:2018 — Risk management — Guidelines (ISO)</w:t>
      </w:r>
    </w:p>
    <w:p>
      <w:pPr>
        <w:bidi w:val="1"/>
        <w:spacing w:after="60" w:before="0" w:line="288" w:lineRule="auto"/>
        <w:ind w:left="340"/>
        <w:jc w:val="right"/>
      </w:pPr>
      <w:r>
        <w:rPr>
          <w:b w:val="0"/>
          <w:i w:val="0"/>
          <w:color w:val="333D4A"/>
          <w:sz w:val="19"/>
        </w:rPr>
        <w:t>۳.  COSO (2013) — Internal Control — Integrated Framework</w:t>
      </w:r>
    </w:p>
    <w:p>
      <w:pPr>
        <w:bidi w:val="1"/>
        <w:spacing w:after="60" w:before="0" w:line="288" w:lineRule="auto"/>
        <w:ind w:left="340"/>
        <w:jc w:val="right"/>
      </w:pPr>
      <w:r>
        <w:rPr>
          <w:b w:val="0"/>
          <w:i w:val="0"/>
          <w:color w:val="333D4A"/>
          <w:sz w:val="19"/>
        </w:rPr>
        <w:t>۴.  COSO (2017) — Enterprise Risk Management — Integrating with Strategy and Performance</w:t>
      </w:r>
    </w:p>
    <w:p>
      <w:pPr>
        <w:bidi w:val="1"/>
        <w:spacing w:after="60" w:before="0" w:line="288" w:lineRule="auto"/>
        <w:ind w:left="340"/>
        <w:jc w:val="right"/>
      </w:pPr>
      <w:r>
        <w:rPr>
          <w:b w:val="0"/>
          <w:i w:val="0"/>
          <w:color w:val="333D4A"/>
          <w:sz w:val="19"/>
        </w:rPr>
        <w:t>۵.  IAS 2 — Inventories (IASB)</w:t>
      </w:r>
    </w:p>
    <w:p>
      <w:pPr>
        <w:bidi w:val="1"/>
        <w:spacing w:after="60" w:before="0" w:line="288" w:lineRule="auto"/>
        <w:ind w:left="340"/>
        <w:jc w:val="right"/>
      </w:pPr>
      <w:r>
        <w:rPr>
          <w:b w:val="0"/>
          <w:i w:val="0"/>
          <w:color w:val="333D4A"/>
          <w:sz w:val="19"/>
        </w:rPr>
        <w:t>۶.  IFRS 15 — Revenue from Contracts with Customers (IASB)</w:t>
      </w:r>
    </w:p>
    <w:p>
      <w:pPr>
        <w:bidi w:val="1"/>
        <w:spacing w:after="60" w:before="0" w:line="288" w:lineRule="auto"/>
        <w:ind w:left="340"/>
        <w:jc w:val="right"/>
      </w:pPr>
      <w:r>
        <w:rPr>
          <w:b w:val="0"/>
          <w:i w:val="0"/>
          <w:color w:val="333D4A"/>
          <w:sz w:val="19"/>
        </w:rPr>
        <w:t>۷.  Cooper, R. G. (1990). Stage-Gate System for Selecting and Prioritizing New Product Projects. Harvard Business Review, 68(4)</w:t>
      </w:r>
    </w:p>
    <w:p>
      <w:pPr>
        <w:bidi w:val="1"/>
        <w:spacing w:after="60" w:before="0" w:line="288" w:lineRule="auto"/>
        <w:ind w:left="340"/>
        <w:jc w:val="right"/>
      </w:pPr>
      <w:r>
        <w:rPr>
          <w:b w:val="0"/>
          <w:i w:val="0"/>
          <w:color w:val="333D4A"/>
          <w:sz w:val="19"/>
        </w:rPr>
        <w:t>۸.  Cooper, R. G. (2008). Winning at New Products (3rd ed.)</w:t>
      </w:r>
    </w:p>
    <w:p>
      <w:pPr>
        <w:bidi w:val="1"/>
        <w:spacing w:after="60" w:before="0" w:line="288" w:lineRule="auto"/>
        <w:ind w:left="340"/>
        <w:jc w:val="right"/>
      </w:pPr>
      <w:r>
        <w:rPr>
          <w:b w:val="0"/>
          <w:i w:val="0"/>
          <w:color w:val="333D4A"/>
          <w:sz w:val="19"/>
        </w:rPr>
        <w:t>۹.  PMI (2021). A Guide to the Project Management Body of Knowledge (PMBOK Guide), 7th ed.</w:t>
      </w:r>
    </w:p>
    <w:p>
      <w:pPr>
        <w:bidi w:val="1"/>
        <w:spacing w:after="60" w:before="0" w:line="288" w:lineRule="auto"/>
        <w:ind w:left="340"/>
        <w:jc w:val="right"/>
      </w:pPr>
      <w:r>
        <w:rPr>
          <w:b w:val="0"/>
          <w:i w:val="0"/>
          <w:color w:val="333D4A"/>
          <w:sz w:val="19"/>
        </w:rPr>
        <w:t>۱۰.  ISACA (2018). COBIT 2019 Framework</w:t>
      </w:r>
    </w:p>
    <w:p>
      <w:pPr>
        <w:bidi w:val="1"/>
        <w:spacing w:after="60" w:before="0" w:line="288" w:lineRule="auto"/>
        <w:ind w:left="340"/>
        <w:jc w:val="right"/>
      </w:pPr>
      <w:r>
        <w:rPr>
          <w:b w:val="0"/>
          <w:i w:val="0"/>
          <w:color w:val="333D4A"/>
          <w:sz w:val="19"/>
        </w:rPr>
        <w:t>۱۱.  IIA — International Standards for the Professional Practice of Internal Auditing</w:t>
      </w:r>
    </w:p>
    <w:p>
      <w:pPr>
        <w:bidi w:val="1"/>
        <w:spacing w:after="60" w:before="0" w:line="288" w:lineRule="auto"/>
        <w:ind w:left="340"/>
        <w:jc w:val="right"/>
      </w:pPr>
      <w:r>
        <w:rPr>
          <w:b w:val="0"/>
          <w:i w:val="0"/>
          <w:color w:val="333D4A"/>
          <w:sz w:val="19"/>
        </w:rPr>
        <w:t>۱۲.  ANSI/ASQ Z1.4 — Sampling Procedures and Tables for Inspection by Attributes</w:t>
      </w:r>
    </w:p>
    <w:p>
      <w:pPr>
        <w:bidi w:val="1"/>
        <w:spacing w:after="60" w:before="0" w:line="288" w:lineRule="auto"/>
        <w:ind w:left="340"/>
        <w:jc w:val="right"/>
      </w:pPr>
      <w:r>
        <w:rPr>
          <w:b w:val="0"/>
          <w:i w:val="0"/>
          <w:color w:val="333D4A"/>
          <w:sz w:val="19"/>
        </w:rPr>
        <w:t>۱۳.  ICAEW / CIMA — Practical guidance on Segregation of Duties</w:t>
      </w:r>
    </w:p>
    <w:p>
      <w:pPr>
        <w:bidi w:val="1"/>
        <w:spacing w:after="60" w:before="0" w:line="288" w:lineRule="auto"/>
        <w:ind w:left="340"/>
        <w:jc w:val="right"/>
      </w:pPr>
      <w:r>
        <w:rPr>
          <w:b w:val="0"/>
          <w:i w:val="0"/>
          <w:color w:val="333D4A"/>
          <w:sz w:val="19"/>
        </w:rPr>
        <w:t>۱۴.  ICC (2020) — Incoterms Rules</w:t>
      </w:r>
    </w:p>
    <w:p>
      <w:pPr>
        <w:bidi w:val="1"/>
        <w:spacing w:after="160" w:before="200" w:line="264" w:lineRule="auto"/>
        <w:jc w:val="right"/>
        <w:outlineLvl w:val="1"/>
      </w:pPr>
      <w:r>
        <w:rPr>
          <w:b/>
          <w:i w:val="0"/>
          <w:color w:val="1F4E8C"/>
          <w:sz w:val="25"/>
        </w:rPr>
        <w:t>پیوست C — کنترل اسناد</w:t>
      </w: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2409"/>
        <w:gridCol w:w="2409"/>
        <w:gridCol w:w="2409"/>
        <w:gridCol w:w="2409"/>
      </w:tblGrid>
      <w:tr>
        <w:tc>
          <w:tcPr>
            <w:tcW w:type="dxa" w:w="1247"/>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نسخه</w:t>
            </w:r>
          </w:p>
        </w:tc>
        <w:tc>
          <w:tcPr>
            <w:tcW w:type="dxa" w:w="1474"/>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تاریخ</w:t>
            </w:r>
          </w:p>
        </w:tc>
        <w:tc>
          <w:tcPr>
            <w:tcW w:type="dxa" w:w="3969"/>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توضیح تغییر</w:t>
            </w:r>
          </w:p>
        </w:tc>
        <w:tc>
          <w:tcPr>
            <w:tcW w:type="dxa" w:w="2948"/>
            <w:shd w:val="clear" w:color="auto" w:fill="173154"/>
            <w:tcMar>
              <w:top w:w="45" w:type="dxa"/>
              <w:left w:w="90" w:type="dxa"/>
              <w:bottom w:w="45" w:type="dxa"/>
              <w:right w:w="90" w:type="dxa"/>
            </w:tcMar>
            <w:vAlign w:val="center"/>
          </w:tcPr>
          <w:p>
            <w:pPr>
              <w:bidi w:val="1"/>
              <w:spacing w:after="0" w:before="0" w:line="276" w:lineRule="auto"/>
              <w:jc w:val="center"/>
            </w:pPr>
            <w:r>
              <w:rPr>
                <w:b/>
                <w:i w:val="0"/>
                <w:color w:val="FFFFFF"/>
                <w:sz w:val="18"/>
              </w:rPr>
              <w:t>تأییدکننده</w:t>
            </w:r>
          </w:p>
        </w:tc>
      </w:tr>
      <w:tr>
        <w:tc>
          <w:tcPr>
            <w:tcW w:type="dxa" w:w="1247"/>
            <w:tcMar>
              <w:top w:w="45" w:type="dxa"/>
              <w:left w:w="90" w:type="dxa"/>
              <w:bottom w:w="45" w:type="dxa"/>
              <w:right w:w="90" w:type="dxa"/>
            </w:tcMar>
            <w:vAlign w:val="center"/>
          </w:tcPr>
          <w:p>
            <w:pPr>
              <w:bidi w:val="1"/>
              <w:spacing w:after="0" w:before="0" w:line="276" w:lineRule="auto"/>
              <w:jc w:val="right"/>
            </w:pPr>
            <w:r>
              <w:rPr>
                <w:b w:val="0"/>
                <w:i w:val="0"/>
                <w:color w:val="1F2933"/>
                <w:sz w:val="18"/>
              </w:rPr>
              <w:t>1.0</w:t>
            </w:r>
          </w:p>
        </w:tc>
        <w:tc>
          <w:tcPr>
            <w:tcW w:type="dxa" w:w="1474"/>
            <w:tcMar>
              <w:top w:w="45" w:type="dxa"/>
              <w:left w:w="90" w:type="dxa"/>
              <w:bottom w:w="45" w:type="dxa"/>
              <w:right w:w="90" w:type="dxa"/>
            </w:tcMar>
            <w:vAlign w:val="center"/>
          </w:tcPr>
          <w:p>
            <w:pPr>
              <w:bidi w:val="1"/>
              <w:spacing w:after="0" w:before="0" w:line="276" w:lineRule="auto"/>
              <w:jc w:val="right"/>
            </w:pPr>
            <w:r>
              <w:rPr>
                <w:b w:val="0"/>
                <w:i w:val="0"/>
                <w:color w:val="1F2933"/>
                <w:sz w:val="18"/>
              </w:rPr>
              <w:t>۱۴۰۵/۰۷/۰۲</w:t>
            </w:r>
          </w:p>
        </w:tc>
        <w:tc>
          <w:tcPr>
            <w:tcW w:type="dxa" w:w="3969"/>
            <w:tcMar>
              <w:top w:w="45" w:type="dxa"/>
              <w:left w:w="90" w:type="dxa"/>
              <w:bottom w:w="45" w:type="dxa"/>
              <w:right w:w="90" w:type="dxa"/>
            </w:tcMar>
            <w:vAlign w:val="center"/>
          </w:tcPr>
          <w:p>
            <w:pPr>
              <w:bidi w:val="1"/>
              <w:spacing w:after="0" w:before="0" w:line="276" w:lineRule="auto"/>
              <w:jc w:val="right"/>
            </w:pPr>
            <w:r>
              <w:rPr>
                <w:b w:val="0"/>
                <w:i w:val="0"/>
                <w:color w:val="1F2933"/>
                <w:sz w:val="18"/>
              </w:rPr>
              <w:t>نخستین انتشار — نسخهٔ نهایی (مدل مرجع)</w:t>
            </w:r>
          </w:p>
        </w:tc>
        <w:tc>
          <w:tcPr>
            <w:tcW w:type="dxa" w:w="2948"/>
            <w:tcMar>
              <w:top w:w="45" w:type="dxa"/>
              <w:left w:w="90" w:type="dxa"/>
              <w:bottom w:w="45" w:type="dxa"/>
              <w:right w:w="90" w:type="dxa"/>
            </w:tcMar>
            <w:vAlign w:val="center"/>
          </w:tcPr>
          <w:p>
            <w:pPr>
              <w:bidi w:val="1"/>
              <w:spacing w:after="0" w:before="0" w:line="276" w:lineRule="auto"/>
              <w:jc w:val="right"/>
            </w:pPr>
            <w:r>
              <w:rPr>
                <w:b w:val="0"/>
                <w:i w:val="0"/>
                <w:color w:val="1F2933"/>
                <w:sz w:val="18"/>
              </w:rPr>
              <w:t>کارگروه تحلیل سیستم و فرآیند</w:t>
            </w:r>
          </w:p>
        </w:tc>
      </w:tr>
    </w:tbl>
    <w:p>
      <w:pPr>
        <w:bidi w:val="1"/>
        <w:spacing w:after="120" w:before="0" w:line="288" w:lineRule="auto"/>
        <w:jc w:val="right"/>
      </w:pPr>
    </w:p>
    <w:tbl>
      <w:tblPr>
        <w:tblStyle w:val="TableGrid"/>
        <w:bidiVisual w:val="1"/>
        <w:tblW w:type="auto" w:w="0"/>
        <w:tblBorders>
          <w:top w:val="single" w:sz="4" w:space="0" w:color="C4CDD6"/>
          <w:left w:val="single" w:sz="4" w:space="0" w:color="C4CDD6"/>
          <w:bottom w:val="single" w:sz="4" w:space="0" w:color="C4CDD6"/>
          <w:right w:val="single" w:sz="4" w:space="0" w:color="C4CDD6"/>
          <w:insideH w:val="single" w:sz="4" w:space="0" w:color="C4CDD6"/>
          <w:insideV w:val="single" w:sz="4" w:space="0" w:color="C4CDD6"/>
        </w:tblBorders>
        <w:tblLayout w:type="fixed"/>
        <w:tblLook w:firstColumn="1" w:firstRow="1" w:lastColumn="0" w:lastRow="0" w:noHBand="0" w:noVBand="1" w:val="04A0"/>
      </w:tblPr>
      <w:tblGrid>
        <w:gridCol w:w="9638"/>
      </w:tblGrid>
      <w:tr>
        <w:tc>
          <w:tcPr>
            <w:tcW w:type="dxa" w:w="9638"/>
            <w:tcBorders>
              <w:top w:val="single" w:sz="4" w:space="0" w:color="E8D9AE"/>
              <w:left w:val="single" w:sz="4" w:space="0" w:color="E8D9AE"/>
              <w:bottom w:val="single" w:sz="4" w:space="0" w:color="E8D9AE"/>
              <w:right w:val="single" w:sz="24" w:space="0" w:color="9E801A"/>
            </w:tcBorders>
            <w:shd w:val="clear" w:color="auto" w:fill="FDF6E4"/>
            <w:tcMar>
              <w:top w:w="45" w:type="dxa"/>
              <w:left w:w="90" w:type="dxa"/>
              <w:bottom w:w="45" w:type="dxa"/>
              <w:right w:w="90" w:type="dxa"/>
            </w:tcMar>
            <w:vAlign w:val="center"/>
          </w:tcPr>
          <w:p>
            <w:pPr>
              <w:bidi w:val="1"/>
              <w:spacing w:after="40" w:before="0" w:line="288" w:lineRule="auto"/>
              <w:jc w:val="right"/>
            </w:pPr>
            <w:r>
              <w:rPr>
                <w:b/>
                <w:i w:val="0"/>
                <w:color w:val="9E801A"/>
                <w:sz w:val="21"/>
              </w:rPr>
              <w:t>یادداشت پایانی</w:t>
            </w:r>
          </w:p>
          <w:p>
            <w:pPr>
              <w:bidi w:val="1"/>
              <w:spacing w:after="40" w:before="0" w:line="288" w:lineRule="auto"/>
              <w:jc w:val="right"/>
            </w:pPr>
            <w:r>
              <w:rPr>
                <w:b w:val="0"/>
                <w:i w:val="0"/>
                <w:color w:val="1F2933"/>
                <w:sz w:val="19"/>
              </w:rPr>
              <w:t>این سند مدل مرجع است، نه «آیین‌نامهٔ» یک سازمان مشخص. ارزش آن در «یکپارچه‌گی» است: وقتی هر گام فرآیند، مسئول، سند، کنترل و مرجع استاندارد خودش را دارد، سازمان هم برای حسابرسی (ISO/مالیاتی) و هم برای توسعه (افزودن خط/سایت/محصول جدید) چارچوبی آماده دارد. پیاده‌سازی واقعی، با تصویب هیئت‌مدیره و تنظیم ارقام آغاز می‌شود.</w:t>
            </w:r>
          </w:p>
        </w:tc>
      </w:tr>
    </w:tbl>
    <w:p>
      <w:pPr>
        <w:bidi w:val="1"/>
        <w:spacing w:after="60" w:before="0" w:line="288" w:lineRule="auto"/>
        <w:jc w:val="right"/>
      </w:pPr>
    </w:p>
    <w:sectPr w:rsidR="00FC693F" w:rsidRPr="0006063C" w:rsidSect="00034616">
      <w:pgSz w:w="11906" w:h="16838"/>
      <w:pgMar w:top="1020" w:right="1134" w:bottom="907" w:left="1134" w:header="720" w:footer="720" w:gutter="0"/>
      <w:pgNumType w:fmt="arabicIndic"/>
      <w:pgNumType w:fmt="arabicIndic"/>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after="0" w:before="0" w:line="240" w:lineRule="auto"/>
      <w:jc w:val="right"/>
    </w:pPr>
    <w:r>
      <w:rPr>
        <w:b w:val="0"/>
        <w:i w:val="0"/>
        <w:color w:val="747F8D"/>
        <w:sz w:val="17"/>
      </w:rPr>
      <w:t xml:space="preserve">مدل مرجع سازمانی — داخلی      صفحه </w:t>
    </w:r>
    <w:r>
      <w:rPr>
        <w:color w:val="747F8D"/>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C4CDD6"/>
      </w:pBdr>
      <w:bidi w:val="1"/>
      <w:spacing w:after="0" w:before="0" w:line="240" w:lineRule="auto"/>
      <w:jc w:val="right"/>
    </w:pPr>
    <w:r>
      <w:rPr>
        <w:b w:val="0"/>
        <w:i w:val="0"/>
        <w:color w:val="747F8D"/>
        <w:sz w:val="16"/>
      </w:rPr>
      <w:t>رویه استاندارد تأمین، تولید، فروش و قیمت‌گذاری  |  نسخه ۱.۰  |  SOP-OPS-001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dedFont w:fontKey="{cd8d879d-5ea0-4880-83e6-2ccfb5cba25e}">
    <w:font w:name="Vazirmatn"/>
    <w:embedRegular r:id="rId91"/>
  </w:embeddedFont>
  <w:embeddedFont w:fontKey="{5a11e106-69e9-4c8a-ab30-013ac8566dff}">
    <w:font w:name="Vazirmatn"/>
    <w:embedBold r:id="rId92"/>
  </w:embeddedFont>
  <w:embeddedFont w:fontKey="{aad9289f-56fb-4911-ac67-0fc2a44ec1da}">
    <w:font w:name="VazirmatnLatin"/>
    <w:embedRegular r:id="rId93"/>
  </w:embeddedFont>
  <w:embeddedFont w:fontKey="{1a6d6fc5-f618-4499-83ad-f5b670f35fa5}">
    <w:font w:name="VazirmatnLatin"/>
    <w:embedBold r:id="rId94"/>
  </w:embeddedFo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VazirmatnLatin" w:hAnsi="VazirmatnLatin" w:cs="Vazirmatn" w:eastAsia="Vazirmatn"/>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91" Type="http://schemas.openxmlformats.org/officeDocument/2006/relationships/font" Target="fonts/font1.odttf"/><Relationship Id="rId92" Type="http://schemas.openxmlformats.org/officeDocument/2006/relationships/font" Target="fonts/font2.odttf"/><Relationship Id="rId93" Type="http://schemas.openxmlformats.org/officeDocument/2006/relationships/font" Target="fonts/font3.odttf"/><Relationship Id="rId9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