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531599915ba2ef39fff5d1eec54778bce2243c"/>
    <w:p>
      <w:pPr>
        <w:pStyle w:val="Heading1"/>
      </w:pPr>
      <w:r>
        <w:t xml:space="preserve">Diets used in Kaun et al. (2007): DEB‑consistent formulation</w:t>
      </w:r>
    </w:p>
    <w:p>
      <w:pPr>
        <w:pStyle w:val="FirstParagraph"/>
      </w:pPr>
      <w:r>
        <w:t xml:space="preserve">Below I</w:t>
      </w:r>
      <w:r>
        <w:t xml:space="preserve"> </w:t>
      </w:r>
      <w:r>
        <w:rPr>
          <w:b/>
          <w:bCs/>
        </w:rPr>
        <w:t xml:space="preserve">extract and formalize the larval diets used in Kaun et al. (2007)</w:t>
      </w:r>
      <w:r>
        <w:t xml:space="preserve"> </w:t>
      </w:r>
      <w:r>
        <w:t xml:space="preserve">and translate them into</w:t>
      </w:r>
      <w:r>
        <w:t xml:space="preserve"> </w:t>
      </w:r>
      <w:r>
        <w:rPr>
          <w:b/>
          <w:bCs/>
        </w:rPr>
        <w:t xml:space="preserve">DEB‑consistent substrate descriptions</w:t>
      </w:r>
      <w:r>
        <w:t xml:space="preserve">, ending with a</w:t>
      </w:r>
      <w:r>
        <w:t xml:space="preserve"> </w:t>
      </w:r>
      <w:r>
        <w:rPr>
          <w:b/>
          <w:bCs/>
        </w:rPr>
        <w:t xml:space="preserve">single derived quantity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energy density of food</w:t>
      </w:r>
      <w:r>
        <w:t xml:space="preserve"> </w:t>
      </w:r>
      <w:r>
        <w:t xml:space="preserve">(</w:t>
      </w:r>
      <w:r>
        <w:t xml:space="preserve">_X) in</w:t>
      </w:r>
      <w:r>
        <w:t xml:space="preserve"> </w:t>
      </w:r>
      <w:r>
        <w:rPr>
          <w:b/>
          <w:bCs/>
        </w:rPr>
        <w:t xml:space="preserve">J·cm⁻³</w:t>
      </w:r>
      <w:r>
        <w:t xml:space="preserve"> </w:t>
      </w:r>
      <w:r>
        <w:t xml:space="preserve">— which can be used consistently to parameterize functional response and assimilation in DEB models.</w:t>
      </w:r>
    </w:p>
    <w:p>
      <w:pPr>
        <w:pStyle w:val="BodyText"/>
      </w:pPr>
      <w:r>
        <w:t xml:space="preserve">Throughout, we explicitly separate: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 food density</w:t>
      </w:r>
      <w:r>
        <w:t xml:space="preserve"> </w:t>
      </w:r>
      <w:r>
        <w:t xml:space="preserve">(X) (substrate density, e.g. C‑mol·cm⁻³),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chemical potential</w:t>
      </w:r>
      <w:r>
        <w:t xml:space="preserve"> </w:t>
      </w:r>
      <w:r>
        <w:t xml:space="preserve">(</w:t>
      </w:r>
      <w:r>
        <w:t xml:space="preserve">_X) (J·C‑mol⁻¹), and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derived environmental energy density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This quantity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new DEB state variable; it is a</w:t>
      </w:r>
      <w:r>
        <w:t xml:space="preserve"> </w:t>
      </w:r>
      <w:r>
        <w:rPr>
          <w:b/>
          <w:bCs/>
        </w:rPr>
        <w:t xml:space="preserve">defined product</w:t>
      </w:r>
      <w:r>
        <w:t xml:space="preserve"> </w:t>
      </w:r>
      <w:r>
        <w:t xml:space="preserve">that is useful when food recipes are given by mass or molarity.</w:t>
      </w:r>
    </w:p>
    <w:p>
      <w:r>
        <w:pict>
          <v:rect style="width:0;height:1.5pt" o:hralign="center" o:hrstd="t" o:hr="t"/>
        </w:pict>
      </w:r>
    </w:p>
    <w:bookmarkStart w:id="20" w:name="diets-detected-in-kaun-et-al.-2007"/>
    <w:p>
      <w:pPr>
        <w:pStyle w:val="Heading2"/>
      </w:pPr>
      <w:r>
        <w:t xml:space="preserve">1. Diets detected in Kaun et al. (2007)</w:t>
      </w:r>
    </w:p>
    <w:p>
      <w:pPr>
        <w:pStyle w:val="FirstParagraph"/>
      </w:pPr>
      <w:r>
        <w:t xml:space="preserve">Kaun et al. use</w:t>
      </w:r>
      <w:r>
        <w:t xml:space="preserve"> </w:t>
      </w:r>
      <w:r>
        <w:rPr>
          <w:b/>
          <w:bCs/>
        </w:rPr>
        <w:t xml:space="preserve">three classes of larval food substrates</w:t>
      </w:r>
      <w:r>
        <w:t xml:space="preserve">, depending on the experiment: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Standard rearing medium</w:t>
      </w:r>
      <w:r>
        <w:t xml:space="preserve"> </w:t>
      </w:r>
      <w:r>
        <w:t xml:space="preserve">(yeast–sucrose–agar), sometimes diluted (100%, 75%, 50%, 25%, 15%)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Yeast paste</w:t>
      </w:r>
      <w:r>
        <w:t xml:space="preserve"> </w:t>
      </w:r>
      <w:r>
        <w:t xml:space="preserve">(used in feeding and absorption assays)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Defined sugar–agarose substrates</w:t>
      </w:r>
      <w:r>
        <w:t xml:space="preserve"> </w:t>
      </w:r>
      <w:r>
        <w:t xml:space="preserve">(used as test foods)</w:t>
      </w:r>
    </w:p>
    <w:p>
      <w:pPr>
        <w:pStyle w:val="Compact"/>
        <w:numPr>
          <w:ilvl w:val="1"/>
          <w:numId w:val="1002"/>
        </w:numPr>
      </w:pPr>
      <w:r>
        <w:t xml:space="preserve">glucose–agarose</w:t>
      </w:r>
    </w:p>
    <w:p>
      <w:pPr>
        <w:pStyle w:val="Compact"/>
        <w:numPr>
          <w:ilvl w:val="1"/>
          <w:numId w:val="1002"/>
        </w:numPr>
      </w:pPr>
      <w:r>
        <w:t xml:space="preserve">fructose–agarose</w:t>
      </w:r>
    </w:p>
    <w:p>
      <w:pPr>
        <w:pStyle w:val="FirstParagraph"/>
      </w:pPr>
      <w:r>
        <w:t xml:space="preserve">Only (1) and (2) are nutritionally complete. The sugar–agarose substrates are</w:t>
      </w:r>
      <w:r>
        <w:t xml:space="preserve"> </w:t>
      </w:r>
      <w:r>
        <w:rPr>
          <w:b/>
          <w:bCs/>
        </w:rPr>
        <w:t xml:space="preserve">single‑compound carbon sources</w:t>
      </w:r>
      <w:r>
        <w:t xml:space="preserve">, used to probe feeding behavior rather than growth.</w:t>
      </w:r>
    </w:p>
    <w:p>
      <w:r>
        <w:pict>
          <v:rect style="width:0;height:1.5pt" o:hralign="center" o:hrstd="t" o:hr="t"/>
        </w:pict>
      </w:r>
    </w:p>
    <w:bookmarkEnd w:id="20"/>
    <w:bookmarkStart w:id="21" w:name="Xef2f7330138bdaf9f782b4e807dfe2bbcdc5c0b"/>
    <w:p>
      <w:pPr>
        <w:pStyle w:val="Heading2"/>
      </w:pPr>
      <w:r>
        <w:t xml:space="preserve">2. Notational conventions used here (important)</w:t>
      </w:r>
    </w:p>
    <w:p>
      <w:pPr>
        <w:pStyle w:val="FirstParagraph"/>
      </w:pPr>
      <w:r>
        <w:t xml:space="preserve">To avoid confusion, we enforce the following throughout:</w:t>
      </w:r>
    </w:p>
    <w:p>
      <w:pPr>
        <w:pStyle w:val="Compact"/>
        <w:numPr>
          <w:ilvl w:val="0"/>
          <w:numId w:val="1003"/>
        </w:numPr>
      </w:pPr>
      <w:r>
        <w:t xml:space="preserve">(X) : DEB food density (substrate), unit chosen consistently with (K)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_X) : chemical potential of food (J·C‑mol⁻¹)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_X =</w:t>
      </w:r>
      <w:r>
        <w:t xml:space="preserve"> </w:t>
      </w:r>
      <w:r>
        <w:t xml:space="preserve">_X X) :</w:t>
      </w:r>
      <w:r>
        <w:t xml:space="preserve"> </w:t>
      </w:r>
      <w:r>
        <w:rPr>
          <w:b/>
          <w:bCs/>
        </w:rPr>
        <w:t xml:space="preserve">energy per volume of substrate</w:t>
      </w:r>
      <w:r>
        <w:t xml:space="preserve"> </w:t>
      </w:r>
      <w:r>
        <w:t xml:space="preserve">(J·cm⁻³)</w:t>
      </w:r>
    </w:p>
    <w:p>
      <w:pPr>
        <w:pStyle w:val="FirstParagraph"/>
      </w:pPr>
      <w:r>
        <w:t xml:space="preserve">When the paper specifies</w:t>
      </w:r>
      <w:r>
        <w:t xml:space="preserve"> </w:t>
      </w:r>
      <w:r>
        <w:rPr>
          <w:b/>
          <w:bCs/>
        </w:rPr>
        <w:t xml:space="preserve">recipes in g·L⁻¹ or mol·L⁻¹</w:t>
      </w:r>
      <w:r>
        <w:t xml:space="preserve">, we first compute (</w:t>
      </w:r>
      <w:r>
        <w:t xml:space="preserve">_X) via</w:t>
      </w:r>
      <w:r>
        <w:t xml:space="preserve"> </w:t>
      </w:r>
      <w:r>
        <w:rPr>
          <w:b/>
          <w:bCs/>
        </w:rPr>
        <w:t xml:space="preserve">mass concentrations</w:t>
      </w:r>
      <w:r>
        <w:t xml:space="preserve">, using:</w:t>
      </w:r>
      <w:r>
        <w:t xml:space="preserve"> </w:t>
      </w:r>
      <w:r>
        <w:t xml:space="preserve">[</w:t>
      </w:r>
      <w:r>
        <w:t xml:space="preserve"> </w:t>
      </w:r>
      <w:r>
        <w:t xml:space="preserve">_X =</w:t>
      </w:r>
      <w:r>
        <w:t xml:space="preserve"> </w:t>
      </w:r>
      <w:r>
        <w:t xml:space="preserve">_i</w:t>
      </w:r>
      <w:r>
        <w:t xml:space="preserve"> </w:t>
      </w:r>
      <w:r>
        <w:t xml:space="preserve">_i, e_i</w:t>
      </w:r>
      <w:r>
        <w:t xml:space="preserve"> </w:t>
      </w:r>
      <w:r>
        <w:t xml:space="preserve">]</w:t>
      </w:r>
      <w:r>
        <w:t xml:space="preserve"> </w:t>
      </w:r>
      <w:r>
        <w:t xml:space="preserve">where:</w:t>
      </w:r>
      <w:r>
        <w:t xml:space="preserve"> </w:t>
      </w:r>
      <w:r>
        <w:t xml:space="preserve">- (</w:t>
      </w:r>
      <w:r>
        <w:t xml:space="preserve">_i) = mass concentration of ingredient (i) (g·cm⁻³)</w:t>
      </w:r>
      <w:r>
        <w:t xml:space="preserve"> </w:t>
      </w:r>
      <w:r>
        <w:t xml:space="preserve">- (e_i) = gross energy content of ingredient (i) (J·g⁻¹)</w:t>
      </w:r>
    </w:p>
    <w:p>
      <w:pPr>
        <w:pStyle w:val="BodyText"/>
      </w:pPr>
      <w:r>
        <w:t xml:space="preserve">Conversion to (X) (e.g. C‑mol·cm⁻³) can be done later if needed.</w:t>
      </w:r>
    </w:p>
    <w:p>
      <w:r>
        <w:pict>
          <v:rect style="width:0;height:1.5pt" o:hralign="center" o:hrstd="t" o:hr="t"/>
        </w:pict>
      </w:r>
    </w:p>
    <w:bookmarkEnd w:id="21"/>
    <w:bookmarkStart w:id="24" w:name="diet-1-standard-rearing-medium"/>
    <w:p>
      <w:pPr>
        <w:pStyle w:val="Heading2"/>
      </w:pPr>
      <w:r>
        <w:t xml:space="preserve">3. Diet 1 — Standard rearing medium</w:t>
      </w:r>
    </w:p>
    <w:bookmarkStart w:id="22" w:name="composition-per-liter-of-water"/>
    <w:p>
      <w:pPr>
        <w:pStyle w:val="Heading3"/>
      </w:pPr>
      <w:r>
        <w:t xml:space="preserve">3.1 Composition (per liter of water)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 (g·L⁻¹)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Baker’s yeast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protein, lipid, carbohydrate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Sucrose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carbohydrate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gelling agent (non‑assimilable)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KPO₄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mineral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NaK‑tartrate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mineral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MgCl₂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mineral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Fe₂(SO₄)₃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mineral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solvent</w:t>
            </w:r>
          </w:p>
        </w:tc>
      </w:tr>
    </w:tbl>
    <w:p>
      <w:pPr>
        <w:pStyle w:val="BodyText"/>
      </w:pPr>
      <w:r>
        <w:t xml:space="preserve">Only</w:t>
      </w:r>
      <w:r>
        <w:t xml:space="preserve"> </w:t>
      </w:r>
      <w:r>
        <w:rPr>
          <w:b/>
          <w:bCs/>
        </w:rPr>
        <w:t xml:space="preserve">yeast and sucrose</w:t>
      </w:r>
      <w:r>
        <w:t xml:space="preserve"> </w:t>
      </w:r>
      <w:r>
        <w:t xml:space="preserve">contribute significantly to assimilable energy.</w:t>
      </w:r>
    </w:p>
    <w:p>
      <w:pPr>
        <w:pStyle w:val="BodyText"/>
      </w:pPr>
      <w:r>
        <w:t xml:space="preserve">Food quality manipulations (25%, 15%, etc.) scale</w:t>
      </w:r>
      <w:r>
        <w:t xml:space="preserve"> </w:t>
      </w:r>
      <w:r>
        <w:rPr>
          <w:b/>
          <w:bCs/>
        </w:rPr>
        <w:t xml:space="preserve">yeast + sucrose together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energy-density-of-the-standard-medium"/>
    <w:p>
      <w:pPr>
        <w:pStyle w:val="Heading3"/>
      </w:pPr>
      <w:r>
        <w:t xml:space="preserve">3.2 Energy density of the standard medium</w:t>
      </w:r>
    </w:p>
    <w:p>
      <w:pPr>
        <w:pStyle w:val="FirstParagraph"/>
      </w:pPr>
      <w:r>
        <w:t xml:space="preserve">Assume:</w:t>
      </w:r>
      <w:r>
        <w:t xml:space="preserve"> </w:t>
      </w:r>
      <w:r>
        <w:t xml:space="preserve">- aqueous gel, bulk density (</w:t>
      </w:r>
      <w:r>
        <w:t xml:space="preserve">_{</w:t>
      </w:r>
      <w:r>
        <w:t xml:space="preserve">}</w:t>
      </w:r>
      <w:r>
        <w:t xml:space="preserve"> </w:t>
      </w:r>
      <w:r>
        <w:t xml:space="preserve">,</w:t>
      </w:r>
      <w:r>
        <w:t xml:space="preserve">)</w:t>
      </w:r>
      <w:r>
        <w:t xml:space="preserve"> </w:t>
      </w:r>
      <w:r>
        <w:t xml:space="preserve">- agar contributes negligible assimilable energy</w:t>
      </w:r>
    </w:p>
    <w:p>
      <w:pPr>
        <w:pStyle w:val="BodyText"/>
      </w:pPr>
      <w:r>
        <w:t xml:space="preserve">Energy per mass (typical values):</w:t>
      </w:r>
      <w:r>
        <w:t xml:space="preserve"> </w:t>
      </w:r>
      <w:r>
        <w:t xml:space="preserve">- yeast: (e_Y</w:t>
      </w:r>
      <w:r>
        <w:t xml:space="preserve"> </w:t>
      </w:r>
      <w:r>
        <w:t xml:space="preserve">^3,</w:t>
      </w:r>
      <w:r>
        <w:t xml:space="preserve">)</w:t>
      </w:r>
      <w:r>
        <w:t xml:space="preserve"> </w:t>
      </w:r>
      <w:r>
        <w:t xml:space="preserve">- sucrose: (e_S</w:t>
      </w:r>
      <w:r>
        <w:t xml:space="preserve"> </w:t>
      </w:r>
      <w:r>
        <w:t xml:space="preserve">^3,</w:t>
      </w:r>
      <w:r>
        <w:t xml:space="preserve">)</w:t>
      </w:r>
    </w:p>
    <w:p>
      <w:pPr>
        <w:pStyle w:val="BodyText"/>
      </w:pPr>
      <w:r>
        <w:t xml:space="preserve">Energy per liter:</w:t>
      </w:r>
      <w:r>
        <w:t xml:space="preserve"> </w:t>
      </w:r>
      <w:r>
        <w:t xml:space="preserve">[</w:t>
      </w:r>
      <w:r>
        <w:t xml:space="preserve"> </w:t>
      </w:r>
      <w:r>
        <w:t xml:space="preserve">E_{</w:t>
      </w:r>
      <w:r>
        <w:t xml:space="preserve">} = 50</w:t>
      </w:r>
      <w:r>
        <w:t xml:space="preserve"> </w:t>
      </w:r>
      <w:r>
        <w:t xml:space="preserve">= 1050;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E_{</w:t>
      </w:r>
      <w:r>
        <w:t xml:space="preserve">} = 100</w:t>
      </w:r>
      <w:r>
        <w:t xml:space="preserve"> </w:t>
      </w:r>
      <w:r>
        <w:t xml:space="preserve">= 1650;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E_{</w:t>
      </w:r>
      <w:r>
        <w:t xml:space="preserve">} = 2700;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 the</w:t>
      </w:r>
      <w:r>
        <w:t xml:space="preserve"> </w:t>
      </w:r>
      <w:r>
        <w:rPr>
          <w:b/>
          <w:bCs/>
        </w:rPr>
        <w:t xml:space="preserve">energy density of the standard medium</w:t>
      </w:r>
      <w:r>
        <w:t xml:space="preserve"> </w:t>
      </w:r>
      <w:r>
        <w:t xml:space="preserve">is: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diluted food (quality factor (q)):</w:t>
      </w:r>
      <w:r>
        <w:t xml:space="preserve"> </w:t>
      </w:r>
      <w:r>
        <w:t xml:space="preserve">[</w:t>
      </w:r>
      <w:r>
        <w:t xml:space="preserve"> </w:t>
      </w:r>
      <w:r>
        <w:t xml:space="preserve">_X(q) = q,</w:t>
      </w:r>
      <w:r>
        <w:t xml:space="preserve">_X^{</w:t>
      </w:r>
      <w:r>
        <w:t xml:space="preserve">}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iet-2-yeast-paste"/>
    <w:p>
      <w:pPr>
        <w:pStyle w:val="Heading2"/>
      </w:pPr>
      <w:r>
        <w:t xml:space="preserve">4. Diet 2 — Yeast paste</w:t>
      </w:r>
    </w:p>
    <w:bookmarkStart w:id="25" w:name="composition"/>
    <w:p>
      <w:pPr>
        <w:pStyle w:val="Heading3"/>
      </w:pPr>
      <w:r>
        <w:t xml:space="preserve">4.1 Composition</w:t>
      </w:r>
    </w:p>
    <w:p>
      <w:pPr>
        <w:pStyle w:val="FirstParagraph"/>
      </w:pPr>
      <w:r>
        <w:t xml:space="preserve">The yeast paste is prepared as</w:t>
      </w:r>
      <w:r>
        <w:t xml:space="preserve"> </w:t>
      </w:r>
      <w:r>
        <w:rPr>
          <w:b/>
          <w:bCs/>
        </w:rPr>
        <w:t xml:space="preserve">2:1 water:yeast (w/w)</w:t>
      </w:r>
      <w:r>
        <w:t xml:space="preserve">.</w:t>
      </w:r>
    </w:p>
    <w:p>
      <w:pPr>
        <w:pStyle w:val="BodyText"/>
      </w:pPr>
      <w:r>
        <w:t xml:space="preserve">Mass fraction of yeast:</w:t>
      </w:r>
      <w:r>
        <w:t xml:space="preserve"> </w:t>
      </w:r>
      <w:r>
        <w:t xml:space="preserve">[</w:t>
      </w:r>
      <w:r>
        <w:t xml:space="preserve"> </w:t>
      </w:r>
      <w:r>
        <w:t xml:space="preserve">w_Y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Assuming slurry density (</w:t>
      </w:r>
      <w:r>
        <w:t xml:space="preserve">,</w:t>
      </w:r>
      <w:r>
        <w:t xml:space="preserve">):</w:t>
      </w:r>
      <w:r>
        <w:t xml:space="preserve"> </w:t>
      </w:r>
      <w:r>
        <w:t xml:space="preserve">[</w:t>
      </w:r>
      <w:r>
        <w:t xml:space="preserve"> </w:t>
      </w:r>
      <w:r>
        <w:rPr>
          <w:i/>
          <w:iCs/>
        </w:rPr>
        <w:t xml:space="preserve">Y = w_Y,</w:t>
      </w:r>
      <w:r>
        <w:t xml:space="preserve">{</w:t>
      </w:r>
      <w:r>
        <w:t xml:space="preserve">} = 0.333;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energy-density"/>
    <w:p>
      <w:pPr>
        <w:pStyle w:val="Heading3"/>
      </w:pPr>
      <w:r>
        <w:t xml:space="preserve">4.2 Energy density</w:t>
      </w:r>
    </w:p>
    <w:p>
      <w:pPr>
        <w:pStyle w:val="FirstParagraph"/>
      </w:pPr>
      <w:r>
        <w:t xml:space="preserve">With yeast energy per mass (e_Y = 21</w:t>
      </w:r>
      <w:r>
        <w:t xml:space="preserve">^3,</w:t>
      </w:r>
      <w:r>
        <w:t xml:space="preserve">):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Unit check:</w:t>
      </w:r>
      <w:r>
        <w:t xml:space="preserve"> </w:t>
      </w:r>
      <w:r>
        <w:t xml:space="preserve">(</w:t>
      </w:r>
      <w:r>
        <w:t xml:space="preserve"> </w:t>
      </w:r>
      <w:r>
        <w:t xml:space="preserve">=</w:t>
      </w:r>
      <w:r>
        <w:t xml:space="preserve"> 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iet-3-sugaragarose-substrates"/>
    <w:p>
      <w:pPr>
        <w:pStyle w:val="Heading2"/>
      </w:pPr>
      <w:r>
        <w:t xml:space="preserve">5. Diet 3 — Sugar–agarose substrates</w:t>
      </w:r>
    </w:p>
    <w:p>
      <w:pPr>
        <w:pStyle w:val="FirstParagraph"/>
      </w:pPr>
      <w:r>
        <w:t xml:space="preserve">These substrates are</w:t>
      </w:r>
      <w:r>
        <w:t xml:space="preserve"> </w:t>
      </w:r>
      <w:r>
        <w:rPr>
          <w:b/>
          <w:bCs/>
        </w:rPr>
        <w:t xml:space="preserve">not nutritionally complete</w:t>
      </w:r>
      <w:r>
        <w:t xml:space="preserve"> </w:t>
      </w:r>
      <w:r>
        <w:t xml:space="preserve">and should be treated as</w:t>
      </w:r>
      <w:r>
        <w:t xml:space="preserve"> </w:t>
      </w:r>
      <w:r>
        <w:rPr>
          <w:b/>
          <w:bCs/>
        </w:rPr>
        <w:t xml:space="preserve">single‑compound DEB foods</w:t>
      </w:r>
      <w:r>
        <w:t xml:space="preserve">.</w:t>
      </w:r>
    </w:p>
    <w:bookmarkStart w:id="28" w:name="glucoseagarose"/>
    <w:p>
      <w:pPr>
        <w:pStyle w:val="Heading3"/>
      </w:pPr>
      <w:r>
        <w:t xml:space="preserve">5.1 Glucose–agarose</w:t>
      </w:r>
    </w:p>
    <w:p>
      <w:pPr>
        <w:pStyle w:val="FirstParagraph"/>
      </w:pPr>
      <w:r>
        <w:t xml:space="preserve">Recipe:</w:t>
      </w:r>
      <w:r>
        <w:t xml:space="preserve"> </w:t>
      </w:r>
      <w:r>
        <w:rPr>
          <w:b/>
          <w:bCs/>
        </w:rPr>
        <w:t xml:space="preserve">10% glucose (w/v)</w:t>
      </w:r>
      <w:r>
        <w:t xml:space="preserve">, 2.3% agarose.</w:t>
      </w:r>
    </w:p>
    <w:p>
      <w:pPr>
        <w:pStyle w:val="BodyText"/>
      </w:pPr>
      <w:r>
        <w:t xml:space="preserve">Mass concentration:</w:t>
      </w:r>
      <w:r>
        <w:t xml:space="preserve"> </w:t>
      </w:r>
      <w:r>
        <w:t xml:space="preserve">[</w:t>
      </w:r>
      <w:r>
        <w:t xml:space="preserve"> </w:t>
      </w:r>
      <w:r>
        <w:t xml:space="preserve">_G = 0.10;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glucose energy per mass (e_G = 15.6</w:t>
      </w:r>
      <w:r>
        <w:t xml:space="preserve">^3,</w:t>
      </w:r>
      <w:r>
        <w:t xml:space="preserve">):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8"/>
    <w:bookmarkStart w:id="29" w:name="fructoseagarose"/>
    <w:p>
      <w:pPr>
        <w:pStyle w:val="Heading3"/>
      </w:pPr>
      <w:r>
        <w:t xml:space="preserve">5.2 Fructose–agarose</w:t>
      </w:r>
    </w:p>
    <w:p>
      <w:pPr>
        <w:pStyle w:val="FirstParagraph"/>
      </w:pPr>
      <w:r>
        <w:t xml:space="preserve">Recipe:</w:t>
      </w:r>
      <w:r>
        <w:t xml:space="preserve"> </w:t>
      </w:r>
      <w:r>
        <w:rPr>
          <w:b/>
          <w:bCs/>
        </w:rPr>
        <w:t xml:space="preserve">2 mol·L⁻¹ fructose</w:t>
      </w:r>
      <w:r>
        <w:t xml:space="preserve">, 1% agarose.</w:t>
      </w:r>
    </w:p>
    <w:p>
      <w:pPr>
        <w:pStyle w:val="BodyText"/>
      </w:pPr>
      <w:r>
        <w:t xml:space="preserve">Molar mass:</w:t>
      </w:r>
      <w:r>
        <w:t xml:space="preserve"> </w:t>
      </w:r>
      <w:r>
        <w:t xml:space="preserve">[</w:t>
      </w:r>
      <w:r>
        <w:t xml:space="preserve"> </w:t>
      </w:r>
      <w:r>
        <w:t xml:space="preserve">M_F = 180;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Mass concentration:</w:t>
      </w:r>
      <w:r>
        <w:t xml:space="preserve"> </w:t>
      </w:r>
      <w:r>
        <w:t xml:space="preserve">[</w:t>
      </w:r>
      <w:r>
        <w:t xml:space="preserve"> </w:t>
      </w:r>
      <w:r>
        <w:t xml:space="preserve">_F =</w:t>
      </w:r>
      <w:r>
        <w:t xml:space="preserve"> </w:t>
      </w:r>
      <w:r>
        <w:t xml:space="preserve"> </w:t>
      </w:r>
      <w:r>
        <w:t xml:space="preserve">= 0.36;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carbohydrate energy per mass (e_F</w:t>
      </w:r>
      <w:r>
        <w:t xml:space="preserve"> </w:t>
      </w:r>
      <w:r>
        <w:t xml:space="preserve">^3,</w:t>
      </w:r>
      <w:r>
        <w:t xml:space="preserve">):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a666005aa573e62d512771fd3a1077fa60b655e"/>
    <w:p>
      <w:pPr>
        <w:pStyle w:val="Heading2"/>
      </w:pPr>
      <w:r>
        <w:t xml:space="preserve">6. DEB assimilation equations (isomorph with rod shape correction)</w:t>
      </w:r>
    </w:p>
    <w:bookmarkStart w:id="31" w:name="morphological-assumption"/>
    <w:p>
      <w:pPr>
        <w:pStyle w:val="Heading3"/>
      </w:pPr>
      <w:r>
        <w:t xml:space="preserve">6.1 Morphological assumption</w:t>
      </w:r>
    </w:p>
    <w:p>
      <w:pPr>
        <w:pStyle w:val="FirstParagraph"/>
      </w:pPr>
      <w:r>
        <w:t xml:space="preserve">Drosophila larvae are treated as</w:t>
      </w:r>
      <w:r>
        <w:t xml:space="preserve"> </w:t>
      </w:r>
      <w:r>
        <w:rPr>
          <w:b/>
          <w:bCs/>
        </w:rPr>
        <w:t xml:space="preserve">isomorphs with a rod‑like shape correction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structural volume: (V = L^3)</w:t>
      </w:r>
    </w:p>
    <w:p>
      <w:pPr>
        <w:pStyle w:val="Compact"/>
        <w:numPr>
          <w:ilvl w:val="0"/>
          <w:numId w:val="1004"/>
        </w:numPr>
      </w:pPr>
      <w:r>
        <w:t xml:space="preserve">physical length: (L_{</w:t>
      </w:r>
      <w:r>
        <w:t xml:space="preserve">} =</w:t>
      </w:r>
      <w:r>
        <w:t xml:space="preserve"> </w:t>
      </w:r>
      <w:r>
        <w:t xml:space="preserve">_M L)</w:t>
      </w:r>
    </w:p>
    <w:p>
      <w:pPr>
        <w:pStyle w:val="Compact"/>
        <w:numPr>
          <w:ilvl w:val="0"/>
          <w:numId w:val="1004"/>
        </w:numPr>
      </w:pPr>
      <w:r>
        <w:t xml:space="preserve">assimilation surface (</w:t>
      </w:r>
      <w:r>
        <w:t xml:space="preserve">_M^2 L^2)</w:t>
      </w:r>
    </w:p>
    <w:p>
      <w:pPr>
        <w:pStyle w:val="FirstParagraph"/>
      </w:pPr>
      <w:r>
        <w:t xml:space="preserve">The shape coefficient (</w:t>
      </w:r>
      <w:r>
        <w:t xml:space="preserve">_M) is constant and absorbed into assimilation parameters.</w:t>
      </w:r>
    </w:p>
    <w:p>
      <w:r>
        <w:pict>
          <v:rect style="width:0;height:1.5pt" o:hralign="center" o:hrstd="t" o:hr="t"/>
        </w:pict>
      </w:r>
    </w:p>
    <w:bookmarkEnd w:id="31"/>
    <w:bookmarkStart w:id="32" w:name="assimilation"/>
    <w:p>
      <w:pPr>
        <w:pStyle w:val="Heading3"/>
      </w:pPr>
      <w:r>
        <w:t xml:space="preserve">6.2 Assimilation</w:t>
      </w:r>
    </w:p>
    <w:p>
      <w:pPr>
        <w:pStyle w:val="FirstParagraph"/>
      </w:pPr>
      <w:r>
        <w:t xml:space="preserve">Standard DEB assimilation for an isomorph:</w:t>
      </w:r>
      <w:r>
        <w:t xml:space="preserve"> </w:t>
      </w:r>
      <w:r>
        <w:t xml:space="preserve">[</w:t>
      </w:r>
      <w:r>
        <w:t xml:space="preserve"> </w:t>
      </w:r>
      <w:r>
        <w:t xml:space="preserve">p_A = {</w:t>
      </w:r>
      <w:r>
        <w:t xml:space="preserve">p_{Am}}, f, L^2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functional response:</w:t>
      </w:r>
      <w:r>
        <w:t xml:space="preserve"> </w:t>
      </w:r>
      <w:r>
        <w:t xml:space="preserve">[</w:t>
      </w:r>
      <w:r>
        <w:t xml:space="preserve"> </w:t>
      </w:r>
      <w:r>
        <w:t xml:space="preserve">f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t xml:space="preserve">_K</w:t>
      </w:r>
      <w:r>
        <w:t xml:space="preserve"> </w:t>
      </w:r>
      <w:r>
        <w:t xml:space="preserve">_X K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Including rod shape correction: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formulation is</w:t>
      </w:r>
      <w:r>
        <w:t xml:space="preserve"> </w:t>
      </w:r>
      <w:r>
        <w:rPr>
          <w:b/>
          <w:bCs/>
        </w:rPr>
        <w:t xml:space="preserve">DEB‑consistent</w:t>
      </w:r>
      <w:r>
        <w:t xml:space="preserve">, diet‑specific via (</w:t>
      </w:r>
      <w:r>
        <w:t xml:space="preserve">_X), and directly applicable to larval growth on any of the diets above.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mmary-single-food-energy-densities"/>
    <w:p>
      <w:pPr>
        <w:pStyle w:val="Heading2"/>
      </w:pPr>
      <w:r>
        <w:t xml:space="preserve">7. Summary: single food energy densities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</w:t>
            </w:r>
            <w:r>
              <w:t xml:space="preserve">_X) (J·cm⁻³)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medium (100%)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(2.7</w:t>
            </w:r>
            <w:r>
              <w:t xml:space="preserve">^3)</w:t>
            </w:r>
          </w:p>
        </w:tc>
        <w:tc>
          <w:tcPr/>
          <w:p>
            <w:pPr>
              <w:pStyle w:val="Compact"/>
            </w:pPr>
            <w:r>
              <w:t xml:space="preserve">complete diet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medium (q)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(q</w:t>
            </w:r>
            <w:r>
              <w:t xml:space="preserve">^3)</w:t>
            </w:r>
          </w:p>
        </w:tc>
        <w:tc>
          <w:tcPr/>
          <w:p>
            <w:pPr>
              <w:pStyle w:val="Compact"/>
            </w:pPr>
            <w:r>
              <w:t xml:space="preserve">dilution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Yeast paste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(7.0</w:t>
            </w:r>
            <w:r>
              <w:t xml:space="preserve">^3)</w:t>
            </w:r>
          </w:p>
        </w:tc>
        <w:tc>
          <w:tcPr/>
          <w:p>
            <w:pPr>
              <w:pStyle w:val="Compact"/>
            </w:pPr>
            <w:r>
              <w:t xml:space="preserve">high‑quality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Glucose–agarose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(1.56</w:t>
            </w:r>
            <w:r>
              <w:t xml:space="preserve">^3)</w:t>
            </w:r>
          </w:p>
        </w:tc>
        <w:tc>
          <w:tcPr/>
          <w:p>
            <w:pPr>
              <w:pStyle w:val="Compact"/>
            </w:pPr>
            <w:r>
              <w:t xml:space="preserve">carbon‑only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Fructose–agarose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(5.6</w:t>
            </w:r>
            <w:r>
              <w:t xml:space="preserve">^3)</w:t>
            </w:r>
          </w:p>
        </w:tc>
        <w:tc>
          <w:tcPr/>
          <w:p>
            <w:pPr>
              <w:pStyle w:val="Compact"/>
            </w:pPr>
            <w:r>
              <w:t xml:space="preserve">carbon‑only test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file — Diets_Kaun2007.md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2025-12-19T21:20:44Z</dcterms:created>
  <dcterms:modified xsi:type="dcterms:W3CDTF">2025-12-19T21:20:44Z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