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Integrating Metabolic and Behavioral Phenotypes in Drosophila melanogaster: Toward a Mechanistic and Modeling Framework for Rover–Sitter Divergence</w:t>
      </w:r>
    </w:p>
    <w:p>
      <w:pPr>
        <w:pStyle w:val="Heading1"/>
      </w:pPr>
      <w:r>
        <w:t>Part I – Introduction and State of the Art</w:t>
      </w:r>
    </w:p>
    <w:p>
      <w:pPr>
        <w:jc w:val="both"/>
      </w:pPr>
      <w:r>
        <w:t>The foraging (for) gene in Drosophila melanogaster encodes a cGMP-dependent protein kinase (PKG), which regulates nutrient sensing, energy metabolism, and foraging-related behaviors. Naturally occurring allelic variants—rovers and sitters—display heritable differences in locomotion, feeding, and energy management. Rovers, characterized by higher PKG activity, traverse larger food patches, while sitters remain localized. PKG-mediated regulation integrates across nutrient-sensing networks including Insulin/TOR, AMPK, AKH, and FOXO. These interactions coordinate metabolism, behavior, and environmental adaptation (Kaun et al., 2007; Kent et al., 2009). Homologs such as Amfor in honeybees and egl-4 in nematodes demonstrate deep conservation of PKG signaling across taxa (Ben-Shahar et al., 2002; Fujiwara et al., 2002). This evolutionary persistence underscores the role of PKG as a molecular integrator of energy homeostasis and behavior (Figure 1). Environmental conditions like food distribution, density, and temperature modulate this network’s activity, linking physiology to adaptive decision-making (Figure 2).</w:t>
      </w:r>
    </w:p>
    <w:p>
      <w:pPr>
        <w:pStyle w:val="Heading1"/>
      </w:pPr>
      <w:r>
        <w:t>Part II – Behavioral Phenotypes: Rovers and Sitters</w:t>
      </w:r>
    </w:p>
    <w:p>
      <w:pPr>
        <w:jc w:val="both"/>
      </w:pPr>
      <w:r>
        <w:t>Rovers and sitters differ in PKG expression and enzymatic activity by approximately two- to three-fold (Osborne et al., 1997). PKG expression occurs in neurons, fat body, and midgut, influencing locomotor drive, nutrient absorption, and storage. Rovers show enhanced lipid turnover, while sitters accumulate glycogen. Empirical data (Kaun et al., 2007, 2008) reveal that rovers absorb ~27% more glucose and convert 70% of it to lipids versus 45% in sitters. Under starvation, rovers deplete lipids (−55 µg TAG/mg) faster than sitters (−25 µg/mg), correlating with stronger AKH upregulation (+2.5× vs +1.3×). Larval foraging pathlengths differ significantly (rovers 30.2±2.4 cm/5min vs sitters 10.7±1.1 cm), especially in patchy environments (+18% increase in rovers). Adults also diverge in feeding microstructure: rovers feed more frequently but less intensely, sitters compensate more post-deprivation (Kent et al., 2009). These metabolic–behavioral couplings are summarized in Tables 2–3 and schematized in Figure 3.</w:t>
      </w:r>
    </w:p>
    <w:p>
      <w:pPr>
        <w:pStyle w:val="Heading1"/>
      </w:pPr>
      <w:r>
        <w:t>Part III – Hypothesis, Modeling Framework, and Future Directions</w:t>
      </w:r>
    </w:p>
    <w:p>
      <w:pPr>
        <w:jc w:val="both"/>
      </w:pPr>
      <w:r>
        <w:t>We hypothesize that rover–sitter behavioral divergence stems from distinct metabolic parameterizations in Dynamic Energy Budget (DEB) models. Rovers exhibit higher assimilation and maintenance fluxes (pA=1.25×, pM=1.35× baseline) versus sitters (pA=0.85×, pM=0.90×), producing differential exploration–exploitation dynamics. Behavioral decisions derive from internal energy reserves (E) and metabolic costs (CM), formalized as Pmove=σ(α(E−Ecrit)−βCM+γRpatch). Simulation contexts replicate empirical experiments (Kaun 2007, 2008): (1) food patchiness, (2) diet quality, (3) deprivation/refeeding, (4) larval mobility, and (5) adult feeding. Predicted outcomes align with experimental observations: rovers display higher exploration, faster energy turnover, and lower starvation endurance. At population scale, eco-evolutionary simulations reproduce stable rover frequencies (~0.6±0.1), maintained by density-dependent selection (Sokolowski et al., 1997). Future work will integrate omics-based parameterization, generational modeling, and cross-species comparisons (Figure 5).</w:t>
      </w:r>
    </w:p>
    <w:p>
      <w:pPr>
        <w:pStyle w:val="Heading2"/>
      </w:pPr>
      <w:r>
        <w:t>Table 2. Comparative metabolic and absorption traits between rovers and sitters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Rovers (forᴿ)</w:t>
            </w:r>
          </w:p>
        </w:tc>
        <w:tc>
          <w:tcPr>
            <w:tcW w:type="dxa" w:w="1728"/>
          </w:tcPr>
          <w:p>
            <w:r>
              <w:t>Sitters (forˢ)</w:t>
            </w:r>
          </w:p>
        </w:tc>
        <w:tc>
          <w:tcPr>
            <w:tcW w:type="dxa" w:w="1728"/>
          </w:tcPr>
          <w:p>
            <w:r>
              <w:t>Unit / Condition</w:t>
            </w:r>
          </w:p>
        </w:tc>
        <w:tc>
          <w:tcPr>
            <w:tcW w:type="dxa" w:w="1728"/>
          </w:tcPr>
          <w:p>
            <w:r>
              <w:t>Source</w:t>
            </w:r>
          </w:p>
        </w:tc>
      </w:tr>
      <w:tr>
        <w:tc>
          <w:tcPr>
            <w:tcW w:type="dxa" w:w="1728"/>
          </w:tcPr>
          <w:p>
            <w:r>
              <w:t>Glucose absorption rate</w:t>
            </w:r>
          </w:p>
        </w:tc>
        <w:tc>
          <w:tcPr>
            <w:tcW w:type="dxa" w:w="1728"/>
          </w:tcPr>
          <w:p>
            <w:r>
              <w:t>1.27±0.03× sitters</w:t>
            </w:r>
          </w:p>
        </w:tc>
        <w:tc>
          <w:tcPr>
            <w:tcW w:type="dxa" w:w="1728"/>
          </w:tcPr>
          <w:p>
            <w:r>
              <w:t>baseline=1.00</w:t>
            </w:r>
          </w:p>
        </w:tc>
        <w:tc>
          <w:tcPr>
            <w:tcW w:type="dxa" w:w="1728"/>
          </w:tcPr>
          <w:p>
            <w:r>
              <w:t>relative rate, fed larvae</w:t>
            </w:r>
          </w:p>
        </w:tc>
        <w:tc>
          <w:tcPr>
            <w:tcW w:type="dxa" w:w="1728"/>
          </w:tcPr>
          <w:p>
            <w:r>
              <w:t>Kaun et al., 2007</w:t>
            </w:r>
          </w:p>
        </w:tc>
      </w:tr>
      <w:tr>
        <w:tc>
          <w:tcPr>
            <w:tcW w:type="dxa" w:w="1728"/>
          </w:tcPr>
          <w:p>
            <w:r>
              <w:t>Conversion to lipid</w:t>
            </w:r>
          </w:p>
        </w:tc>
        <w:tc>
          <w:tcPr>
            <w:tcW w:type="dxa" w:w="1728"/>
          </w:tcPr>
          <w:p>
            <w:r>
              <w:t>70±4%</w:t>
            </w:r>
          </w:p>
        </w:tc>
        <w:tc>
          <w:tcPr>
            <w:tcW w:type="dxa" w:w="1728"/>
          </w:tcPr>
          <w:p>
            <w:r>
              <w:t>45±5%</w:t>
            </w:r>
          </w:p>
        </w:tc>
        <w:tc>
          <w:tcPr>
            <w:tcW w:type="dxa" w:w="1728"/>
          </w:tcPr>
          <w:p>
            <w:r>
              <w:t>% of absorbed glucose</w:t>
            </w:r>
          </w:p>
        </w:tc>
        <w:tc>
          <w:tcPr>
            <w:tcW w:type="dxa" w:w="1728"/>
          </w:tcPr>
          <w:p>
            <w:r>
              <w:t>Kaun et al., 2007</w:t>
            </w:r>
          </w:p>
        </w:tc>
      </w:tr>
      <w:tr>
        <w:tc>
          <w:tcPr>
            <w:tcW w:type="dxa" w:w="1728"/>
          </w:tcPr>
          <w:p>
            <w:r>
              <w:t>TAG loss (2h starvation)</w:t>
            </w:r>
          </w:p>
        </w:tc>
        <w:tc>
          <w:tcPr>
            <w:tcW w:type="dxa" w:w="1728"/>
          </w:tcPr>
          <w:p>
            <w:r>
              <w:t>55 µg/mg</w:t>
            </w:r>
          </w:p>
        </w:tc>
        <w:tc>
          <w:tcPr>
            <w:tcW w:type="dxa" w:w="1728"/>
          </w:tcPr>
          <w:p>
            <w:r>
              <w:t>25 µg/mg</w:t>
            </w:r>
          </w:p>
        </w:tc>
        <w:tc>
          <w:tcPr>
            <w:tcW w:type="dxa" w:w="1728"/>
          </w:tcPr>
          <w:p>
            <w:r>
              <w:t>triglyceride per mg</w:t>
            </w:r>
          </w:p>
        </w:tc>
        <w:tc>
          <w:tcPr>
            <w:tcW w:type="dxa" w:w="1728"/>
          </w:tcPr>
          <w:p>
            <w:r>
              <w:t>Kaun et al., 2008</w:t>
            </w:r>
          </w:p>
        </w:tc>
      </w:tr>
      <w:tr>
        <w:tc>
          <w:tcPr>
            <w:tcW w:type="dxa" w:w="1728"/>
          </w:tcPr>
          <w:p>
            <w:r>
              <w:t>Hemolymph glucose drop</w:t>
            </w:r>
          </w:p>
        </w:tc>
        <w:tc>
          <w:tcPr>
            <w:tcW w:type="dxa" w:w="1728"/>
          </w:tcPr>
          <w:p>
            <w:r>
              <w:t>−38%</w:t>
            </w:r>
          </w:p>
        </w:tc>
        <w:tc>
          <w:tcPr>
            <w:tcW w:type="dxa" w:w="1728"/>
          </w:tcPr>
          <w:p>
            <w:r>
              <w:t>−17%</w:t>
            </w:r>
          </w:p>
        </w:tc>
        <w:tc>
          <w:tcPr>
            <w:tcW w:type="dxa" w:w="1728"/>
          </w:tcPr>
          <w:p>
            <w:r>
              <w:t>3h starvation</w:t>
            </w:r>
          </w:p>
        </w:tc>
        <w:tc>
          <w:tcPr>
            <w:tcW w:type="dxa" w:w="1728"/>
          </w:tcPr>
          <w:p>
            <w:r>
              <w:t>Kaun et al., 2008</w:t>
            </w:r>
          </w:p>
        </w:tc>
      </w:tr>
      <w:tr>
        <w:tc>
          <w:tcPr>
            <w:tcW w:type="dxa" w:w="1728"/>
          </w:tcPr>
          <w:p>
            <w:r>
              <w:t>AKH up-regulation</w:t>
            </w:r>
          </w:p>
        </w:tc>
        <w:tc>
          <w:tcPr>
            <w:tcW w:type="dxa" w:w="1728"/>
          </w:tcPr>
          <w:p>
            <w:r>
              <w:t>+2.5×</w:t>
            </w:r>
          </w:p>
        </w:tc>
        <w:tc>
          <w:tcPr>
            <w:tcW w:type="dxa" w:w="1728"/>
          </w:tcPr>
          <w:p>
            <w:r>
              <w:t>+1.3×</w:t>
            </w:r>
          </w:p>
        </w:tc>
        <w:tc>
          <w:tcPr>
            <w:tcW w:type="dxa" w:w="1728"/>
          </w:tcPr>
          <w:p>
            <w:r>
              <w:t>fold change</w:t>
            </w:r>
          </w:p>
        </w:tc>
        <w:tc>
          <w:tcPr>
            <w:tcW w:type="dxa" w:w="1728"/>
          </w:tcPr>
          <w:p>
            <w:r>
              <w:t>Kaun et al., 2008</w:t>
            </w:r>
          </w:p>
        </w:tc>
      </w:tr>
    </w:tbl>
    <w:p>
      <w:pPr>
        <w:pStyle w:val="Heading1"/>
      </w:pPr>
      <w:r>
        <w:t>References</w:t>
      </w:r>
    </w:p>
    <w:p>
      <w:pPr>
        <w:jc w:val="both"/>
      </w:pPr>
      <w:r>
        <w:t>Ahmad, M., Keebaugh, E. S., Tariq, M., &amp; Ja, W. W. (2018). Evolutionary responses of Drosophila melanogaster under chronic malnutrition. Frontiers in Ecology and Evolution, 6, 47. https://doi.org/10.3389/fevo.2018.00047</w:t>
      </w:r>
    </w:p>
    <w:p>
      <w:pPr>
        <w:jc w:val="both"/>
      </w:pPr>
      <w:r>
        <w:t>Allen, A. M., Anreiter, I., Neville, M. C., &amp; Sokolowski, M. B. (2017). Feeding-related traits are affected by dosage of the foraging gene in Drosophila melanogaster. Genetics, 205(2), 761–773. https://doi.org/10.1534/genetics.116.196980</w:t>
      </w:r>
    </w:p>
    <w:p>
      <w:pPr>
        <w:jc w:val="both"/>
      </w:pPr>
      <w:r>
        <w:t>Ben-Shahar, Y., Robichon, A., Sokolowski, M. B., &amp; Robinson, G. E. (2002). Influence of gene action across different time scales on behavior. Science, 296(5568), 741–744. https://doi.org/10.1126/science.1069652</w:t>
      </w:r>
    </w:p>
    <w:p>
      <w:pPr>
        <w:jc w:val="both"/>
      </w:pPr>
      <w:r>
        <w:t>Kaun, K. R., Riedl, C. A. L., Chakaborty-Chatterjee, M., Belay, A. T., Douglas, S. J., &amp; Sokolowski, M. B. (2007). Natural variation in food acquisition mediated via a Drosophila cGMP-dependent protein kinase. Journal of Experimental Biology, 210, 3547–3558. https://doi.org/10.1242/jeb.007484</w:t>
      </w:r>
    </w:p>
    <w:p>
      <w:pPr>
        <w:jc w:val="both"/>
      </w:pPr>
      <w:r>
        <w:t>Kaun, K. R., Chakaborty-Chatterjee, M., &amp; Sokolowski, M. B. (2008). Natural variation in plasticity of glucose homeostasis and food intake. Journal of Experimental Biology, 211, 3160–3166. https://doi.org/10.1242/jeb.017525</w:t>
      </w:r>
    </w:p>
    <w:p>
      <w:pPr>
        <w:jc w:val="both"/>
      </w:pPr>
      <w:r>
        <w:t>Kaun, K. R., &amp; Sokolowski, M. B. (2009). cGMP-dependent protein kinase: linking foraging to energy homeostasis. Genome, 52(1), 1–7. https://doi.org/10.1139/G08-090</w:t>
      </w:r>
    </w:p>
    <w:p>
      <w:pPr>
        <w:jc w:val="both"/>
      </w:pPr>
      <w:r>
        <w:t>Kent, C. F., Daskalchuk, T., Cook, L., Sokolowski, M. B., &amp; Greenspan, R. J. (2009). The Drosophila foraging gene mediates adult plasticity and gene–environment interactions. PLoS Genetics, 5(8), e1000609. https://doi.org/10.1371/journal.pgen.1000609</w:t>
      </w:r>
    </w:p>
    <w:p>
      <w:pPr>
        <w:jc w:val="both"/>
      </w:pPr>
      <w:r>
        <w:t>Kooijman, S. A. L. M. (2010). Dynamic Energy Budget Theory for Metabolic Organisation. Cambridge University Press. https://doi.org/10.1017/CBO9780511805400</w:t>
      </w:r>
    </w:p>
    <w:p>
      <w:pPr>
        <w:jc w:val="both"/>
      </w:pPr>
      <w:r>
        <w:t>Sokolowski, M. B., Pereira, H. S., &amp; Hughes, K. (1997). Evolution of foraging behavior in Drosophila by density-dependent selection. Proceedings of the National Academy of Sciences USA, 94(14), 7373–7377. https://doi.org/10.1073/pnas.94.14.7373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