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Integrating Metabolic and Behavioral Phenotypes in Drosophila melanogaster: Toward a Mechanistic and Modeling Framework for Rover–Sitter Divergence</w:t>
      </w:r>
    </w:p>
    <w:p>
      <w:pPr>
        <w:pStyle w:val="Heading1"/>
      </w:pPr>
      <w:r>
        <w:t>Part I — Introduction and State of the Art</w:t>
      </w:r>
    </w:p>
    <w:p>
      <w:r>
        <w:br/>
        <w:t xml:space="preserve">The foraging (for) gene in Drosophila melanogaster encodes a cGMP-dependent protein kinase (PKG), which regulates </w:t>
        <w:br/>
        <w:t xml:space="preserve">nutrient sensing, energy metabolism, and foraging-related behaviors. Naturally occurring allelic variants of this gene—known </w:t>
        <w:br/>
        <w:t xml:space="preserve">as rovers and sitters—display heritable differences in feeding, locomotion, and energy use. Rovers typically move extensively </w:t>
        <w:br/>
        <w:t xml:space="preserve">while feeding, covering large areas of a food patch, whereas sitters remain localized, exploiting food sources intensively. </w:t>
        <w:br/>
        <w:t xml:space="preserve">These behavioral differences are linked to underlying biochemical divergence in PKG activity: rovers exhibit higher PKG enzyme </w:t>
        <w:br/>
        <w:t>activity than sitters, a distinction that has downstream effects on neural signaling, metabolic homeostasis, and life-history traits.</w:t>
        <w:br/>
      </w:r>
    </w:p>
    <w:p>
      <w:r>
        <w:t>Figure 1. Evolutionary conservation of PKG signaling across taxa.</w:t>
      </w:r>
    </w:p>
    <w:p>
      <w:pPr>
        <w:pStyle w:val="Heading2"/>
      </w:pPr>
      <w:r>
        <w:t>Table 1. Major nutrient-sensing and metabolic pathways influencing behavior in Drosophila melanogaster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Pathway</w:t>
            </w:r>
          </w:p>
        </w:tc>
        <w:tc>
          <w:tcPr>
            <w:tcW w:type="dxa" w:w="1728"/>
          </w:tcPr>
          <w:p>
            <w:r>
              <w:t>Key Components</w:t>
            </w:r>
          </w:p>
        </w:tc>
        <w:tc>
          <w:tcPr>
            <w:tcW w:type="dxa" w:w="1728"/>
          </w:tcPr>
          <w:p>
            <w:r>
              <w:t>Primary Function</w:t>
            </w:r>
          </w:p>
        </w:tc>
        <w:tc>
          <w:tcPr>
            <w:tcW w:type="dxa" w:w="1728"/>
          </w:tcPr>
          <w:p>
            <w:r>
              <w:t>Behavioral Relevance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PKG (for)</w:t>
            </w:r>
          </w:p>
        </w:tc>
        <w:tc>
          <w:tcPr>
            <w:tcW w:type="dxa" w:w="1728"/>
          </w:tcPr>
          <w:p>
            <w:r>
              <w:t>cGMP, PKG-I/II</w:t>
            </w:r>
          </w:p>
        </w:tc>
        <w:tc>
          <w:tcPr>
            <w:tcW w:type="dxa" w:w="1728"/>
          </w:tcPr>
          <w:p>
            <w:r>
              <w:t>Integrates energy state, modulates locomotion</w:t>
            </w:r>
          </w:p>
        </w:tc>
        <w:tc>
          <w:tcPr>
            <w:tcW w:type="dxa" w:w="1728"/>
          </w:tcPr>
          <w:p>
            <w:r>
              <w:t>High PKG → increased movement, risk-taking</w:t>
            </w:r>
          </w:p>
        </w:tc>
        <w:tc>
          <w:tcPr>
            <w:tcW w:type="dxa" w:w="1728"/>
          </w:tcPr>
          <w:p>
            <w:r>
              <w:t>Kaun &amp; Sokolowski, 2009</w:t>
            </w:r>
          </w:p>
        </w:tc>
      </w:tr>
      <w:tr>
        <w:tc>
          <w:tcPr>
            <w:tcW w:type="dxa" w:w="1728"/>
          </w:tcPr>
          <w:p>
            <w:r>
              <w:t>Insulin/TOR</w:t>
            </w:r>
          </w:p>
        </w:tc>
        <w:tc>
          <w:tcPr>
            <w:tcW w:type="dxa" w:w="1728"/>
          </w:tcPr>
          <w:p>
            <w:r>
              <w:t>DILPs, Akt, S6K, FOXO</w:t>
            </w:r>
          </w:p>
        </w:tc>
        <w:tc>
          <w:tcPr>
            <w:tcW w:type="dxa" w:w="1728"/>
          </w:tcPr>
          <w:p>
            <w:r>
              <w:t>Promotes anabolism and growth</w:t>
            </w:r>
          </w:p>
        </w:tc>
        <w:tc>
          <w:tcPr>
            <w:tcW w:type="dxa" w:w="1728"/>
          </w:tcPr>
          <w:p>
            <w:r>
              <w:t>Elevated in rovers; linked to exploration</w:t>
            </w:r>
          </w:p>
        </w:tc>
        <w:tc>
          <w:tcPr>
            <w:tcW w:type="dxa" w:w="1728"/>
          </w:tcPr>
          <w:p>
            <w:r>
              <w:t>Kent et al., 2009</w:t>
            </w:r>
          </w:p>
        </w:tc>
      </w:tr>
      <w:tr>
        <w:tc>
          <w:tcPr>
            <w:tcW w:type="dxa" w:w="1728"/>
          </w:tcPr>
          <w:p>
            <w:r>
              <w:t>AMPK</w:t>
            </w:r>
          </w:p>
        </w:tc>
        <w:tc>
          <w:tcPr>
            <w:tcW w:type="dxa" w:w="1728"/>
          </w:tcPr>
          <w:p>
            <w:r>
              <w:t>AMPKα, LKB1</w:t>
            </w:r>
          </w:p>
        </w:tc>
        <w:tc>
          <w:tcPr>
            <w:tcW w:type="dxa" w:w="1728"/>
          </w:tcPr>
          <w:p>
            <w:r>
              <w:t>Activates under energy stress; promotes catabolism</w:t>
            </w:r>
          </w:p>
        </w:tc>
        <w:tc>
          <w:tcPr>
            <w:tcW w:type="dxa" w:w="1728"/>
          </w:tcPr>
          <w:p>
            <w:r>
              <w:t>Stronger activation in sitters under starvation</w:t>
            </w:r>
          </w:p>
        </w:tc>
        <w:tc>
          <w:tcPr>
            <w:tcW w:type="dxa" w:w="1728"/>
          </w:tcPr>
          <w:p>
            <w:r>
              <w:t>Lee &amp; Park, 2004</w:t>
            </w:r>
          </w:p>
        </w:tc>
      </w:tr>
      <w:tr>
        <w:tc>
          <w:tcPr>
            <w:tcW w:type="dxa" w:w="1728"/>
          </w:tcPr>
          <w:p>
            <w:r>
              <w:t>AKH</w:t>
            </w:r>
          </w:p>
        </w:tc>
        <w:tc>
          <w:tcPr>
            <w:tcW w:type="dxa" w:w="1728"/>
          </w:tcPr>
          <w:p>
            <w:r>
              <w:t>AKH peptide, receptor</w:t>
            </w:r>
          </w:p>
        </w:tc>
        <w:tc>
          <w:tcPr>
            <w:tcW w:type="dxa" w:w="1728"/>
          </w:tcPr>
          <w:p>
            <w:r>
              <w:t>Mobilizes lipid and carbohydrate stores</w:t>
            </w:r>
          </w:p>
        </w:tc>
        <w:tc>
          <w:tcPr>
            <w:tcW w:type="dxa" w:w="1728"/>
          </w:tcPr>
          <w:p>
            <w:r>
              <w:t>Enhanced in rovers during deprivation</w:t>
            </w:r>
          </w:p>
        </w:tc>
        <w:tc>
          <w:tcPr>
            <w:tcW w:type="dxa" w:w="1728"/>
          </w:tcPr>
          <w:p>
            <w:r>
              <w:t>Kaun et al., 2008</w:t>
            </w:r>
          </w:p>
        </w:tc>
      </w:tr>
      <w:tr>
        <w:tc>
          <w:tcPr>
            <w:tcW w:type="dxa" w:w="1728"/>
          </w:tcPr>
          <w:p>
            <w:r>
              <w:t>FOXO</w:t>
            </w:r>
          </w:p>
        </w:tc>
        <w:tc>
          <w:tcPr>
            <w:tcW w:type="dxa" w:w="1728"/>
          </w:tcPr>
          <w:p>
            <w:r>
              <w:t>FOXO transcription factor</w:t>
            </w:r>
          </w:p>
        </w:tc>
        <w:tc>
          <w:tcPr>
            <w:tcW w:type="dxa" w:w="1728"/>
          </w:tcPr>
          <w:p>
            <w:r>
              <w:t>Stress resistance, glycogen storage</w:t>
            </w:r>
          </w:p>
        </w:tc>
        <w:tc>
          <w:tcPr>
            <w:tcW w:type="dxa" w:w="1728"/>
          </w:tcPr>
          <w:p>
            <w:r>
              <w:t>Elevated in sitters, promotes endurance</w:t>
            </w:r>
          </w:p>
        </w:tc>
        <w:tc>
          <w:tcPr>
            <w:tcW w:type="dxa" w:w="1728"/>
          </w:tcPr>
          <w:p>
            <w:r>
              <w:t>Kent et al., 2009</w:t>
            </w:r>
          </w:p>
        </w:tc>
      </w:tr>
    </w:tbl>
    <w:p>
      <w:pPr>
        <w:pStyle w:val="Heading1"/>
      </w:pPr>
      <w:r>
        <w:t>Part II — Behavioral Phenotypes: Rovers and Sitters</w:t>
      </w:r>
    </w:p>
    <w:p>
      <w:r>
        <w:br/>
        <w:t xml:space="preserve">Natural alleles of the foraging (for) gene— forR (rovers) and forS (sitters)—differ primarily in the expression and activity of PKG. </w:t>
        <w:br/>
        <w:t xml:space="preserve">Rovers possess approximately two- to three-fold higher PKG activity than sitters. Expression mapping shows for mRNA enriched in neurons, </w:t>
        <w:br/>
        <w:t xml:space="preserve">fat body, and midgut epithelium. In the central nervous system, PKG modulates dopaminergic and octopaminergic circuits controlling </w:t>
        <w:br/>
        <w:t xml:space="preserve">reward and arousal, directly affecting locomotion and food-search motivation. In the gut, PKG regulates the abundance of glucose </w:t>
        <w:br/>
        <w:t>transporters and digestive enzymes, influencing absorption efficiency.</w:t>
        <w:br/>
      </w:r>
    </w:p>
    <w:p>
      <w:pPr>
        <w:pStyle w:val="Heading2"/>
      </w:pPr>
      <w:r>
        <w:t>Table 2. Comparative metabolic and absorption traits between rovers and sitters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Rovers (forR)</w:t>
            </w:r>
          </w:p>
        </w:tc>
        <w:tc>
          <w:tcPr>
            <w:tcW w:type="dxa" w:w="1728"/>
          </w:tcPr>
          <w:p>
            <w:r>
              <w:t>Sitters (forS)</w:t>
            </w:r>
          </w:p>
        </w:tc>
        <w:tc>
          <w:tcPr>
            <w:tcW w:type="dxa" w:w="1728"/>
          </w:tcPr>
          <w:p>
            <w:r>
              <w:t>Unit / Condition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Glucose absorption rate</w:t>
            </w:r>
          </w:p>
        </w:tc>
        <w:tc>
          <w:tcPr>
            <w:tcW w:type="dxa" w:w="1728"/>
          </w:tcPr>
          <w:p>
            <w:r>
              <w:t>1.27 ± 0.03 × sitters</w:t>
            </w:r>
          </w:p>
        </w:tc>
        <w:tc>
          <w:tcPr>
            <w:tcW w:type="dxa" w:w="1728"/>
          </w:tcPr>
          <w:p>
            <w:r>
              <w:t>baseline = 1.00</w:t>
            </w:r>
          </w:p>
        </w:tc>
        <w:tc>
          <w:tcPr>
            <w:tcW w:type="dxa" w:w="1728"/>
          </w:tcPr>
          <w:p>
            <w:r>
              <w:t>relative rate, fed larvae</w:t>
            </w:r>
          </w:p>
        </w:tc>
        <w:tc>
          <w:tcPr>
            <w:tcW w:type="dxa" w:w="1728"/>
          </w:tcPr>
          <w:p>
            <w:r>
              <w:t>Kaun et al., 2007</w:t>
            </w:r>
          </w:p>
        </w:tc>
      </w:tr>
      <w:tr>
        <w:tc>
          <w:tcPr>
            <w:tcW w:type="dxa" w:w="1728"/>
          </w:tcPr>
          <w:p>
            <w:r>
              <w:t>Conversion to lipid</w:t>
            </w:r>
          </w:p>
        </w:tc>
        <w:tc>
          <w:tcPr>
            <w:tcW w:type="dxa" w:w="1728"/>
          </w:tcPr>
          <w:p>
            <w:r>
              <w:t>70 ± 4 %</w:t>
            </w:r>
          </w:p>
        </w:tc>
        <w:tc>
          <w:tcPr>
            <w:tcW w:type="dxa" w:w="1728"/>
          </w:tcPr>
          <w:p>
            <w:r>
              <w:t>45 ± 5 %</w:t>
            </w:r>
          </w:p>
        </w:tc>
        <w:tc>
          <w:tcPr>
            <w:tcW w:type="dxa" w:w="1728"/>
          </w:tcPr>
          <w:p>
            <w:r>
              <w:t>% of absorbed glucose</w:t>
            </w:r>
          </w:p>
        </w:tc>
        <w:tc>
          <w:tcPr>
            <w:tcW w:type="dxa" w:w="1728"/>
          </w:tcPr>
          <w:p>
            <w:r>
              <w:t>Kaun et al., 2007</w:t>
            </w:r>
          </w:p>
        </w:tc>
      </w:tr>
      <w:tr>
        <w:tc>
          <w:tcPr>
            <w:tcW w:type="dxa" w:w="1728"/>
          </w:tcPr>
          <w:p>
            <w:r>
              <w:t>TAG loss (2 h starvation)</w:t>
            </w:r>
          </w:p>
        </w:tc>
        <w:tc>
          <w:tcPr>
            <w:tcW w:type="dxa" w:w="1728"/>
          </w:tcPr>
          <w:p>
            <w:r>
              <w:t>55 µg mg⁻¹</w:t>
            </w:r>
          </w:p>
        </w:tc>
        <w:tc>
          <w:tcPr>
            <w:tcW w:type="dxa" w:w="1728"/>
          </w:tcPr>
          <w:p>
            <w:r>
              <w:t>25 µg mg⁻¹</w:t>
            </w:r>
          </w:p>
        </w:tc>
        <w:tc>
          <w:tcPr>
            <w:tcW w:type="dxa" w:w="1728"/>
          </w:tcPr>
          <w:p>
            <w:r>
              <w:t>triglyceride per mg body mass</w:t>
            </w:r>
          </w:p>
        </w:tc>
        <w:tc>
          <w:tcPr>
            <w:tcW w:type="dxa" w:w="1728"/>
          </w:tcPr>
          <w:p>
            <w:r>
              <w:t>Kaun et al., 2008</w:t>
            </w:r>
          </w:p>
        </w:tc>
      </w:tr>
      <w:tr>
        <w:tc>
          <w:tcPr>
            <w:tcW w:type="dxa" w:w="1728"/>
          </w:tcPr>
          <w:p>
            <w:r>
              <w:t>Hemolymph glucose drop</w:t>
            </w:r>
          </w:p>
        </w:tc>
        <w:tc>
          <w:tcPr>
            <w:tcW w:type="dxa" w:w="1728"/>
          </w:tcPr>
          <w:p>
            <w:r>
              <w:t>−38 %</w:t>
            </w:r>
          </w:p>
        </w:tc>
        <w:tc>
          <w:tcPr>
            <w:tcW w:type="dxa" w:w="1728"/>
          </w:tcPr>
          <w:p>
            <w:r>
              <w:t>−17 %</w:t>
            </w:r>
          </w:p>
        </w:tc>
        <w:tc>
          <w:tcPr>
            <w:tcW w:type="dxa" w:w="1728"/>
          </w:tcPr>
          <w:p>
            <w:r>
              <w:t>3 h starvation</w:t>
            </w:r>
          </w:p>
        </w:tc>
        <w:tc>
          <w:tcPr>
            <w:tcW w:type="dxa" w:w="1728"/>
          </w:tcPr>
          <w:p>
            <w:r>
              <w:t>Kaun et al., 2008</w:t>
            </w:r>
          </w:p>
        </w:tc>
      </w:tr>
      <w:tr>
        <w:tc>
          <w:tcPr>
            <w:tcW w:type="dxa" w:w="1728"/>
          </w:tcPr>
          <w:p>
            <w:r>
              <w:t>AKH up-regulation</w:t>
            </w:r>
          </w:p>
        </w:tc>
        <w:tc>
          <w:tcPr>
            <w:tcW w:type="dxa" w:w="1728"/>
          </w:tcPr>
          <w:p>
            <w:r>
              <w:t>+2.5×</w:t>
            </w:r>
          </w:p>
        </w:tc>
        <w:tc>
          <w:tcPr>
            <w:tcW w:type="dxa" w:w="1728"/>
          </w:tcPr>
          <w:p>
            <w:r>
              <w:t>+1.3×</w:t>
            </w:r>
          </w:p>
        </w:tc>
        <w:tc>
          <w:tcPr>
            <w:tcW w:type="dxa" w:w="1728"/>
          </w:tcPr>
          <w:p>
            <w:r>
              <w:t>fold change (2 h deprivation)</w:t>
            </w:r>
          </w:p>
        </w:tc>
        <w:tc>
          <w:tcPr>
            <w:tcW w:type="dxa" w:w="1728"/>
          </w:tcPr>
          <w:p>
            <w:r>
              <w:t>Kaun et al., 2008</w:t>
            </w:r>
          </w:p>
        </w:tc>
      </w:tr>
      <w:tr>
        <w:tc>
          <w:tcPr>
            <w:tcW w:type="dxa" w:w="1728"/>
          </w:tcPr>
          <w:p>
            <w:r>
              <w:t>FOXO nuclear localization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qualitative indicator</w:t>
            </w:r>
          </w:p>
        </w:tc>
        <w:tc>
          <w:tcPr>
            <w:tcW w:type="dxa" w:w="1728"/>
          </w:tcPr>
          <w:p>
            <w:r>
              <w:t>Kent et al., 2009</w:t>
            </w:r>
          </w:p>
        </w:tc>
      </w:tr>
      <w:tr>
        <w:tc>
          <w:tcPr>
            <w:tcW w:type="dxa" w:w="1728"/>
          </w:tcPr>
          <w:p>
            <w:r>
              <w:t>Glycogen retention</w:t>
            </w:r>
          </w:p>
        </w:tc>
        <w:tc>
          <w:tcPr>
            <w:tcW w:type="dxa" w:w="1728"/>
          </w:tcPr>
          <w:p>
            <w:r>
              <w:t>−15 % of control</w:t>
            </w:r>
          </w:p>
        </w:tc>
        <w:tc>
          <w:tcPr>
            <w:tcW w:type="dxa" w:w="1728"/>
          </w:tcPr>
          <w:p>
            <w:r>
              <w:t>+12 % of control</w:t>
            </w:r>
          </w:p>
        </w:tc>
        <w:tc>
          <w:tcPr>
            <w:tcW w:type="dxa" w:w="1728"/>
          </w:tcPr>
          <w:p>
            <w:r>
              <w:t>relative to wild type</w:t>
            </w:r>
          </w:p>
        </w:tc>
        <w:tc>
          <w:tcPr>
            <w:tcW w:type="dxa" w:w="1728"/>
          </w:tcPr>
          <w:p>
            <w:r>
              <w:t>Allen et al., 2017</w:t>
            </w:r>
          </w:p>
        </w:tc>
      </w:tr>
    </w:tbl>
    <w:p>
      <w:pPr>
        <w:pStyle w:val="Heading1"/>
      </w:pPr>
      <w:r>
        <w:t>Part III — Hypothesis, Modeling Framework, and Future Directions</w:t>
      </w:r>
    </w:p>
    <w:p>
      <w:r>
        <w:br/>
        <w:t xml:space="preserve">We hypothesize that behavioral divergence between rover and sitter Drosophila emerges from metabolic divergence rooted in PKG-dependent </w:t>
        <w:br/>
        <w:t>regulation of energy allocation. Differences in exploration–exploitation behavior between rovers and sitters can be predicted from genotype-</w:t>
        <w:br/>
        <w:t>specific metabolic parameterizations, represented by distinct Dynamic Energy Budget (DEB) models.</w:t>
        <w:br/>
      </w:r>
    </w:p>
    <w:p>
      <w:pPr>
        <w:pStyle w:val="Heading2"/>
      </w:pPr>
      <w:r>
        <w:t>Table 4. Experimental contexts used to parameterize and validate DEB–behavior simulations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Experimental Analog</w:t>
            </w:r>
          </w:p>
        </w:tc>
        <w:tc>
          <w:tcPr>
            <w:tcW w:type="dxa" w:w="1728"/>
          </w:tcPr>
          <w:p>
            <w:r>
              <w:t>Key Variables</w:t>
            </w:r>
          </w:p>
        </w:tc>
        <w:tc>
          <w:tcPr>
            <w:tcW w:type="dxa" w:w="1728"/>
          </w:tcPr>
          <w:p>
            <w:r>
              <w:t>Expected Rover–Sitter Outcomes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Larval food intake on yeast vs. sucrose</w:t>
            </w:r>
          </w:p>
        </w:tc>
        <w:tc>
          <w:tcPr>
            <w:tcW w:type="dxa" w:w="1728"/>
          </w:tcPr>
          <w:p>
            <w:r>
              <w:t>assimilation flux pA</w:t>
            </w:r>
          </w:p>
        </w:tc>
        <w:tc>
          <w:tcPr>
            <w:tcW w:type="dxa" w:w="1728"/>
          </w:tcPr>
          <w:p>
            <w:r>
              <w:t>Rovers absorb 25–30% more glucose; higher lipid conversion</w:t>
            </w:r>
          </w:p>
        </w:tc>
        <w:tc>
          <w:tcPr>
            <w:tcW w:type="dxa" w:w="1728"/>
          </w:tcPr>
          <w:p>
            <w:r>
              <w:t>Kaun et al., 2007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Patchy vs. uniform food distribution</w:t>
            </w:r>
          </w:p>
        </w:tc>
        <w:tc>
          <w:tcPr>
            <w:tcW w:type="dxa" w:w="1728"/>
          </w:tcPr>
          <w:p>
            <w:r>
              <w:t>exploration probability Pmove</w:t>
            </w:r>
          </w:p>
        </w:tc>
        <w:tc>
          <w:tcPr>
            <w:tcW w:type="dxa" w:w="1728"/>
          </w:tcPr>
          <w:p>
            <w:r>
              <w:t>Rovers show 18% higher pathlength increase in patchy conditions</w:t>
            </w:r>
          </w:p>
        </w:tc>
        <w:tc>
          <w:tcPr>
            <w:tcW w:type="dxa" w:w="1728"/>
          </w:tcPr>
          <w:p>
            <w:r>
              <w:t>Kaun et al., 2007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Food deprivation and refeeding</w:t>
            </w:r>
          </w:p>
        </w:tc>
        <w:tc>
          <w:tcPr>
            <w:tcW w:type="dxa" w:w="1728"/>
          </w:tcPr>
          <w:p>
            <w:r>
              <w:t>maintenance cost pM, AKH/FOXO response</w:t>
            </w:r>
          </w:p>
        </w:tc>
        <w:tc>
          <w:tcPr>
            <w:tcW w:type="dxa" w:w="1728"/>
          </w:tcPr>
          <w:p>
            <w:r>
              <w:t>Rovers deplete reserves faster, recover slower; sitters recover faster</w:t>
            </w:r>
          </w:p>
        </w:tc>
        <w:tc>
          <w:tcPr>
            <w:tcW w:type="dxa" w:w="1728"/>
          </w:tcPr>
          <w:p>
            <w:r>
              <w:t>Kaun et al., 2008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Poor vs. rich diet rearing</w:t>
            </w:r>
          </w:p>
        </w:tc>
        <w:tc>
          <w:tcPr>
            <w:tcW w:type="dxa" w:w="1728"/>
          </w:tcPr>
          <w:p>
            <w:r>
              <w:t>DEB parameter scaling</w:t>
            </w:r>
          </w:p>
        </w:tc>
        <w:tc>
          <w:tcPr>
            <w:tcW w:type="dxa" w:w="1728"/>
          </w:tcPr>
          <w:p>
            <w:r>
              <w:t>Rovers maintain growth; sitters reduce growth but preserve reserves</w:t>
            </w:r>
          </w:p>
        </w:tc>
        <w:tc>
          <w:tcPr>
            <w:tcW w:type="dxa" w:w="1728"/>
          </w:tcPr>
          <w:p>
            <w:r>
              <w:t>Kaun et al., 2008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Adult activity under starvation</w:t>
            </w:r>
          </w:p>
        </w:tc>
        <w:tc>
          <w:tcPr>
            <w:tcW w:type="dxa" w:w="1728"/>
          </w:tcPr>
          <w:p>
            <w:r>
              <w:t>energy reserve Et, locomotor output</w:t>
            </w:r>
          </w:p>
        </w:tc>
        <w:tc>
          <w:tcPr>
            <w:tcW w:type="dxa" w:w="1728"/>
          </w:tcPr>
          <w:p>
            <w:r>
              <w:t>Rovers sustain movement; sitters switch to rest mode sooner</w:t>
            </w:r>
          </w:p>
        </w:tc>
        <w:tc>
          <w:tcPr>
            <w:tcW w:type="dxa" w:w="1728"/>
          </w:tcPr>
          <w:p>
            <w:r>
              <w:t>Kent et al., 2009</w:t>
            </w:r>
          </w:p>
        </w:tc>
      </w:tr>
    </w:tbl>
    <w:p>
      <w:pPr>
        <w:pStyle w:val="Heading1"/>
      </w:pPr>
      <w:r>
        <w:t>References</w:t>
      </w:r>
    </w:p>
    <w:p>
      <w:r>
        <w:t>Ahmad, M., Keebaugh, E. S., Tariq, M., &amp; Ja, W. W. (2018). Evolutionary responses of Drosophila melanogaster under chronic malnutrition. Frontiers in Ecology and Evolution, 6, 47. https://doi.org/10.3389/fevo.2018.00047</w:t>
      </w:r>
    </w:p>
    <w:p>
      <w:r>
        <w:t>Allen, A. M., Anreiter, I., Neville, M. C., &amp; Sokolowski, M. B. (2017). Feeding-related traits are affected by dosage of the foraging gene in Drosophila melanogaster. Genetics, 205(2), 761–773. https://doi.org/10.1534/genetics.116.196980</w:t>
      </w:r>
    </w:p>
    <w:p>
      <w:r>
        <w:t>Ben-Shahar, Y., Robichon, A., Sokolowski, M. B., &amp; Robinson, G. E. (2002). Influence of gene action across different time scales on behavior. Science, 296(5568), 741–744. https://doi.org/10.1126/science.1069652</w:t>
      </w:r>
    </w:p>
    <w:p>
      <w:r>
        <w:t>Kaun, K. R., Riedl, C. A. L., Chakaborty-Chatterjee, M., Belay, A. T., Douglas, S. J., &amp; Sokolowski, M. B. (2007). Natural variation in food acquisition mediated via a Drosophila cGMP-dependent protein kinase. Journal of Experimental Biology, 210, 3547–3558. https://doi.org/10.1242/jeb.007484</w:t>
      </w:r>
    </w:p>
    <w:p>
      <w:r>
        <w:t>Kaun, K. R., Chakaborty-Chatterjee, M., &amp; Sokolowski, M. B. (2008). Natural variation in plasticity of glucose homeostasis and food intake. Journal of Experimental Biology, 211, 3160–3166. https://doi.org/10.1242/jeb.017525</w:t>
      </w:r>
    </w:p>
    <w:p>
      <w:r>
        <w:t>Kaun, K. R., &amp; Sokolowski, M. B. (2009). cGMP-dependent protein kinase: Linking foraging to energy homeostasis. Genome, 52(1), 1–7. https://doi.org/10.1139/G08-090</w:t>
      </w:r>
    </w:p>
    <w:p>
      <w:r>
        <w:t>Kent, C. F., Daskalchuk, T., Cook, L., Sokolowski, M. B., &amp; Greenspan, R. J. (2009). The Drosophila foraging gene mediates adult plasticity and gene–environment interactions. PLoS Genetics, 5(8), e1000609. https://doi.org/10.1371/journal.pgen.1000609</w:t>
      </w:r>
    </w:p>
    <w:p>
      <w:r>
        <w:t>Kooijman, S. A. L. M. (2010). Dynamic Energy Budget Theory for Metabolic Organisation. Cambridge University Press. https://doi.org/10.1017/CBO9780511805400</w:t>
      </w:r>
    </w:p>
    <w:p>
      <w:r>
        <w:t>Sokolowski, M. B., Pereira, H. S., &amp; Hughes, K. (1997). Evolution of foraging behavior in Drosophila by density-dependent selection. Proceedings of the National Academy of Sciences USA, 94(14), 7373–7377. https://doi.org/10.1073/pnas.94.14.7373</w:t>
      </w:r>
    </w:p>
    <w:p>
      <w:r>
        <w:t>Wosniack, M. E., Mendonça, J. A., &amp; Raposo, E. P. (2022). Balancing exploration and exploitation in heterogeneous environments: Lessons from foraging theory. Frontiers in Ecology and Evolution, 10, 833074. https://doi.org/10.3389/fevo.2022.833074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