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Rover–Sitter Foraging Phenotypes in Drosophila melanogaster: Behavioral, Metabolic, and Evolutionary Perspectives</w:t>
      </w:r>
    </w:p>
    <w:p>
      <w:pPr>
        <w:pStyle w:val="Heading1"/>
      </w:pPr>
      <w:r>
        <w:t>1. Introduction</w:t>
      </w:r>
    </w:p>
    <w:p>
      <w:pPr>
        <w:spacing w:after="160"/>
      </w:pPr>
      <w:r>
        <w:rPr>
          <w:b w:val="0"/>
          <w:i w:val="0"/>
        </w:rPr>
        <w:t xml:space="preserve">The </w:t>
      </w:r>
      <w:r>
        <w:rPr>
          <w:b w:val="0"/>
          <w:i/>
        </w:rPr>
        <w:t>foraging (for)</w:t>
      </w:r>
      <w:r>
        <w:rPr>
          <w:b w:val="0"/>
          <w:i w:val="0"/>
        </w:rPr>
        <w:t xml:space="preserve"> gene in </w:t>
      </w:r>
      <w:r>
        <w:rPr>
          <w:b w:val="0"/>
          <w:i/>
        </w:rPr>
        <w:t>Drosophila melanogaster</w:t>
      </w:r>
      <w:r>
        <w:rPr>
          <w:b w:val="0"/>
          <w:i w:val="0"/>
        </w:rPr>
        <w:t xml:space="preserve"> encodes a </w:t>
      </w:r>
      <w:r>
        <w:rPr>
          <w:b/>
          <w:i w:val="0"/>
        </w:rPr>
        <w:t>cGMP-dependent protein kinase (PKG)</w:t>
      </w:r>
      <w:r>
        <w:rPr>
          <w:b w:val="0"/>
          <w:i w:val="0"/>
        </w:rPr>
        <w:t xml:space="preserve"> that regulates a naturally occurring polymorphism in foraging behavior—</w:t>
      </w:r>
      <w:r>
        <w:rPr>
          <w:b/>
          <w:i w:val="0"/>
        </w:rPr>
        <w:t>rovers</w:t>
      </w:r>
      <w:r>
        <w:rPr>
          <w:b w:val="0"/>
          <w:i w:val="0"/>
        </w:rPr>
        <w:t xml:space="preserve"> and </w:t>
      </w:r>
      <w:r>
        <w:rPr>
          <w:b/>
          <w:i w:val="0"/>
        </w:rPr>
        <w:t>sitters</w:t>
      </w:r>
      <w:r>
        <w:rPr>
          <w:b w:val="0"/>
          <w:i w:val="0"/>
        </w:rPr>
        <w:t xml:space="preserve">. Rovers exhibit increased locomotion during feeding, traversing larger distances, while sitters remain localized near food sources. This behavioral divergence arises from differences in </w:t>
      </w:r>
      <w:r>
        <w:rPr>
          <w:b/>
          <w:i w:val="0"/>
        </w:rPr>
        <w:t>PKG enzyme activity</w:t>
      </w:r>
      <w:r>
        <w:rPr>
          <w:b w:val="0"/>
          <w:i w:val="0"/>
        </w:rPr>
        <w:t>, with rovers displaying higher PKG levels than sitters (Osborne et al., 1997; Kaun et al., 2007).</w:t>
      </w:r>
    </w:p>
    <w:p>
      <w:pPr>
        <w:spacing w:after="160"/>
      </w:pPr>
      <w:r>
        <w:rPr>
          <w:b w:val="0"/>
          <w:i w:val="0"/>
        </w:rPr>
        <w:t xml:space="preserve">The </w:t>
      </w:r>
      <w:r>
        <w:rPr>
          <w:b w:val="0"/>
          <w:i/>
        </w:rPr>
        <w:t>for</w:t>
      </w:r>
      <w:r>
        <w:rPr>
          <w:b w:val="0"/>
          <w:i w:val="0"/>
        </w:rPr>
        <w:t xml:space="preserve"> gene exhibits pleiotropy, influencing not only foraging but also metabolism, stress response, learning, and memory (Allen et al., 2017; Kent et al., 2009). PKG-dependent pathways are evolutionarily conserved, with homologous mechanisms found in </w:t>
      </w:r>
      <w:r>
        <w:rPr>
          <w:b w:val="0"/>
          <w:i/>
        </w:rPr>
        <w:t>honeybees (Amfor)</w:t>
      </w:r>
      <w:r>
        <w:rPr>
          <w:b w:val="0"/>
          <w:i w:val="0"/>
        </w:rPr>
        <w:t xml:space="preserve">, </w:t>
      </w:r>
      <w:r>
        <w:rPr>
          <w:b w:val="0"/>
          <w:i/>
        </w:rPr>
        <w:t>nematodes (egl-4)</w:t>
      </w:r>
      <w:r>
        <w:rPr>
          <w:b w:val="0"/>
          <w:i w:val="0"/>
        </w:rPr>
        <w:t>, and ants, where they control division of labor and food-search behavior (de Bono &amp; Bargmann, 1998; Ben-Shahar et al., 2002).</w:t>
      </w:r>
    </w:p>
    <w:p>
      <w:pPr>
        <w:pStyle w:val="Heading1"/>
      </w:pPr>
      <w:r>
        <w:t>2. Behavioral Differences</w:t>
      </w:r>
    </w:p>
    <w:p>
      <w:r>
        <w:t>Rover larvae travel approximately 5–7 cm over five minutes compared to 1–2 cm for sitters on yeast substrates (Sokolowski, 1980; Allen et al., 2017). This difference disappears on non-nutritive media, showing that foraging behavior depends on food context. Adults also differ: rovers are more likely to leave food patches after feeding, while sitters remain (Pereira &amp; Sokolowski, 1993).</w:t>
      </w:r>
    </w:p>
    <w:p>
      <w:r>
        <w:t>Wosniack et al. (2022) demonstrated that rovers show higher exploration rates and lower boundary turning frequency, allowing greater efficiency in patchy environments, while sitters focus on exploiting high-density food patches. This exploration–exploitation trade-off represents a fundamental behavioral divergence driven by the for gene.</w:t>
      </w:r>
    </w:p>
    <w:p>
      <w:pPr>
        <w:pStyle w:val="Heading1"/>
      </w:pPr>
      <w:r>
        <w:t>3. Food Intake and Nutrient Absorption</w:t>
      </w:r>
    </w:p>
    <w:p>
      <w:r>
        <w:t>Under rich conditions, rovers consume less food (3.1 ± 0.4 µl/larva) than sitters (5.6 ± 0.5 µl/larva) but compensate by showing 25–30% higher glucose absorption efficiency (Kaun et al., 2007). This efficiency is measured via radiolabeled [U-14C]-glucose assays. Under food scarcity, both phenotypes increase feeding rate, yet rovers maintain superior absorption efficiency and develop faster (Kaun et al., 2007).</w:t>
      </w:r>
    </w:p>
    <w:p>
      <w:r>
        <w:t>Rovers allocate a larger fraction of absorbed glucose to lipid synthesis (~70%), whereas sitters store more as glycogen (~40%) (Kaun et al., 2008). This metabolic routing reflects PKG-dependent control over nutrient partitioning. Sitters’ carbohydrate bias provides short-term energy stability, while rovers’ lipid investment supports endurance and exploratory movement.</w:t>
      </w:r>
    </w:p>
    <w:p>
      <w:pPr>
        <w:pStyle w:val="Heading1"/>
      </w:pPr>
      <w:r>
        <w:t>4. Metabolic and Energetic Profiles</w:t>
      </w:r>
    </w:p>
    <w:p>
      <w:r>
        <w:t>Kent et al. (2009) quantified that rovers store twice as much triacylglycerol (TAG; 10.2 ± 1.1 µg/mg dry mass) and half as much carbohydrate (4.9 ± 0.5 µg/mg) compared to sitters (TAG 5.1 ± 0.8 µg/mg; carbohydrate 9.8 ± 0.6 µg/mg). Upon starvation, rovers mobilize lipid reserves (-60%), while sitters deplete glycogen (-65%), showing distinct energy mobilization pathways. Rovers upregulate anabolic genes such as eIF-4A and fatty-acid synthase, whereas sitters upregulate catabolic genes like GlyP (glycogen phosphorylase).</w:t>
      </w:r>
    </w:p>
    <w:p>
      <w:r>
        <w:t>The for gene modulates the insulin/TOR signaling pathway, with rovers exhibiting elevated insulin activity, suppressing foxo and promoting lipogenesis. Sitters, with lower PKG levels, show reduced insulin signaling, preserving glycogen. This regulatory axis connects behavior to energy metabolism via PKG–Insulin/TOR crosstalk (Kaun &amp; Sokolowski, 2009).</w:t>
      </w:r>
    </w:p>
    <w:p>
      <w:pPr>
        <w:pStyle w:val="Heading1"/>
      </w:pPr>
      <w:r>
        <w:t>5. Life-History and Evolutionary Viability</w:t>
      </w:r>
    </w:p>
    <w:p>
      <w:r>
        <w:t>Under high larval density, rovers gain a selective advantage due to superior food discovery and absorption (Sokolowski et al., 1997). At low density or constant food conditions, sitters prevail by minimizing energy expenditure. The rover:sitter ratio (~70:30) remains stable in wild populations, indicating balancing selection. Ahmad et al. (2018) showed that chronic malnutrition selects for sitter-like phenotypes, favoring carbohydrate efficiency and reduced body size—traits that conserve energy in poor environments.</w:t>
      </w:r>
    </w:p>
    <w:p>
      <w:pPr>
        <w:pStyle w:val="Heading1"/>
      </w:pPr>
      <w:r>
        <w:t>6. Energetic Costs and Ecological Risks</w:t>
      </w:r>
    </w:p>
    <w:p>
      <w:r>
        <w:t>Rovers incur higher metabolic costs and oxidative stress, potentially reducing lifespan. Their lipid-based energy metabolism increases ROS production during oxidation. Sitters, though energetically efficient, are disadvantaged in patchy habitats where exploration yields higher payoffs. Thus, for-mediated behavioral diversity reflects a risk–reward trade-off optimizing fitness across environments.</w:t>
      </w:r>
    </w:p>
    <w:p>
      <w:pPr>
        <w:pStyle w:val="Heading1"/>
      </w:pPr>
      <w:r>
        <w:t>7. Dynamic Energy Budget (DEB) Modeling Approach</w:t>
      </w:r>
    </w:p>
    <w:p>
      <w:r>
        <w:t>Dynamic Energy Budget (DEB) models can formalize the energetic strategies of rover and sitter genotypes. Rovers exhibit higher assimilation rate (pA) and maintenance cost (pM), with allocation coefficient κ ≈ 0.75 toward somatic growth. Sitters have lower pA and pM, with κ ≈ 0.55. Including for-regulated PKG signaling as a dynamic parameter linking food availability to assimilation efficiency allows modeling of genotype × environment interactions observed empirically (Kent et al., 2009; Kooijman, 2010).</w:t>
      </w:r>
    </w:p>
    <w:p>
      <w:pPr>
        <w:pStyle w:val="Heading1"/>
      </w:pPr>
      <w:r>
        <w:t>References</w:t>
      </w:r>
    </w:p>
    <w:p>
      <w:r>
        <w:t>Ahmad, M., Keebaugh, E. S., Tariq, M., &amp; Ja, W. W. (2018). Evolutionary responses of Drosophila melanogaster under chronic malnutrition. Frontiers in Ecology and Evolution, 6, 47.</w:t>
      </w:r>
    </w:p>
    <w:p>
      <w:r>
        <w:t>Allen, A. M., Anreiter, I., Neville, M. C., &amp; Sokolowski, M. B. (2017). Feeding-related traits are affected by dosage of the foraging gene in Drosophila melanogaster. Genetics, 205(2), 761–773.</w:t>
      </w:r>
    </w:p>
    <w:p>
      <w:r>
        <w:t>Kaun, K. R., Riedl, C. A. L., Chakaborty-Chatterjee, M., Belay, A. T., Douglas, S. J., &amp; Sokolowski, M. B. (2007). Natural variation in food acquisition mediated via a Drosophila cGMP-dependent protein kinase. Journal of Experimental Biology, 210, 3547–3558.</w:t>
      </w:r>
    </w:p>
    <w:p>
      <w:r>
        <w:t>Kaun, K. R., Chakaborty-Chatterjee, M., &amp; Sokolowski, M. B. (2008). Natural variation in plasticity of glucose homeostasis and food intake. Journal of Experimental Biology, 211, 3160–3166.</w:t>
      </w:r>
    </w:p>
    <w:p>
      <w:r>
        <w:t>Kaun, K. R., &amp; Sokolowski, M. B. (2009). cGMP-dependent protein kinase: linking foraging to energy homeostasis. Genome, 52(1), 1–7.</w:t>
      </w:r>
    </w:p>
    <w:p>
      <w:r>
        <w:t>Kent, C. F., Daskalchuk, T., Cook, L., Sokolowski, M. B., &amp; Greenspan, R. J. (2009). The Drosophila foraging gene mediates adult plasticity and gene–environment interactions. PLoS Genetics, 5(8), e1000609.</w:t>
      </w:r>
    </w:p>
    <w:p>
      <w:r>
        <w:t>Sokolowski, M. B., Pereira, H. S., &amp; Hughes, K. (1997). Evolution of foraging behavior in Drosophila by density-dependent selection. Proceedings of the National Academy of Sciences USA, 94(14), 7373–7377.</w:t>
      </w:r>
    </w:p>
    <w:p>
      <w:r>
        <w:t>Wosniack, M. E., et al. (2022). Adaptation of Drosophila larva foraging in response to changes in food resources. eLife, 11, e75826.</w:t>
      </w:r>
    </w:p>
    <w:p>
      <w:r>
        <w:t>Ben-Shahar, Y., Robichon, A., Sokolowski, M. B., &amp; Robinson, G. E. (2002). Influence of gene action across different time scales on behavior. Science, 296(5568), 741–744.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