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>
  <w:body>
    <w:p>
      <w:r>
        <w:rPr>
          <w:sz w:val="50"/>
          <w:szCs w:val="50"/>
        </w:rPr>
        <w:t xml:space="preserve">3. Flowchart Prompt Create a simple, clear, and properly connected flowchart for a “Shop – Product Sale and Billing System” based on Feature Set IV. Include the five features: Customer Details, Product Details, Sale Details, Return Request, and Return Status. Show these steps: Start → Enter customer details → Register/store customer details → Display product details → Select product and quantity → Check product availability → If available, calculate total bill → Record sale → Ask for return request → If return requested, submit return request → Check/display return status → Stop. Use standard flowchart symbols: oval for Start/Stop, parallelogram for input/output, rectangle for processing, and diamond for decisions. Clearly label Yes/No branches and use arrows to connect all steps.   </w:t>
      </w:r>
    </w:p>
    <w:sectPr>
      <w:pgSz w:w="11906" w:h="16838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 mới</dc:title>
  <cp:revision>1</cp:revision>
  <dcterms:created xsi:type="dcterms:W3CDTF">2026-01-01T00:00:00Z</dcterms:created>
  <dcterms:modified xsi:type="dcterms:W3CDTF">2026-01-01T00:00:00Z</dcterms:modified>
</cp:coreProperties>
</file>