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declineswarm</w:t>
      </w:r>
    </w:p>
    <w:p>
      <w:pPr>
        <w:spacing w:after="60" w:before="0"/>
      </w:pPr>
      <w:r>
        <w:rPr>
          <w:rFonts w:ascii="Arial" w:cs="Arial" w:eastAsia="Arial" w:hAnsi="Arial"/>
          <w:color w:val="2E75B6"/>
          <w:sz w:val="30"/>
          <w:szCs w:val="30"/>
        </w:rPr>
        <w:t xml:space="preserve">Synthetic Production Data: Specification and Generation Guide</w:t>
      </w:r>
    </w:p>
    <w:p>
      <w:pPr>
        <w:spacing w:after="400" w:before="0"/>
      </w:pPr>
      <w:r>
        <w:rPr>
          <w:rFonts w:ascii="Arial" w:cs="Arial" w:eastAsia="Arial" w:hAnsi="Arial"/>
          <w:i/>
          <w:iCs/>
          <w:color w:val="999999"/>
          <w:sz w:val="20"/>
          <w:szCs w:val="20"/>
        </w:rPr>
        <w:t xml:space="preserve">March 2026  ·  v1.0  ·  based on 2023–2026 unconventional production patterns</w:t>
      </w:r>
    </w:p>
    <w:p>
      <w:pPr>
        <w:pBdr>
          <w:bottom w:val="single" w:color="DDDDDD" w:sz="4"/>
        </w:pBdr>
        <w:spacing w:after="160" w:before="160"/>
      </w:pPr>
    </w:p>
    <w:p>
      <w:pPr>
        <w:pStyle w:val="Heading1"/>
        <w:spacing w:after="160" w:before="360"/>
      </w:pPr>
      <w:r>
        <w:rPr>
          <w:rFonts w:ascii="Arial" w:cs="Arial" w:eastAsia="Arial" w:hAnsi="Arial"/>
          <w:b/>
          <w:bCs/>
          <w:color w:val="1F4E79"/>
          <w:sz w:val="32"/>
          <w:szCs w:val="32"/>
        </w:rPr>
        <w:t xml:space="preserve">1. Purpose</w:t>
      </w:r>
    </w:p>
    <w:p>
      <w:pPr>
        <w:spacing w:after="120" w:before="80"/>
      </w:pPr>
      <w:r>
        <w:rPr>
          <w:rFonts w:ascii="Arial" w:cs="Arial" w:eastAsia="Arial" w:hAnsi="Arial"/>
          <w:sz w:val="22"/>
          <w:szCs w:val="22"/>
        </w:rPr>
        <w:t xml:space="preserve">The ablation experiment revealed that 4 of 5 real wells were unimprovable from baseline. The scoring surface was flat because curve_fit absorbed most parameter variation, and only ~3 preprocessing parameters could move MAPE at all. The experiment had no power to detect whether the agent was reasoning.</w:t>
      </w:r>
    </w:p>
    <w:p>
      <w:pPr>
        <w:spacing w:after="120" w:before="80"/>
      </w:pPr>
      <w:r>
        <w:rPr>
          <w:rFonts w:ascii="Arial" w:cs="Arial" w:eastAsia="Arial" w:hAnsi="Arial"/>
          <w:sz w:val="22"/>
          <w:szCs w:val="22"/>
        </w:rPr>
        <w:t xml:space="preserve">Synthetic data solves this structurally. With known ground truth parameters, we can design wells that are deliberately hard to fit, inject specific operational events that stress-test preprocessing logic, and score agents on parameter recovery in addition to MAPE. We control difficulty rather than hoping our real portfolio happens to contain the right edge cases.</w:t>
      </w:r>
    </w:p>
    <w:p>
      <w:pPr>
        <w:spacing w:after="120" w:before="80"/>
      </w:pPr>
      <w:r>
        <w:rPr>
          <w:rFonts w:ascii="Arial" w:cs="Arial" w:eastAsia="Arial" w:hAnsi="Arial"/>
          <w:sz w:val="22"/>
          <w:szCs w:val="22"/>
        </w:rPr>
        <w:t xml:space="preserve">This document specifies every operational event and production regime that should be represented in the synthetic portfolio, grounded in patterns observed in unconventional production data from 2023 onward. It is the implementation guide for the person building the data generator.</w:t>
      </w:r>
    </w:p>
    <w:p>
      <w:pPr>
        <w:spacing w:before="200"/>
      </w:pPr>
    </w:p>
    <w:p>
      <w:pPr>
        <w:pBdr>
          <w:bottom w:val="single" w:color="DDDDDD" w:sz="4"/>
        </w:pBdr>
        <w:spacing w:after="160" w:before="160"/>
      </w:pPr>
    </w:p>
    <w:p>
      <w:pPr>
        <w:pStyle w:val="Heading1"/>
        <w:spacing w:after="160" w:before="360"/>
      </w:pPr>
      <w:r>
        <w:rPr>
          <w:rFonts w:ascii="Arial" w:cs="Arial" w:eastAsia="Arial" w:hAnsi="Arial"/>
          <w:b/>
          <w:bCs/>
          <w:color w:val="1F4E79"/>
          <w:sz w:val="32"/>
          <w:szCs w:val="32"/>
        </w:rPr>
        <w:t xml:space="preserve">2. Base Decline Regimes</w:t>
      </w:r>
    </w:p>
    <w:p>
      <w:pPr>
        <w:spacing w:after="120" w:before="80"/>
      </w:pPr>
      <w:r>
        <w:rPr>
          <w:rFonts w:ascii="Arial" w:cs="Arial" w:eastAsia="Arial" w:hAnsi="Arial"/>
          <w:sz w:val="22"/>
          <w:szCs w:val="22"/>
        </w:rPr>
        <w:t xml:space="preserve">Every synthetic well starts with a base decline regime before events are injected. These represent the range of production profiles observed across major US shale plays in recent years.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160"/>
      </w:tblGrid>
      <w:tr>
        <w:tc>
          <w:tcPr>
            <w:tcW w:type="dxa" w:w="1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Profile ID</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Well type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 exponent</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 (annual)</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d_min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Shale oil, tight — Permian/Midland style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0.8 – 1.2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0.70 – 0.90/yr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0.07 – 0.09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Shale oil, moderate decline — Eagle Ford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0.6 – 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0.55 – 0.75/yr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0.05 – 0.07</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Shale gas — Marcellus/Haynesville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0.4 – 0.7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0.60 – 0.85/yr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0.04 – 0.06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Tight oil, flattening tail — Bakken mature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 – 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0.50 – 0.70/yr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0.08 – 0.10</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Conventional vertical — slower decline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0.2 – 0.5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0.10 – 0.25/yr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0.03 – 0.05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Refrac candidate — post-restimulation shape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 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0.60 – 0.80/yr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0.06 – 0.08</w:t>
            </w:r>
          </w:p>
        </w:tc>
      </w:tr>
    </w:tbl>
    <w:p>
      <w:pPr>
        <w:spacing w:before="160"/>
      </w:pPr>
    </w:p>
    <w:p>
      <w:pPr>
        <w:spacing w:after="120" w:before="80"/>
      </w:pPr>
      <w:r>
        <w:rPr>
          <w:rFonts w:ascii="Arial" w:cs="Arial" w:eastAsia="Arial" w:hAnsi="Arial"/>
          <w:sz w:val="22"/>
          <w:szCs w:val="22"/>
        </w:rPr>
        <w:t xml:space="preserve">R1 and R4 are the most important for the ablation rerun because they represent the dominant modern unconventional profiles and have the most structure for the agent to exploit. R5 provides a clean easy case for baseline validation. R6 is the hardest — post-restimulation wells have non-stationary b exponents that standard MH curves struggle to fit.</w:t>
      </w:r>
    </w:p>
    <w:p>
      <w:pPr>
        <w:spacing w:before="200"/>
      </w:pPr>
    </w:p>
    <w:p>
      <w:pPr>
        <w:pBdr>
          <w:bottom w:val="single" w:color="DDDDDD" w:sz="4"/>
        </w:pBdr>
        <w:spacing w:after="160" w:before="160"/>
      </w:pPr>
    </w:p>
    <w:p>
      <w:pPr>
        <w:pStyle w:val="Heading1"/>
        <w:spacing w:after="160" w:before="360"/>
      </w:pPr>
      <w:r>
        <w:rPr>
          <w:rFonts w:ascii="Arial" w:cs="Arial" w:eastAsia="Arial" w:hAnsi="Arial"/>
          <w:b/>
          <w:bCs/>
          <w:color w:val="1F4E79"/>
          <w:sz w:val="32"/>
          <w:szCs w:val="32"/>
        </w:rPr>
        <w:t xml:space="preserve">3. Operational Events Catalog</w:t>
      </w:r>
    </w:p>
    <w:p>
      <w:pPr>
        <w:spacing w:after="120" w:before="80"/>
      </w:pPr>
      <w:r>
        <w:rPr>
          <w:rFonts w:ascii="Arial" w:cs="Arial" w:eastAsia="Arial" w:hAnsi="Arial"/>
          <w:sz w:val="22"/>
          <w:szCs w:val="22"/>
        </w:rPr>
        <w:t xml:space="preserve">The following events are observed in real 2023-2026 unconventional production data. Each must be representable in the synthetic generator. Events are classified by their production signature, typical duration, and difficulty they create for decline curve analysis.</w:t>
      </w:r>
    </w:p>
    <w:p>
      <w:pPr>
        <w:spacing w:before="160"/>
      </w:pPr>
    </w:p>
    <w:p>
      <w:pPr>
        <w:pStyle w:val="Heading2"/>
        <w:spacing w:after="120" w:before="280"/>
      </w:pPr>
      <w:r>
        <w:rPr>
          <w:rFonts w:ascii="Arial" w:cs="Arial" w:eastAsia="Arial" w:hAnsi="Arial"/>
          <w:b/>
          <w:bCs/>
          <w:color w:val="2E75B6"/>
          <w:sz w:val="26"/>
          <w:szCs w:val="26"/>
        </w:rPr>
        <w:t xml:space="preserve">3.1  Shut-ins</w:t>
      </w:r>
    </w:p>
    <w:p>
      <w:pPr>
        <w:spacing w:after="120" w:before="80"/>
      </w:pPr>
      <w:r>
        <w:rPr>
          <w:rFonts w:ascii="Arial" w:cs="Arial" w:eastAsia="Arial" w:hAnsi="Arial"/>
          <w:sz w:val="22"/>
          <w:szCs w:val="22"/>
        </w:rPr>
        <w:t xml:space="preserve">Shut-ins are the most common disruption in modern production data. In 2023-2025, regulatory compliance windows, offset well frac protection, and pipeline maintenance drove frequent shut-ins in Permian, Eagle Ford, and Bakken plays.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Production signature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Typical duration</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Difficulty for DCA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Voluntary shut-in
(frac protection)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Production drops to zero over 1-2 months, recovers to ~85-95% of projected trend within 2-3 months. Water spike on return.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1–3 months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Medium — looks like data gap, anchors peak detection incorrectly if near early production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Regulatory/compliance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Hard zero for 1-4 weeks, clean recovery. Partial-month reporting common (15 days produced).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2–6 weeks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Low-medium — clean zero is easy to detect, partial month causes MAPE noise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Pipeline curtailment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Soft decline to 30-50% of rate, not full zero. Can persist 2-6 months in gas wells.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1–6 months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High — partial curtailment looks like accelerated decline, misleads Di estimation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Extended shut-in
(workover 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Zero production for 3-9 months. Return rate often 60-80% of pre-shut trend due to skin damage.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3–9 months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Very high — breaks decline anchor, creates false secondary peak on return</w:t>
            </w:r>
          </w:p>
        </w:tc>
      </w:tr>
    </w:tbl>
    <w:p>
      <w:pPr>
        <w:spacing w:before="200"/>
      </w:pPr>
    </w:p>
    <w:p>
      <w:pPr>
        <w:pStyle w:val="Heading2"/>
        <w:spacing w:after="120" w:before="280"/>
      </w:pPr>
      <w:r>
        <w:rPr>
          <w:rFonts w:ascii="Arial" w:cs="Arial" w:eastAsia="Arial" w:hAnsi="Arial"/>
          <w:b/>
          <w:bCs/>
          <w:color w:val="2E75B6"/>
          <w:sz w:val="26"/>
          <w:szCs w:val="26"/>
        </w:rPr>
        <w:t xml:space="preserve">3.2  Frac Hits (Well Interference)</w:t>
      </w:r>
    </w:p>
    <w:p>
      <w:pPr>
        <w:spacing w:after="120" w:before="80"/>
      </w:pPr>
      <w:r>
        <w:rPr>
          <w:rFonts w:ascii="Arial" w:cs="Arial" w:eastAsia="Arial" w:hAnsi="Arial"/>
          <w:sz w:val="22"/>
          <w:szCs w:val="22"/>
        </w:rPr>
        <w:t xml:space="preserve">Frac hits have become a defining feature of modern unconventional production data as infill drilling intensifies. Research from Bakken and Eagle Ford datasets shows parent wells experiencing rapid production drops followed by partial recovery. Water production typically spikes 2-5x at hit time. The severity varies from minor short-term interference to permanent reservoir damage.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Production signature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Typical duration</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Difficulty for DCA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Minor frac hit
(short-term)</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5-15% production drop, water spike 2-3x, partial recovery within 4-8 weeks. Net effect near zero long-term.</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4–8 weeks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Low — usually within noise band, may trigger outlier filter incorrectly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Moderate frac hit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20-40% production drop, water spike 3-4x, recovers to 80-90% of projected rate over 2-4 months.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2–4 months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 looks like a workover bump in reverse, confuses peak detection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Severe frac hit
(well-bashing)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40-60% permanent production reduction. Water spike 4-5x. Partial recovery plateau well below prior trend. Long-term communication maintained.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Permanent step-change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Very high — requires fitting two distinct decline segments with different parameters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Positive frac hit
(stimulation enhancement)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Brief 10-20% production increase followed by accelerated decline. Occurs when interference enhances parent SRV.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2–6 months elevated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 creates false secondary peak, misleads anchor detection</w:t>
            </w:r>
          </w:p>
        </w:tc>
      </w:tr>
    </w:tbl>
    <w:p>
      <w:pPr>
        <w:spacing w:before="200"/>
      </w:pPr>
    </w:p>
    <w:p>
      <w:pPr>
        <w:pStyle w:val="Heading2"/>
        <w:spacing w:after="120" w:before="280"/>
      </w:pPr>
      <w:r>
        <w:rPr>
          <w:rFonts w:ascii="Arial" w:cs="Arial" w:eastAsia="Arial" w:hAnsi="Arial"/>
          <w:b/>
          <w:bCs/>
          <w:color w:val="2E75B6"/>
          <w:sz w:val="26"/>
          <w:szCs w:val="26"/>
        </w:rPr>
        <w:t xml:space="preserve">3.3  Workovers and Restimulation</w:t>
      </w:r>
    </w:p>
    <w:p>
      <w:pPr>
        <w:spacing w:after="120" w:before="80"/>
      </w:pPr>
      <w:r>
        <w:rPr>
          <w:rFonts w:ascii="Arial" w:cs="Arial" w:eastAsia="Arial" w:hAnsi="Arial"/>
          <w:sz w:val="22"/>
          <w:szCs w:val="22"/>
        </w:rPr>
        <w:t xml:space="preserve">Workover operations temporarily increase production above the underlying decline trend. Refracs have become more common in mature shale plays as operators seek to extend well life on drilled but underperforming acreage.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Production signature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Typical duration</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Difficulty for DCA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Pump workover / ESP replacement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Production flat or rising for 1-2 months post-workover, then returns to underlying decline trend. No change to decline parameters.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1–2 months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Medium — creates bump that looks like secondary peak if near other noise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Wellbore cleanout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Brief 15-25% production increase, decays back to trend within 2-3 months.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 months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 — small bump, usually within noise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Refrac / restimulation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Production jumps 50-300% above prior rate at time of refrac. New decline initiates from elevated rate with different (often higher) b and Di than original well. Creates a compound production profile.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New decline phase starts immediately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Very high — standard single-phase MH cannot fit this. Requires segmented fitting or custom tool.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Acid stimulation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10-30% production increase, decays to trend over 3-6 months. Tail rate may be slightly elevated long-term.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3–6 months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Low-medium — moderate bump</w:t>
            </w:r>
          </w:p>
        </w:tc>
      </w:tr>
    </w:tbl>
    <w:p>
      <w:pPr>
        <w:spacing w:before="200"/>
      </w:pPr>
    </w:p>
    <w:p>
      <w:pPr>
        <w:pStyle w:val="Heading2"/>
        <w:spacing w:after="120" w:before="280"/>
      </w:pPr>
      <w:r>
        <w:rPr>
          <w:rFonts w:ascii="Arial" w:cs="Arial" w:eastAsia="Arial" w:hAnsi="Arial"/>
          <w:b/>
          <w:bCs/>
          <w:color w:val="2E75B6"/>
          <w:sz w:val="26"/>
          <w:szCs w:val="26"/>
        </w:rPr>
        <w:t xml:space="preserve">3.4  Artificial Lift Changes</w:t>
      </w:r>
    </w:p>
    <w:p>
      <w:pPr>
        <w:spacing w:after="120" w:before="80"/>
      </w:pPr>
      <w:r>
        <w:rPr>
          <w:rFonts w:ascii="Arial" w:cs="Arial" w:eastAsia="Arial" w:hAnsi="Arial"/>
          <w:sz w:val="22"/>
          <w:szCs w:val="22"/>
        </w:rPr>
        <w:t xml:space="preserve">Transitions in artificial lift method affect production rate and decline shape. Rod pump to ESP transitions, in particular, are common as wells mature and liquid loading increases.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Production signature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Typical duration</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Difficulty for DCA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Rod pump installation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Prevents liquid loading. Production stabilizes or increases modestly at transition. Decline rate may slow after installation.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Permanent shape change at transition month</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Medium — changes effective d_min from transition point forward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ESP installation / optimization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Production jump of 20-60% at installation. ESP-lifted wells show flatter decline tail than flowing wells.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Permanent elevated rate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 looks like workover bump but with sustained rate change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ESP failure / pump-off</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Rapid production drop to near-zero over days. Repair within days to weeks. Often creates sharp V-shape in monthly data.</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1–4 weeks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Medium — creates outlier that filter should catch, but V-shape may span 2 months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Gas lift optimization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Step change in rate at optimization event. Common in GOR-heavy wells.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Permanent step or gradual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Low-medium</w:t>
            </w:r>
          </w:p>
        </w:tc>
      </w:tr>
    </w:tbl>
    <w:p>
      <w:pPr>
        <w:spacing w:before="200"/>
      </w:pPr>
    </w:p>
    <w:p>
      <w:pPr>
        <w:pStyle w:val="Heading2"/>
        <w:spacing w:after="120" w:before="280"/>
      </w:pPr>
      <w:r>
        <w:rPr>
          <w:rFonts w:ascii="Arial" w:cs="Arial" w:eastAsia="Arial" w:hAnsi="Arial"/>
          <w:b/>
          <w:bCs/>
          <w:color w:val="2E75B6"/>
          <w:sz w:val="26"/>
          <w:szCs w:val="26"/>
        </w:rPr>
        <w:t xml:space="preserve">3.5  Reporting and Measurement Artifacts</w:t>
      </w:r>
    </w:p>
    <w:p>
      <w:pPr>
        <w:spacing w:after="120" w:before="80"/>
      </w:pPr>
      <w:r>
        <w:rPr>
          <w:rFonts w:ascii="Arial" w:cs="Arial" w:eastAsia="Arial" w:hAnsi="Arial"/>
          <w:sz w:val="22"/>
          <w:szCs w:val="22"/>
        </w:rPr>
        <w:t xml:space="preserve">Modern production data contains systematic artifacts from reporting systems, measurement equipment, and allocation methodologies. These are not physical events but are indistinguishable from them in monthly production data.</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Production signature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Typical duration</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Difficulty for DCA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Partial production month</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Monthly volume reflects only 10-25 days of production due to shut-in, workover, or new well startup. Creates low outlier even though daily rate was normal.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Single month</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High — outlier filter must detect this without removing valid low-production months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Allocation error / revision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single month's production is retroactively revised up or down 20-50% in subsequent reporting. Common in multi-well pads with commingled production.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Single month artifact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 creates anomalous spike or dip with no physical cause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Commingled / split production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Monthly volumes fluctuate 15-30% due to allocation methodology changes when nearby wells are added to or removed from the same gathering system.</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Ongoing noise 6–18 months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Medium — adds systematic noise to tail, inflates MAPE on holdout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Meter calibration drift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Gradual upward or downward trend in reported volumes over 3-6 months with no physical cause. Correction applied as a step 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3–6 months drift + correction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 mimics accelerated or decelerated decline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Gas plant downtime / NGL accounting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Gas volumes spike or drop due to plant capacity changes. Oil and condensate volumes may be miscounted during transition.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1–3 months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Low-medium</w:t>
            </w:r>
          </w:p>
        </w:tc>
      </w:tr>
    </w:tbl>
    <w:p>
      <w:pPr>
        <w:spacing w:before="200"/>
      </w:pPr>
    </w:p>
    <w:p>
      <w:pPr>
        <w:pStyle w:val="Heading2"/>
        <w:spacing w:after="120" w:before="280"/>
      </w:pPr>
      <w:r>
        <w:rPr>
          <w:rFonts w:ascii="Arial" w:cs="Arial" w:eastAsia="Arial" w:hAnsi="Arial"/>
          <w:b/>
          <w:bCs/>
          <w:color w:val="2E75B6"/>
          <w:sz w:val="26"/>
          <w:szCs w:val="26"/>
        </w:rPr>
        <w:t xml:space="preserve">3.6  Natural Production Phenomena</w:t>
      </w:r>
    </w:p>
    <w:p>
      <w:pPr>
        <w:spacing w:after="120" w:before="80"/>
      </w:pPr>
      <w:r>
        <w:rPr>
          <w:rFonts w:ascii="Arial" w:cs="Arial" w:eastAsia="Arial" w:hAnsi="Arial"/>
          <w:sz w:val="22"/>
          <w:szCs w:val="22"/>
        </w:rPr>
        <w:t xml:space="preserve">Beyond operational events, modern unconventional wells exhibit natural production behaviors that complicate standard DCA.</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Production signature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Typical duration</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Difficulty for DCA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Liquid loading onset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Gradual production decline steepens over 3-6 months as liquid accumulates in the wellbore. Rate stabilizes or recovers if artificial lift is added.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3–6 months steepening</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High — looks like accelerated terminal decline, misleads d_min estimation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Pressure depletion plateau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Production flattens for 6-18 months before resuming decline. Common in wells connected to natural fracture networks.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6–18 months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Very high — b exponent appears to shift during plateau, flat segment misleads tail fit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GOR increase / gas breakout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Oil rate declines faster than expected as reservoir pressure drops below bubble point. Gas rate may temporarily increase. Oil MAPE inflated on holdout.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Permanent phase change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Very high — requires knowing fluid phase behavior, oil and gas decline diverge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Inter-well depletion (parent-child)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Parent well shows long-term gradual production decline 10-20% below type curve as nearby child wells drain the same reservoir. Develops over 2-5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Permanent gradual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 looks like normal decline with steeper d_min, hard to distinguish from natural depletion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Natural fracture reactivation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Brief production spike 10-30% above trend following seismic event or nearby completion. Decays within 1-3 months.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1–3 months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Low — similar to workover bump</w:t>
            </w:r>
          </w:p>
        </w:tc>
      </w:tr>
    </w:tbl>
    <w:p>
      <w:pPr>
        <w:spacing w:before="200"/>
      </w:pPr>
    </w:p>
    <w:p>
      <w:pPr>
        <w:pBdr>
          <w:bottom w:val="single" w:color="DDDDDD" w:sz="4"/>
        </w:pBdr>
        <w:spacing w:after="160" w:before="160"/>
      </w:pPr>
    </w:p>
    <w:p>
      <w:pPr>
        <w:pStyle w:val="Heading1"/>
        <w:spacing w:after="160" w:before="360"/>
      </w:pPr>
      <w:r>
        <w:rPr>
          <w:rFonts w:ascii="Arial" w:cs="Arial" w:eastAsia="Arial" w:hAnsi="Arial"/>
          <w:b/>
          <w:bCs/>
          <w:color w:val="1F4E79"/>
          <w:sz w:val="32"/>
          <w:szCs w:val="32"/>
        </w:rPr>
        <w:t xml:space="preserve">4. Mixing Events onto Base Regimes</w:t>
      </w:r>
    </w:p>
    <w:p>
      <w:pPr>
        <w:spacing w:after="120" w:before="80"/>
      </w:pPr>
      <w:r>
        <w:rPr>
          <w:rFonts w:ascii="Arial" w:cs="Arial" w:eastAsia="Arial" w:hAnsi="Arial"/>
          <w:sz w:val="22"/>
          <w:szCs w:val="22"/>
        </w:rPr>
        <w:t xml:space="preserve">Synthetic wells should not have clean single-event profiles. Real production histories from 2023-2026 show multiple overlapping events across a well's life. The generator should support stacking events onto a base regime with controlled timing and intensity.</w:t>
      </w:r>
    </w:p>
    <w:p>
      <w:pPr>
        <w:spacing w:before="160"/>
      </w:pPr>
    </w:p>
    <w:p>
      <w:pPr>
        <w:pStyle w:val="Heading2"/>
        <w:spacing w:after="120" w:before="280"/>
      </w:pPr>
      <w:r>
        <w:rPr>
          <w:rFonts w:ascii="Arial" w:cs="Arial" w:eastAsia="Arial" w:hAnsi="Arial"/>
          <w:b/>
          <w:bCs/>
          <w:color w:val="2E75B6"/>
          <w:sz w:val="26"/>
          <w:szCs w:val="26"/>
        </w:rPr>
        <w:t xml:space="preserve">4.1  Mixing rules</w:t>
      </w:r>
    </w:p>
    <w:p>
      <w:pPr>
        <w:pStyle w:val="ListParagraph"/>
        <w:numPr>
          <w:ilvl w:val="0"/>
          <w:numId w:val="2"/>
        </w:numPr>
        <w:spacing w:after="60" w:before="60"/>
      </w:pPr>
      <w:r>
        <w:rPr>
          <w:rFonts w:ascii="Arial" w:cs="Arial" w:eastAsia="Arial" w:hAnsi="Arial"/>
          <w:sz w:val="22"/>
          <w:szCs w:val="22"/>
        </w:rPr>
        <w:t xml:space="preserve">Each synthetic well gets one base regime (R1-R6) as the underlying ground truth decline</w:t>
      </w:r>
    </w:p>
    <w:p>
      <w:pPr>
        <w:pStyle w:val="ListParagraph"/>
        <w:numPr>
          <w:ilvl w:val="0"/>
          <w:numId w:val="2"/>
        </w:numPr>
        <w:spacing w:after="60" w:before="60"/>
      </w:pPr>
      <w:r>
        <w:rPr>
          <w:rFonts w:ascii="Arial" w:cs="Arial" w:eastAsia="Arial" w:hAnsi="Arial"/>
          <w:sz w:val="22"/>
          <w:szCs w:val="22"/>
        </w:rPr>
        <w:t xml:space="preserve">Events are injected at specified months post-first-production with specified intensity parameters</w:t>
      </w:r>
    </w:p>
    <w:p>
      <w:pPr>
        <w:pStyle w:val="ListParagraph"/>
        <w:numPr>
          <w:ilvl w:val="0"/>
          <w:numId w:val="2"/>
        </w:numPr>
        <w:spacing w:after="60" w:before="60"/>
      </w:pPr>
      <w:r>
        <w:rPr>
          <w:rFonts w:ascii="Arial" w:cs="Arial" w:eastAsia="Arial" w:hAnsi="Arial"/>
          <w:sz w:val="22"/>
          <w:szCs w:val="22"/>
        </w:rPr>
        <w:t xml:space="preserve">Events are additive on top of the base regime — the base curve continues evolving underneath</w:t>
      </w:r>
    </w:p>
    <w:p>
      <w:pPr>
        <w:pStyle w:val="ListParagraph"/>
        <w:numPr>
          <w:ilvl w:val="0"/>
          <w:numId w:val="2"/>
        </w:numPr>
        <w:spacing w:after="60" w:before="60"/>
      </w:pPr>
      <w:r>
        <w:rPr>
          <w:rFonts w:ascii="Arial" w:cs="Arial" w:eastAsia="Arial" w:hAnsi="Arial"/>
          <w:sz w:val="22"/>
          <w:szCs w:val="22"/>
        </w:rPr>
        <w:t xml:space="preserve">Multiple events can overlap in time, though their individual effects should be documented</w:t>
      </w:r>
    </w:p>
    <w:p>
      <w:pPr>
        <w:pStyle w:val="ListParagraph"/>
        <w:numPr>
          <w:ilvl w:val="0"/>
          <w:numId w:val="2"/>
        </w:numPr>
        <w:spacing w:after="60" w:before="60"/>
      </w:pPr>
      <w:r>
        <w:rPr>
          <w:rFonts w:ascii="Arial" w:cs="Arial" w:eastAsia="Arial" w:hAnsi="Arial"/>
          <w:sz w:val="22"/>
          <w:szCs w:val="22"/>
        </w:rPr>
        <w:t xml:space="preserve">Ground truth parameters (qi, Di, b, d_min) are recorded before event injection and represent the target the agent should recover</w:t>
      </w:r>
    </w:p>
    <w:p>
      <w:pPr>
        <w:pStyle w:val="ListParagraph"/>
        <w:numPr>
          <w:ilvl w:val="0"/>
          <w:numId w:val="2"/>
        </w:numPr>
        <w:spacing w:after="60" w:before="60"/>
      </w:pPr>
      <w:r>
        <w:rPr>
          <w:rFonts w:ascii="Arial" w:cs="Arial" w:eastAsia="Arial" w:hAnsi="Arial"/>
          <w:sz w:val="22"/>
          <w:szCs w:val="22"/>
        </w:rPr>
        <w:t xml:space="preserve">Noise is added last: Gaussian noise of 5-15% on monthly volumes, plus a 10% probability of a partial-month artifact in any given month</w:t>
      </w:r>
    </w:p>
    <w:p>
      <w:pPr>
        <w:spacing w:before="200"/>
      </w:pPr>
    </w:p>
    <w:p>
      <w:pPr>
        <w:pStyle w:val="Heading2"/>
        <w:spacing w:after="120" w:before="280"/>
      </w:pPr>
      <w:r>
        <w:rPr>
          <w:rFonts w:ascii="Arial" w:cs="Arial" w:eastAsia="Arial" w:hAnsi="Arial"/>
          <w:b/>
          <w:bCs/>
          <w:color w:val="2E75B6"/>
          <w:sz w:val="26"/>
          <w:szCs w:val="26"/>
        </w:rPr>
        <w:t xml:space="preserve">4.2  Difficulty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Events</w:t>
            </w:r>
          </w:p>
        </w:tc>
        <w:tc>
          <w:tcPr>
            <w:tcW w:type="dxa" w:w="3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Expected agent behavior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Easy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None or 1 minor shut-in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Clean hyperbolic decline, 5% noise, one brief gap. Curve_fit should handle this without preprocessing.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Recover ground truth params within 5%</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1-2 events: frac hit or workover + partial months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Events require outlier filtering and correct anchor detection. Preprocessing params matter.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Improve MAPE over baseline by adjusting preprocessing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events including one severe (refrac, well-bashing, or extended shut-in)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Standard MH may be structurally insufficient. Agent needs to recognize the limitation and either find the right preprocessing window or write a custom tool.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Identify that single-phase fit is inadequate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Adversarial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Mixed regime: refrac + frac hit + pipeline curtailment + allocation noise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 single parameter combination recovers ground truth. The correct answer is to segment the production history and fit two separate curves.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Write a segmentation tool (tool autonomy condition only)</w:t>
            </w:r>
          </w:p>
        </w:tc>
      </w:tr>
    </w:tbl>
    <w:p>
      <w:pPr>
        <w:spacing w:before="200"/>
      </w:pPr>
    </w:p>
    <w:p>
      <w:pPr>
        <w:pBdr>
          <w:bottom w:val="single" w:color="DDDDDD" w:sz="4"/>
        </w:pBdr>
        <w:spacing w:after="160" w:before="160"/>
      </w:pPr>
    </w:p>
    <w:p>
      <w:pPr>
        <w:pStyle w:val="Heading1"/>
        <w:spacing w:after="160" w:before="360"/>
      </w:pPr>
      <w:r>
        <w:rPr>
          <w:rFonts w:ascii="Arial" w:cs="Arial" w:eastAsia="Arial" w:hAnsi="Arial"/>
          <w:b/>
          <w:bCs/>
          <w:color w:val="1F4E79"/>
          <w:sz w:val="32"/>
          <w:szCs w:val="32"/>
        </w:rPr>
        <w:t xml:space="preserve">5. Recommended Synthetic Well Portfolio</w:t>
      </w:r>
    </w:p>
    <w:p>
      <w:pPr>
        <w:spacing w:after="120" w:before="80"/>
      </w:pPr>
      <w:r>
        <w:rPr>
          <w:rFonts w:ascii="Arial" w:cs="Arial" w:eastAsia="Arial" w:hAnsi="Arial"/>
          <w:sz w:val="22"/>
          <w:szCs w:val="22"/>
        </w:rPr>
        <w:t xml:space="preserve">The following 20 wells cover all difficulty tiers and event types. They are designed so that at least 12 wells have clear improvement potential from baseline — solving the flat landscape problem of the first ablation.</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2200"/>
        <w:gridCol w:w="1760"/>
      </w:tblGrid>
      <w:tr>
        <w:tc>
          <w:tcPr>
            <w:tcW w:type="dxa" w:w="1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Well ID</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Base regime</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Events injected</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Target difficulty</w:t>
            </w:r>
          </w:p>
        </w:tc>
        <w:tc>
          <w:tcPr>
            <w:tcW w:type="dxa" w:w="17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Tests hypothesis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SYN-01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R1 — Permian tight oil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Easy — clean baseline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Ablation baseline sanity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SYN-02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R2 — Eagle Ford moderate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Easy — clean baseline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Ablation baseline sanity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SYN-03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R5 — Conventional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Easy — very slow decline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Validates d_min lower bound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SYN-04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R1 — Permian tight oil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voluntary shut-in (month 8, 6 weeks)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Easy-medium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Shut-in detection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SYN-05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R2 — Eagle Ford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 partial production month (month 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Easy-medium</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Outlier filtering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SYN-06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R3 — Shale gas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Pipeline curtailment (months 14-19, 40%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 — partial curtailment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Preprocessing window</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SYN-07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R1 — Permian tight oil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Minor frac hit (month 18)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Medium</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Frac hit noise tolerance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SYN-08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R4 — Bakken mature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Moderate frac hit (month 22, 30% drop)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Medium-hard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Post-hit anchor detection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SYN-09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R2 — Eagle Ford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Pump workover bump (month 15) + partial month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Medium</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Compound event handling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SYN-10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R1 — Permian tight oil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Extended shut-in (months 10-17, zero production)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Hard — false secondary peak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Peak merge logic</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SYN-11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R4 — Bakken mature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Liquid loading onset (month 24+)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Hard — steepening tail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d_min underestimation trap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SYN-12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R3 — Shale gas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Pressure depletion plateau (months 20-34)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Hard — flat segment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 exponent shift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SYN-13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R2 — Eagle Ford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Severe frac hit (month 30, 50% permanent step-down)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Hard — step change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Two-segment need identification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SYN-14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R1 — Permian tight oil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Allocation error spike (month 12) + commingled noise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Hard — systematic noise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Outlier vs trend discrimination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SYN-15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R6 — Post-refrac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Refrac event (month 28)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Very hard — compound profile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Multi-phase fitting need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SYN-16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R4 — Bakken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Positive frac hit (month 14) + moderate frac hit (month 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Hard — two hits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Opposing event effects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SYN-17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R1 — Permian tight oil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ESP installation (month 20) + ESP failure (month 31) + repair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Hard — rate jump + V-drop</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Artificial lift event sequence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SYN-18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R3 — Shale gas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GOR increase / gas breakout (month 18 onward)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Very hard — fluid phase shift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Oil vs gas decoupling</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SYN-19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R1 — Permian tight oil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Extended shut-in + moderate frac hit + partial months + allocation noise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Adversarial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Tool autonomy: segmentation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SYN-20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R2 — Eagle Ford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Refrac (month 24) + frac hit (month 36) + pipeline curtailment (months 40-44)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Adversarial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Tool autonomy: multi-phase</w:t>
            </w:r>
          </w:p>
        </w:tc>
      </w:tr>
    </w:tbl>
    <w:p>
      <w:pPr>
        <w:spacing w:before="200"/>
      </w:pPr>
    </w:p>
    <w:p>
      <w:pPr>
        <w:pBdr>
          <w:bottom w:val="single" w:color="DDDDDD" w:sz="4"/>
        </w:pBdr>
        <w:spacing w:after="160" w:before="160"/>
      </w:pPr>
    </w:p>
    <w:p>
      <w:pPr>
        <w:pStyle w:val="Heading1"/>
        <w:spacing w:after="160" w:before="360"/>
      </w:pPr>
      <w:r>
        <w:rPr>
          <w:rFonts w:ascii="Arial" w:cs="Arial" w:eastAsia="Arial" w:hAnsi="Arial"/>
          <w:b/>
          <w:bCs/>
          <w:color w:val="1F4E79"/>
          <w:sz w:val="32"/>
          <w:szCs w:val="32"/>
        </w:rPr>
        <w:t xml:space="preserve">6. Generator Implementation Notes</w:t>
      </w:r>
    </w:p>
    <w:p>
      <w:pPr>
        <w:pStyle w:val="Heading2"/>
        <w:spacing w:after="120" w:before="280"/>
      </w:pPr>
      <w:r>
        <w:rPr>
          <w:rFonts w:ascii="Arial" w:cs="Arial" w:eastAsia="Arial" w:hAnsi="Arial"/>
          <w:b/>
          <w:bCs/>
          <w:color w:val="2E75B6"/>
          <w:sz w:val="26"/>
          <w:szCs w:val="26"/>
        </w:rPr>
        <w:t xml:space="preserve">6.1  Base curve generation</w:t>
      </w:r>
    </w:p>
    <w:p>
      <w:pPr>
        <w:spacing w:after="120" w:before="80"/>
      </w:pPr>
      <w:r>
        <w:rPr>
          <w:rFonts w:ascii="Arial" w:cs="Arial" w:eastAsia="Arial" w:hAnsi="Arial"/>
          <w:sz w:val="22"/>
          <w:szCs w:val="22"/>
        </w:rPr>
        <w:t xml:space="preserve">Use petbox-dca (already a dependency) to generate monthly production from known MH parameters. This ensures the ground truth is expressible in the same model the agent tries to fit. Sample qi, Di, b, and d_min from the ranges in Section 2 for the chosen regime.</w:t>
      </w:r>
    </w:p>
    <w:p>
      <w:pPr>
        <w:pStyle w:val="ListParagraph"/>
        <w:numPr>
          <w:ilvl w:val="0"/>
          <w:numId w:val="2"/>
        </w:numPr>
        <w:spacing w:after="60" w:before="60"/>
      </w:pPr>
      <w:r>
        <w:rPr>
          <w:rFonts w:ascii="Arial" w:cs="Arial" w:eastAsia="Arial" w:hAnsi="Arial"/>
          <w:sz w:val="22"/>
          <w:szCs w:val="22"/>
        </w:rPr>
        <w:t xml:space="preserve">Time range: 60-84 months (5-7 years) to match real well histories</w:t>
      </w:r>
    </w:p>
    <w:p>
      <w:pPr>
        <w:pStyle w:val="ListParagraph"/>
        <w:numPr>
          <w:ilvl w:val="0"/>
          <w:numId w:val="2"/>
        </w:numPr>
        <w:spacing w:after="60" w:before="60"/>
      </w:pPr>
      <w:r>
        <w:rPr>
          <w:rFonts w:ascii="Arial" w:cs="Arial" w:eastAsia="Arial" w:hAnsi="Arial"/>
          <w:sz w:val="22"/>
          <w:szCs w:val="22"/>
        </w:rPr>
        <w:t xml:space="preserve">Monthly aggregation: integrate daily rate over each calendar month to get monthly bbl or mcf</w:t>
      </w:r>
    </w:p>
    <w:p>
      <w:pPr>
        <w:pStyle w:val="ListParagraph"/>
        <w:numPr>
          <w:ilvl w:val="0"/>
          <w:numId w:val="2"/>
        </w:numPr>
        <w:spacing w:after="60" w:before="60"/>
      </w:pPr>
      <w:r>
        <w:rPr>
          <w:rFonts w:ascii="Arial" w:cs="Arial" w:eastAsia="Arial" w:hAnsi="Arial"/>
          <w:sz w:val="22"/>
          <w:szCs w:val="22"/>
        </w:rPr>
        <w:t xml:space="preserve">Store ground truth params in well_metadata.json alongside production.csv — this is never exposed to the agent</w:t>
      </w:r>
    </w:p>
    <w:p>
      <w:pPr>
        <w:spacing w:before="200"/>
      </w:pPr>
    </w:p>
    <w:p>
      <w:pPr>
        <w:pStyle w:val="Heading2"/>
        <w:spacing w:after="120" w:before="280"/>
      </w:pPr>
      <w:r>
        <w:rPr>
          <w:rFonts w:ascii="Arial" w:cs="Arial" w:eastAsia="Arial" w:hAnsi="Arial"/>
          <w:b/>
          <w:bCs/>
          <w:color w:val="2E75B6"/>
          <w:sz w:val="26"/>
          <w:szCs w:val="26"/>
        </w:rPr>
        <w:t xml:space="preserve">6.2  Event injection</w:t>
      </w:r>
    </w:p>
    <w:p>
      <w:pPr>
        <w:spacing w:after="120" w:before="80"/>
      </w:pPr>
      <w:r>
        <w:rPr>
          <w:rFonts w:ascii="Arial" w:cs="Arial" w:eastAsia="Arial" w:hAnsi="Arial"/>
          <w:sz w:val="22"/>
          <w:szCs w:val="22"/>
        </w:rPr>
        <w:t xml:space="preserve">Events are multiplicative or additive modifiers applied to the base curve at specified months. Implement each event type as a Python function with documented parameters:</w:t>
      </w:r>
    </w:p>
    <w:p>
      <w:pPr>
        <w:pStyle w:val="ListParagraph"/>
        <w:numPr>
          <w:ilvl w:val="0"/>
          <w:numId w:val="2"/>
        </w:numPr>
        <w:spacing w:after="60" w:before="60"/>
      </w:pPr>
      <w:r>
        <w:rPr>
          <w:rFonts w:ascii="Arial" w:cs="Arial" w:eastAsia="Arial" w:hAnsi="Arial"/>
          <w:sz w:val="22"/>
          <w:szCs w:val="22"/>
        </w:rPr>
        <w:t xml:space="preserve">shut_in(start_month, duration_months, recovery_fraction=0.90) — zeros out production, restores at recovery_fraction of projected rate</w:t>
      </w:r>
    </w:p>
    <w:p>
      <w:pPr>
        <w:pStyle w:val="ListParagraph"/>
        <w:numPr>
          <w:ilvl w:val="0"/>
          <w:numId w:val="2"/>
        </w:numPr>
        <w:spacing w:after="60" w:before="60"/>
      </w:pPr>
      <w:r>
        <w:rPr>
          <w:rFonts w:ascii="Arial" w:cs="Arial" w:eastAsia="Arial" w:hAnsi="Arial"/>
          <w:sz w:val="22"/>
          <w:szCs w:val="22"/>
        </w:rPr>
        <w:t xml:space="preserve">frac_hit(month, severity, recovery_months, water_spike_multiplier) — applies production drop and recovery curve</w:t>
      </w:r>
    </w:p>
    <w:p>
      <w:pPr>
        <w:pStyle w:val="ListParagraph"/>
        <w:numPr>
          <w:ilvl w:val="0"/>
          <w:numId w:val="2"/>
        </w:numPr>
        <w:spacing w:after="60" w:before="60"/>
      </w:pPr>
      <w:r>
        <w:rPr>
          <w:rFonts w:ascii="Arial" w:cs="Arial" w:eastAsia="Arial" w:hAnsi="Arial"/>
          <w:sz w:val="22"/>
          <w:szCs w:val="22"/>
        </w:rPr>
        <w:t xml:space="preserve">workover_bump(month, amplitude_fraction, decay_months) — adds a Gaussian-shaped bump</w:t>
      </w:r>
    </w:p>
    <w:p>
      <w:pPr>
        <w:pStyle w:val="ListParagraph"/>
        <w:numPr>
          <w:ilvl w:val="0"/>
          <w:numId w:val="2"/>
        </w:numPr>
        <w:spacing w:after="60" w:before="60"/>
      </w:pPr>
      <w:r>
        <w:rPr>
          <w:rFonts w:ascii="Arial" w:cs="Arial" w:eastAsia="Arial" w:hAnsi="Arial"/>
          <w:sz w:val="22"/>
          <w:szCs w:val="22"/>
        </w:rPr>
        <w:t xml:space="preserve">pipeline_curtailment(start_month, duration_months, curtailment_fraction) — scales production to fraction of rate</w:t>
      </w:r>
    </w:p>
    <w:p>
      <w:pPr>
        <w:pStyle w:val="ListParagraph"/>
        <w:numPr>
          <w:ilvl w:val="0"/>
          <w:numId w:val="2"/>
        </w:numPr>
        <w:spacing w:after="60" w:before="60"/>
      </w:pPr>
      <w:r>
        <w:rPr>
          <w:rFonts w:ascii="Arial" w:cs="Arial" w:eastAsia="Arial" w:hAnsi="Arial"/>
          <w:sz w:val="22"/>
          <w:szCs w:val="22"/>
        </w:rPr>
        <w:t xml:space="preserve">refrac(month, new_qi_multiplier, new_Di, new_b) — replaces decline curve from that month forward with new parameters</w:t>
      </w:r>
    </w:p>
    <w:p>
      <w:pPr>
        <w:pStyle w:val="ListParagraph"/>
        <w:numPr>
          <w:ilvl w:val="0"/>
          <w:numId w:val="2"/>
        </w:numPr>
        <w:spacing w:after="60" w:before="60"/>
      </w:pPr>
      <w:r>
        <w:rPr>
          <w:rFonts w:ascii="Arial" w:cs="Arial" w:eastAsia="Arial" w:hAnsi="Arial"/>
          <w:sz w:val="22"/>
          <w:szCs w:val="22"/>
        </w:rPr>
        <w:t xml:space="preserve">partial_month(month, days_produced) — scales that month's volume by days_produced/30</w:t>
      </w:r>
    </w:p>
    <w:p>
      <w:pPr>
        <w:pStyle w:val="ListParagraph"/>
        <w:numPr>
          <w:ilvl w:val="0"/>
          <w:numId w:val="2"/>
        </w:numPr>
        <w:spacing w:after="60" w:before="60"/>
      </w:pPr>
      <w:r>
        <w:rPr>
          <w:rFonts w:ascii="Arial" w:cs="Arial" w:eastAsia="Arial" w:hAnsi="Arial"/>
          <w:sz w:val="22"/>
          <w:szCs w:val="22"/>
        </w:rPr>
        <w:t xml:space="preserve">allocation_noise(months, magnitude) — adds random multiplicative noise in specified months</w:t>
      </w:r>
    </w:p>
    <w:p>
      <w:pPr>
        <w:spacing w:before="200"/>
      </w:pPr>
    </w:p>
    <w:p>
      <w:pPr>
        <w:pStyle w:val="Heading2"/>
        <w:spacing w:after="120" w:before="280"/>
      </w:pPr>
      <w:r>
        <w:rPr>
          <w:rFonts w:ascii="Arial" w:cs="Arial" w:eastAsia="Arial" w:hAnsi="Arial"/>
          <w:b/>
          <w:bCs/>
          <w:color w:val="2E75B6"/>
          <w:sz w:val="26"/>
          <w:szCs w:val="26"/>
        </w:rPr>
        <w:t xml:space="preserve">6.3  Noise layer</w:t>
      </w:r>
    </w:p>
    <w:p>
      <w:pPr>
        <w:spacing w:after="120" w:before="80"/>
      </w:pPr>
      <w:r>
        <w:rPr>
          <w:rFonts w:ascii="Arial" w:cs="Arial" w:eastAsia="Arial" w:hAnsi="Arial"/>
          <w:sz w:val="22"/>
          <w:szCs w:val="22"/>
        </w:rPr>
        <w:t xml:space="preserve">Apply noise last, after all events. Use log-normal multiplicative noise (sigma=0.05 to 0.15 depending on tier) rather than additive Gaussian. Real production data noise is proportional to rate, not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6"/>
              <w:left w:val="thick" w:color="F0AD4E" w:sz="12"/>
              <w:bottom w:val="single" w:color="F0AD4E" w:sz="1"/>
              <w:right w:val="single" w:color="F0AD4E" w:sz="1"/>
            </w:tcBorders>
            <w:shd w:fill="FFF3CD" w:val="clear"/>
            <w:tcMar>
              <w:top w:type="dxa" w:w="120"/>
              <w:left w:type="dxa" w:w="160"/>
              <w:bottom w:type="dxa" w:w="120"/>
              <w:right w:type="dxa" w:w="160"/>
            </w:tcMar>
          </w:tcPr>
          <w:p>
            <w:r>
              <w:rPr>
                <w:rFonts w:ascii="Arial" w:cs="Arial" w:eastAsia="Arial" w:hAnsi="Arial"/>
                <w:b/>
                <w:bCs/>
                <w:sz w:val="20"/>
                <w:szCs w:val="20"/>
              </w:rPr>
              <w:t xml:space="preserve">Important</w:t>
            </w:r>
          </w:p>
          <w:p>
            <w:r>
              <w:rPr>
                <w:rFonts w:ascii="Arial" w:cs="Arial" w:eastAsia="Arial" w:hAnsi="Arial"/>
                <w:sz w:val="20"/>
                <w:szCs w:val="20"/>
              </w:rPr>
              <w:t xml:space="preserve">Never apply noise before event injection. Events need clean production values to compute their effects accurately. Noise is always the final step before writing production.csv.</w:t>
            </w:r>
          </w:p>
        </w:tc>
      </w:tr>
    </w:tbl>
    <w:p>
      <w:pPr>
        <w:spacing w:before="200"/>
      </w:pPr>
    </w:p>
    <w:p>
      <w:pPr>
        <w:pStyle w:val="Heading2"/>
        <w:spacing w:after="120" w:before="280"/>
      </w:pPr>
      <w:r>
        <w:rPr>
          <w:rFonts w:ascii="Arial" w:cs="Arial" w:eastAsia="Arial" w:hAnsi="Arial"/>
          <w:b/>
          <w:bCs/>
          <w:color w:val="2E75B6"/>
          <w:sz w:val="26"/>
          <w:szCs w:val="26"/>
        </w:rPr>
        <w:t xml:space="preserve">6.4  Validation checks</w:t>
      </w:r>
    </w:p>
    <w:p>
      <w:pPr>
        <w:spacing w:after="120" w:before="80"/>
      </w:pPr>
      <w:r>
        <w:rPr>
          <w:rFonts w:ascii="Arial" w:cs="Arial" w:eastAsia="Arial" w:hAnsi="Arial"/>
          <w:sz w:val="22"/>
          <w:szCs w:val="22"/>
        </w:rPr>
        <w:t xml:space="preserve">After generating each synthetic well, run the following checks before committing it to the portfolio:</w:t>
      </w:r>
    </w:p>
    <w:p>
      <w:pPr>
        <w:pStyle w:val="ListParagraph"/>
        <w:numPr>
          <w:ilvl w:val="0"/>
          <w:numId w:val="2"/>
        </w:numPr>
        <w:spacing w:after="60" w:before="60"/>
      </w:pPr>
      <w:r>
        <w:rPr>
          <w:rFonts w:ascii="Arial" w:cs="Arial" w:eastAsia="Arial" w:hAnsi="Arial"/>
          <w:sz w:val="22"/>
          <w:szCs w:val="22"/>
        </w:rPr>
        <w:t xml:space="preserve">Production is always non-negative</w:t>
      </w:r>
    </w:p>
    <w:p>
      <w:pPr>
        <w:pStyle w:val="ListParagraph"/>
        <w:numPr>
          <w:ilvl w:val="0"/>
          <w:numId w:val="2"/>
        </w:numPr>
        <w:spacing w:after="60" w:before="60"/>
      </w:pPr>
      <w:r>
        <w:rPr>
          <w:rFonts w:ascii="Arial" w:cs="Arial" w:eastAsia="Arial" w:hAnsi="Arial"/>
          <w:sz w:val="22"/>
          <w:szCs w:val="22"/>
        </w:rPr>
        <w:t xml:space="preserve">No month has volume more than 3x the prior month without a documented event</w:t>
      </w:r>
    </w:p>
    <w:p>
      <w:pPr>
        <w:pStyle w:val="ListParagraph"/>
        <w:numPr>
          <w:ilvl w:val="0"/>
          <w:numId w:val="2"/>
        </w:numPr>
        <w:spacing w:after="60" w:before="60"/>
      </w:pPr>
      <w:r>
        <w:rPr>
          <w:rFonts w:ascii="Arial" w:cs="Arial" w:eastAsia="Arial" w:hAnsi="Arial"/>
          <w:sz w:val="22"/>
          <w:szCs w:val="22"/>
        </w:rPr>
        <w:t xml:space="preserve">The last 12 months (holdout period) contain no injected events — events should not span into the holdout</w:t>
      </w:r>
    </w:p>
    <w:p>
      <w:pPr>
        <w:pStyle w:val="ListParagraph"/>
        <w:numPr>
          <w:ilvl w:val="0"/>
          <w:numId w:val="2"/>
        </w:numPr>
        <w:spacing w:after="60" w:before="60"/>
      </w:pPr>
      <w:r>
        <w:rPr>
          <w:rFonts w:ascii="Arial" w:cs="Arial" w:eastAsia="Arial" w:hAnsi="Arial"/>
          <w:sz w:val="22"/>
          <w:szCs w:val="22"/>
        </w:rPr>
        <w:t xml:space="preserve">Ground truth MAPE (fitting on months 1..N-12 with true params, scoring on holdout) is below 0.15 — if it is higher, the true params do not fit the noisy data well enough to be a meaningful target</w:t>
      </w:r>
    </w:p>
    <w:p>
      <w:pPr>
        <w:pStyle w:val="ListParagraph"/>
        <w:numPr>
          <w:ilvl w:val="0"/>
          <w:numId w:val="2"/>
        </w:numPr>
        <w:spacing w:after="60" w:before="60"/>
      </w:pPr>
      <w:r>
        <w:rPr>
          <w:rFonts w:ascii="Arial" w:cs="Arial" w:eastAsia="Arial" w:hAnsi="Arial"/>
          <w:sz w:val="22"/>
          <w:szCs w:val="22"/>
        </w:rPr>
        <w:t xml:space="preserve">Easy wells: baseline agent achieves MAPE &lt; 0.20 without parameter tuning</w:t>
      </w:r>
    </w:p>
    <w:p>
      <w:pPr>
        <w:pStyle w:val="ListParagraph"/>
        <w:numPr>
          <w:ilvl w:val="0"/>
          <w:numId w:val="2"/>
        </w:numPr>
        <w:spacing w:after="60" w:before="60"/>
      </w:pPr>
      <w:r>
        <w:rPr>
          <w:rFonts w:ascii="Arial" w:cs="Arial" w:eastAsia="Arial" w:hAnsi="Arial"/>
          <w:sz w:val="22"/>
          <w:szCs w:val="22"/>
        </w:rPr>
        <w:t xml:space="preserve">Medium/Hard wells: baseline agent MAPE &gt; 0.25, confirming improvement is possible</w:t>
      </w:r>
    </w:p>
    <w:p>
      <w:pPr>
        <w:spacing w:before="200"/>
      </w:pPr>
    </w:p>
    <w:p>
      <w:pPr>
        <w:pBdr>
          <w:bottom w:val="single" w:color="DDDDDD" w:sz="4"/>
        </w:pBdr>
        <w:spacing w:after="160" w:before="160"/>
      </w:pPr>
    </w:p>
    <w:p>
      <w:pPr>
        <w:pStyle w:val="Heading1"/>
        <w:spacing w:after="160" w:before="360"/>
      </w:pPr>
      <w:r>
        <w:rPr>
          <w:rFonts w:ascii="Arial" w:cs="Arial" w:eastAsia="Arial" w:hAnsi="Arial"/>
          <w:b/>
          <w:bCs/>
          <w:color w:val="1F4E79"/>
          <w:sz w:val="32"/>
          <w:szCs w:val="32"/>
        </w:rPr>
        <w:t xml:space="preserve">7. What This Unlocks</w:t>
      </w:r>
    </w:p>
    <w:p>
      <w:pPr>
        <w:spacing w:after="120" w:before="80"/>
      </w:pPr>
      <w:r>
        <w:rPr>
          <w:rFonts w:ascii="Arial" w:cs="Arial" w:eastAsia="Arial" w:hAnsi="Arial"/>
          <w:sz w:val="22"/>
          <w:szCs w:val="22"/>
        </w:rPr>
        <w:t xml:space="preserve">With this portfolio, every subsequent experiment has a controlled surface to work on:</w:t>
      </w:r>
    </w:p>
    <w:p>
      <w:pPr>
        <w:pStyle w:val="ListParagraph"/>
        <w:numPr>
          <w:ilvl w:val="0"/>
          <w:numId w:val="2"/>
        </w:numPr>
        <w:spacing w:after="60" w:before="60"/>
      </w:pPr>
      <w:r>
        <w:rPr>
          <w:rFonts w:ascii="Arial" w:cs="Arial" w:eastAsia="Arial" w:hAnsi="Arial"/>
          <w:sz w:val="22"/>
          <w:szCs w:val="22"/>
        </w:rPr>
        <w:t xml:space="preserve">Ablation rerun — run Claude vs random on easy and medium wells. Now there is actual improvement available. The flat landscape problem is solved by design.</w:t>
      </w:r>
    </w:p>
    <w:p>
      <w:pPr>
        <w:pStyle w:val="ListParagraph"/>
        <w:numPr>
          <w:ilvl w:val="0"/>
          <w:numId w:val="2"/>
        </w:numPr>
        <w:spacing w:after="60" w:before="60"/>
      </w:pPr>
      <w:r>
        <w:rPr>
          <w:rFonts w:ascii="Arial" w:cs="Arial" w:eastAsia="Arial" w:hAnsi="Arial"/>
          <w:sz w:val="22"/>
          <w:szCs w:val="22"/>
        </w:rPr>
        <w:t xml:space="preserve">Tool autonomy experiment — use hard and adversarial wells. These are the cases where standard MH genuinely cannot fit the data and a tool-writing agent has an opportunity to show what it can do.</w:t>
      </w:r>
    </w:p>
    <w:p>
      <w:pPr>
        <w:pStyle w:val="ListParagraph"/>
        <w:numPr>
          <w:ilvl w:val="0"/>
          <w:numId w:val="2"/>
        </w:numPr>
        <w:spacing w:after="60" w:before="60"/>
      </w:pPr>
      <w:r>
        <w:rPr>
          <w:rFonts w:ascii="Arial" w:cs="Arial" w:eastAsia="Arial" w:hAnsi="Arial"/>
          <w:sz w:val="22"/>
          <w:szCs w:val="22"/>
        </w:rPr>
        <w:t xml:space="preserve">Memory system — after running many agents across the portfolio, the memory should accumulate specific knowledge: 'wells with extended shut-ins need peak_merge_distance &gt;= 6' or 'refrac wells cannot be fit with single-phase MH.' That knowledge is now testable against known ground truth.</w:t>
      </w:r>
    </w:p>
    <w:p>
      <w:pPr>
        <w:pStyle w:val="ListParagraph"/>
        <w:numPr>
          <w:ilvl w:val="0"/>
          <w:numId w:val="2"/>
        </w:numPr>
        <w:spacing w:after="60" w:before="60"/>
      </w:pPr>
      <w:r>
        <w:rPr>
          <w:rFonts w:ascii="Arial" w:cs="Arial" w:eastAsia="Arial" w:hAnsi="Arial"/>
          <w:sz w:val="22"/>
          <w:szCs w:val="22"/>
        </w:rPr>
        <w:t xml:space="preserve">Parameter recovery scoring — because we have ground truth params, we can score whether the agent recovered the right b, Di, and d_min, not just whether MAPE was low. Two agents can achieve the same MAPE with completely different parameters, and now we can tell which one is right.</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6"/>
              <w:left w:val="thick" w:color="28A745" w:sz="12"/>
              <w:bottom w:val="single" w:color="28A745" w:sz="1"/>
              <w:right w:val="single" w:color="28A745" w:sz="1"/>
            </w:tcBorders>
            <w:shd w:fill="F0FFF0" w:val="clear"/>
            <w:tcMar>
              <w:top w:type="dxa" w:w="120"/>
              <w:left w:type="dxa" w:w="160"/>
              <w:bottom w:type="dxa" w:w="120"/>
              <w:right w:type="dxa" w:w="160"/>
            </w:tcMar>
          </w:tcPr>
          <w:p>
            <w:r>
              <w:rPr>
                <w:rFonts w:ascii="Arial" w:cs="Arial" w:eastAsia="Arial" w:hAnsi="Arial"/>
                <w:b/>
                <w:bCs/>
                <w:sz w:val="20"/>
                <w:szCs w:val="20"/>
              </w:rPr>
              <w:t xml:space="preserve">Build order</w:t>
            </w:r>
          </w:p>
          <w:p>
            <w:r>
              <w:rPr>
                <w:rFonts w:ascii="Arial" w:cs="Arial" w:eastAsia="Arial" w:hAnsi="Arial"/>
                <w:sz w:val="20"/>
                <w:szCs w:val="20"/>
              </w:rPr>
              <w:t xml:space="preserve">Start with SYN-01 through SYN-05 (easy tier) and validate the generator end-to-end before building harder wells. The adversarial wells (SYN-19, SYN-20) should be built last and only after the tool autonomy harness is ready — they will expose bugs in any agent that tries to fit them with standard tools.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declineswarm synthetic data spec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2026-03-13T01:42:51.673Z</dcterms:created>
  <dcterms:modified xsi:type="dcterms:W3CDTF">2026-03-13T01:42:51.675Z</dcterms:modified>
</cp:coreProperties>
</file>

<file path=docProps/custom.xml><?xml version="1.0" encoding="utf-8"?>
<Properties xmlns="http://schemas.openxmlformats.org/officeDocument/2006/custom-properties" xmlns:vt="http://schemas.openxmlformats.org/officeDocument/2006/docPropsVTypes"/>
</file>