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0A2540"/>
          <w:sz w:val="34"/>
        </w:rPr>
        <w:t>BUKU PANDUAN PRAKTIS &amp; PEDOMAN RECONNAISSANCE</w:t>
      </w:r>
    </w:p>
    <w:p>
      <w:pPr>
        <w:spacing w:before="0" w:after="280"/>
        <w:jc w:val="center"/>
      </w:pPr>
      <w:r>
        <w:rPr>
          <w:b/>
          <w:color w:val="555555"/>
          <w:sz w:val="23"/>
        </w:rPr>
        <w:t>Riset Lapangan, Bedah Tools, Alur Pengolahan Data, Batasan Hukum, dan Komparasi Utilitas</w:t>
      </w:r>
    </w:p>
    <w:p>
      <w:pPr>
        <w:spacing w:before="0" w:after="40" w:line="276" w:lineRule="auto"/>
      </w:pPr>
      <w:r>
        <w:rPr>
          <w:b/>
        </w:rPr>
        <w:t xml:space="preserve">Penyusun        : </w:t>
      </w:r>
      <w:r>
        <w:t>Mohammad Bagus Satrio (103032400099)</w:t>
      </w:r>
    </w:p>
    <w:p>
      <w:pPr>
        <w:spacing w:before="0" w:after="40" w:line="276" w:lineRule="auto"/>
      </w:pPr>
      <w:r>
        <w:rPr>
          <w:b/>
        </w:rPr>
        <w:t xml:space="preserve">Sifat Dokumen   : </w:t>
      </w:r>
      <w:r>
        <w:t>Buku Panduan / Field Handbook Riset Pribadi (Cybersecurity)</w:t>
      </w:r>
    </w:p>
    <w:p>
      <w:pPr>
        <w:spacing w:before="0" w:after="40" w:line="276" w:lineRule="auto"/>
      </w:pPr>
      <w:r>
        <w:rPr>
          <w:b/>
        </w:rPr>
        <w:t xml:space="preserve">Platform Pengujian: </w:t>
      </w:r>
      <w:r>
        <w:t>Kali Linux 2026.2 (VirtualBox) - Lab User: nanonim</w:t>
      </w:r>
    </w:p>
    <w:p>
      <w:pPr>
        <w:spacing w:before="80" w:after="200"/>
      </w:pPr>
      <w:r>
        <w:rPr>
          <w:color w:val="BBBBBB"/>
        </w:rPr>
        <w:t>――――――――――――――――――――――――――――――――――――――――――――――――――――――――――</w:t>
      </w:r>
    </w:p>
    <w:p>
      <w:pPr>
        <w:spacing w:before="360" w:after="120"/>
      </w:pPr>
      <w:r>
        <w:rPr>
          <w:b/>
          <w:color w:val="0E5A8A"/>
          <w:sz w:val="26"/>
        </w:rPr>
        <w:t>Bagian A: Metodologi Alur Kerja Reconnaissance Standar</w:t>
      </w:r>
    </w:p>
    <w:p>
      <w:pPr>
        <w:spacing w:before="0" w:after="80" w:line="276" w:lineRule="auto"/>
      </w:pPr>
      <w:r>
        <w:t>Reconnaissance (Information Gathering) adalah tahap pertama dari seluruh kerangka kerja keamanan siber (Cyber Kill Chain &amp; MITRE ATT&amp;CK - Reconnaissance TA0043). Tujuannya adalah mengumpulkan seluruh data infrastruktur target tanpa melakukan tindakan destruktif.</w:t>
      </w:r>
    </w:p>
    <w:p>
      <w:pPr>
        <w:spacing w:before="0" w:after="80" w:line="276" w:lineRule="auto"/>
      </w:pPr>
      <w:r>
        <w:t>1. Passive Reconnaissance: Mengumpulkan data publik dari basis data registrar (WHOIS), arsip sertifikat SSL, dan DNS publik tanpa menyentuh server fisik target.</w:t>
      </w:r>
    </w:p>
    <w:p>
      <w:pPr>
        <w:spacing w:before="0" w:after="80" w:line="276" w:lineRule="auto"/>
      </w:pPr>
      <w:r>
        <w:t>2. DNS &amp; Infrastructure Mapping: Mengubah nama host menjadi alamat IP, memetakan Name Server, dan melacak kepemilikan Autonomous System Number (ASN).</w:t>
      </w:r>
    </w:p>
    <w:p>
      <w:pPr>
        <w:spacing w:before="0" w:after="80" w:line="276" w:lineRule="auto"/>
      </w:pPr>
      <w:r>
        <w:t>3. Active Network Probing: Memeriksa apakah host hidup (alive) dan memindai port layanan yang terbuka secara terukur.</w:t>
      </w:r>
    </w:p>
    <w:p>
      <w:pPr>
        <w:spacing w:before="0" w:after="80" w:line="276" w:lineRule="auto"/>
      </w:pPr>
      <w:r>
        <w:t>4. Email Architecture Auditing: Membedah mekanisme autentikasi email (SPF, DKIM, DMARC) untuk mengevaluasi celah spoofing.</w:t>
      </w:r>
    </w:p>
    <w:p>
      <w:pPr>
        <w:spacing w:before="0" w:after="80" w:line="276" w:lineRule="auto"/>
      </w:pPr>
      <w:r>
        <w:t>5. Web Application Fingerprinting: Mengidentifikasi tumpukan teknologi web (CMS, plugin, server backend, headers).</w:t>
      </w:r>
    </w:p>
    <w:p>
      <w:pPr>
        <w:spacing w:before="360" w:after="120"/>
      </w:pPr>
      <w:r>
        <w:rPr>
          <w:b/>
          <w:color w:val="0E5A8A"/>
          <w:sz w:val="26"/>
        </w:rPr>
        <w:t>Modul 1: WHOIS Intelligence (`whois`)</w:t>
      </w:r>
    </w:p>
    <w:p>
      <w:pPr>
        <w:spacing w:before="200" w:after="80"/>
      </w:pPr>
      <w:r>
        <w:rPr>
          <w:b/>
          <w:color w:val="1B7EB4"/>
          <w:sz w:val="23"/>
        </w:rPr>
        <w:t>1.1. Kapan dan Mengapa Digunakan?</w:t>
      </w:r>
    </w:p>
    <w:p>
      <w:pPr>
        <w:spacing w:before="0" w:after="80" w:line="276" w:lineRule="auto"/>
      </w:pPr>
      <w:r>
        <w:t>Digunakan pada detik pertama penyelidikan untuk mengetahui identitas resmi pemilik domain, masa aktif, dan organisasi pengelola.</w:t>
      </w:r>
    </w:p>
    <w:tbl>
      <w:tblPr>
        <w:tblW w:type="auto" w:w="0"/>
        <w:jc w:val="center"/>
        <w:tblLook w:firstColumn="1" w:firstRow="1" w:lastColumn="0" w:lastRow="0" w:noHBand="0" w:noVBand="1" w:val="04A0"/>
      </w:tblPr>
      <w:tblGrid>
        <w:gridCol w:w="9360"/>
      </w:tblGrid>
      <w:tr>
        <w:tc>
          <w:tcPr>
            <w:tcW w:type="dxa" w:w="9360"/>
            <w:shd w:fill="F2F4F7"/>
            <w:tcMar>
              <w:top w:w="70" w:type="dxa"/>
              <w:bottom w:w="70" w:type="dxa"/>
              <w:left w:w="120" w:type="dxa"/>
              <w:right w:w="120" w:type="dxa"/>
            </w:tcMar>
          </w:tcPr>
          <w:p>
            <w:pPr>
              <w:spacing w:before="0" w:after="0"/>
            </w:pPr>
            <w:r>
              <w:rPr>
                <w:rFonts w:ascii="Consolas" w:hAnsi="Consolas"/>
                <w:b/>
                <w:color w:val="111827"/>
                <w:sz w:val="19"/>
              </w:rPr>
              <w:t>$ whois telkomuniversity.ac.id</w:t>
            </w:r>
          </w:p>
        </w:tc>
      </w:tr>
    </w:tbl>
    <w:p>
      <w:pPr>
        <w:spacing w:before="0" w:after="80"/>
      </w:pPr>
    </w:p>
    <w:p>
      <w:pPr>
        <w:spacing w:before="80" w:after="40"/>
        <w:jc w:val="center"/>
      </w:pPr>
      <w:r>
        <w:drawing>
          <wp:inline xmlns:a="http://schemas.openxmlformats.org/drawingml/2006/main" xmlns:pic="http://schemas.openxmlformats.org/drawingml/2006/picture">
            <wp:extent cx="5669280" cy="4798164"/>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669280" cy="4798164"/>
                    </a:xfrm>
                    <a:prstGeom prst="rect"/>
                  </pic:spPr>
                </pic:pic>
              </a:graphicData>
            </a:graphic>
          </wp:inline>
        </w:drawing>
      </w:r>
    </w:p>
    <w:p>
      <w:pPr>
        <w:spacing w:before="0" w:after="120"/>
        <w:jc w:val="center"/>
      </w:pPr>
      <w:r>
        <w:rPr>
          <w:i/>
          <w:color w:val="555555"/>
          <w:sz w:val="19"/>
        </w:rPr>
        <w:t>Screenshot 1: Hasil eksekusi query WHOIS</w:t>
      </w:r>
    </w:p>
    <w:p>
      <w:pPr>
        <w:spacing w:before="200" w:after="80"/>
      </w:pPr>
      <w:r>
        <w:rPr>
          <w:b/>
          <w:color w:val="1B7EB4"/>
          <w:sz w:val="23"/>
        </w:rPr>
        <w:t>1.2. Cara Membaca Output:</w:t>
      </w:r>
    </w:p>
    <w:p>
      <w:pPr>
        <w:spacing w:before="0" w:after="80" w:line="276" w:lineRule="auto"/>
      </w:pPr>
      <w:r>
        <w:rPr>
          <w:b/>
        </w:rPr>
        <w:t xml:space="preserve">• Registrar: </w:t>
      </w:r>
      <w:r>
        <w:t>IDCloudHost (PT Cloud Hosting Indonesia). Alamat email abuse (care@idcloudhost.co.id) adalah kontak resmi jika terjadi insiden siber pada domain.</w:t>
      </w:r>
    </w:p>
    <w:p>
      <w:pPr>
        <w:spacing w:before="0" w:after="80" w:line="276" w:lineRule="auto"/>
      </w:pPr>
      <w:r>
        <w:rPr>
          <w:b/>
        </w:rPr>
        <w:t xml:space="preserve">• Expiry Date: </w:t>
      </w:r>
      <w:r>
        <w:t>2012 s.d. 2027. Domain aktif dan aman dari risiko Domain Dropping.</w:t>
      </w:r>
    </w:p>
    <w:p>
      <w:pPr>
        <w:spacing w:before="0" w:after="80" w:line="276" w:lineRule="auto"/>
      </w:pPr>
      <w:r>
        <w:rPr>
          <w:b/>
        </w:rPr>
        <w:t xml:space="preserve">• Name Server: </w:t>
      </w:r>
      <w:r>
        <w:t>KEVIN dan MIA Cloudflare. Mengindikasikan domain menggunakan Cloudflare untuk CDN dan mitigasi DDoS.</w:t>
      </w:r>
    </w:p>
    <w:p>
      <w:pPr>
        <w:spacing w:before="0" w:after="80" w:line="276" w:lineRule="auto"/>
      </w:pPr>
      <w:r>
        <w:rPr>
          <w:b/>
        </w:rPr>
        <w:t xml:space="preserve">• DNSSEC: </w:t>
      </w:r>
      <w:r>
        <w:t>Status 'signed'. Mengindikasikan proteksi kriptografi aktif terhadap DNS Cache Poisoning.</w:t>
      </w:r>
    </w:p>
    <w:p>
      <w:pPr>
        <w:spacing w:before="360" w:after="120"/>
      </w:pPr>
      <w:r>
        <w:rPr>
          <w:b/>
          <w:color w:val="0E5A8A"/>
          <w:sz w:val="26"/>
        </w:rPr>
        <w:t>Modul 2: DNS Mapping &amp; Resolusi Alamat IP (`host` dan `dig`)</w:t>
      </w:r>
    </w:p>
    <w:p>
      <w:pPr>
        <w:spacing w:before="200" w:after="80"/>
      </w:pPr>
      <w:r>
        <w:rPr>
          <w:b/>
          <w:color w:val="1B7EB4"/>
          <w:sz w:val="23"/>
        </w:rPr>
        <w:t>2.1. Kapan dan Mengapa Digunakan?</w:t>
      </w:r>
    </w:p>
    <w:p>
      <w:pPr>
        <w:spacing w:before="0" w:after="80" w:line="276" w:lineRule="auto"/>
      </w:pPr>
      <w:r>
        <w:t>Untuk mengubah nama domain menjadi alamat IP numerik yang dapat dipindai oleh tool jaringan.</w:t>
      </w:r>
    </w:p>
    <w:tbl>
      <w:tblPr>
        <w:tblW w:type="auto" w:w="0"/>
        <w:jc w:val="center"/>
        <w:tblLook w:firstColumn="1" w:firstRow="1" w:lastColumn="0" w:lastRow="0" w:noHBand="0" w:noVBand="1" w:val="04A0"/>
      </w:tblPr>
      <w:tblGrid>
        <w:gridCol w:w="9360"/>
      </w:tblGrid>
      <w:tr>
        <w:tc>
          <w:tcPr>
            <w:tcW w:type="dxa" w:w="9360"/>
            <w:shd w:fill="F2F4F7"/>
            <w:tcMar>
              <w:top w:w="70" w:type="dxa"/>
              <w:bottom w:w="70" w:type="dxa"/>
              <w:left w:w="120" w:type="dxa"/>
              <w:right w:w="120" w:type="dxa"/>
            </w:tcMar>
          </w:tcPr>
          <w:p>
            <w:pPr>
              <w:spacing w:before="0" w:after="0"/>
            </w:pPr>
            <w:r>
              <w:rPr>
                <w:rFonts w:ascii="Consolas" w:hAnsi="Consolas"/>
                <w:b/>
                <w:color w:val="111827"/>
                <w:sz w:val="19"/>
              </w:rPr>
              <w:t>$ host mia.ns.cloudflare.com</w:t>
            </w:r>
          </w:p>
        </w:tc>
      </w:tr>
    </w:tbl>
    <w:p>
      <w:pPr>
        <w:spacing w:before="0" w:after="80"/>
      </w:pPr>
    </w:p>
    <w:p>
      <w:pPr>
        <w:spacing w:before="80" w:after="40"/>
        <w:jc w:val="center"/>
      </w:pPr>
      <w:r>
        <w:drawing>
          <wp:inline xmlns:a="http://schemas.openxmlformats.org/drawingml/2006/main" xmlns:pic="http://schemas.openxmlformats.org/drawingml/2006/picture">
            <wp:extent cx="5669280" cy="1338180"/>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669280" cy="1338180"/>
                    </a:xfrm>
                    <a:prstGeom prst="rect"/>
                  </pic:spPr>
                </pic:pic>
              </a:graphicData>
            </a:graphic>
          </wp:inline>
        </w:drawing>
      </w:r>
    </w:p>
    <w:p>
      <w:pPr>
        <w:spacing w:before="0" w:after="120"/>
        <w:jc w:val="center"/>
      </w:pPr>
      <w:r>
        <w:rPr>
          <w:i/>
          <w:color w:val="555555"/>
          <w:sz w:val="19"/>
        </w:rPr>
        <w:t>Screenshot 2: Resolusi IP name server Cloudflare</w:t>
      </w:r>
    </w:p>
    <w:p>
      <w:pPr>
        <w:spacing w:before="0" w:after="80" w:line="276" w:lineRule="auto"/>
      </w:pPr>
      <w:r>
        <w:t>Didapatkan alamat IP: 108.162.192.200, 172.64.32.200, dan 173.245.58.200. Munculnya beberapa IP untuk 1 nama host menandakan arsitektur Anycast Load Balancing.</w:t>
      </w:r>
    </w:p>
    <w:p>
      <w:pPr>
        <w:spacing w:before="360" w:after="120"/>
      </w:pPr>
      <w:r>
        <w:rPr>
          <w:b/>
          <w:color w:val="0E5A8A"/>
          <w:sz w:val="26"/>
        </w:rPr>
        <w:t>Modul 3: DNS Fingerprinting &amp; Service Detection (`nmap`)</w:t>
      </w:r>
    </w:p>
    <w:p>
      <w:pPr>
        <w:spacing w:before="200" w:after="80"/>
      </w:pPr>
      <w:r>
        <w:rPr>
          <w:b/>
          <w:color w:val="1B7EB4"/>
          <w:sz w:val="23"/>
        </w:rPr>
        <w:t>3.1. Kapan dan Mengapa Digunakan?</w:t>
      </w:r>
    </w:p>
    <w:p>
      <w:pPr>
        <w:spacing w:before="0" w:after="80" w:line="276" w:lineRule="auto"/>
      </w:pPr>
      <w:r>
        <w:t>Untuk mengidentifikasi software DNS server dan versinya pada port 53.</w:t>
      </w:r>
    </w:p>
    <w:tbl>
      <w:tblPr>
        <w:tblW w:type="auto" w:w="0"/>
        <w:jc w:val="center"/>
        <w:tblLook w:firstColumn="1" w:firstRow="1" w:lastColumn="0" w:lastRow="0" w:noHBand="0" w:noVBand="1" w:val="04A0"/>
      </w:tblPr>
      <w:tblGrid>
        <w:gridCol w:w="9360"/>
      </w:tblGrid>
      <w:tr>
        <w:tc>
          <w:tcPr>
            <w:tcW w:type="dxa" w:w="9360"/>
            <w:shd w:fill="F2F4F7"/>
            <w:tcMar>
              <w:top w:w="70" w:type="dxa"/>
              <w:bottom w:w="70" w:type="dxa"/>
              <w:left w:w="120" w:type="dxa"/>
              <w:right w:w="120" w:type="dxa"/>
            </w:tcMar>
          </w:tcPr>
          <w:p>
            <w:pPr>
              <w:spacing w:before="0" w:after="0"/>
            </w:pPr>
            <w:r>
              <w:rPr>
                <w:rFonts w:ascii="Consolas" w:hAnsi="Consolas"/>
                <w:b/>
                <w:color w:val="111827"/>
                <w:sz w:val="19"/>
              </w:rPr>
              <w:t>$ nmap -sV -sC -Pn -p 53 172.64.32.200</w:t>
            </w:r>
          </w:p>
        </w:tc>
      </w:tr>
    </w:tbl>
    <w:p>
      <w:pPr>
        <w:spacing w:before="0" w:after="80"/>
      </w:pPr>
    </w:p>
    <w:p>
      <w:pPr>
        <w:spacing w:before="80" w:after="40"/>
        <w:jc w:val="center"/>
      </w:pPr>
      <w:r>
        <w:drawing>
          <wp:inline xmlns:a="http://schemas.openxmlformats.org/drawingml/2006/main" xmlns:pic="http://schemas.openxmlformats.org/drawingml/2006/picture">
            <wp:extent cx="5669280" cy="1593580"/>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669280" cy="1593580"/>
                    </a:xfrm>
                    <a:prstGeom prst="rect"/>
                  </pic:spPr>
                </pic:pic>
              </a:graphicData>
            </a:graphic>
          </wp:inline>
        </w:drawing>
      </w:r>
    </w:p>
    <w:p>
      <w:pPr>
        <w:spacing w:before="0" w:after="120"/>
        <w:jc w:val="center"/>
      </w:pPr>
      <w:r>
        <w:rPr>
          <w:i/>
          <w:color w:val="555555"/>
          <w:sz w:val="19"/>
        </w:rPr>
        <w:t>Screenshot 3: Fingerprinting nmap pada port 53 DNS</w:t>
      </w:r>
    </w:p>
    <w:p>
      <w:pPr>
        <w:spacing w:before="200" w:after="80"/>
      </w:pPr>
      <w:r>
        <w:rPr>
          <w:b/>
          <w:color w:val="1B7EB4"/>
          <w:sz w:val="23"/>
        </w:rPr>
        <w:t>3.2. Bedah Flags Nmap:</w:t>
      </w:r>
    </w:p>
    <w:p>
      <w:pPr>
        <w:spacing w:before="0" w:after="80" w:line="276" w:lineRule="auto"/>
      </w:pPr>
      <w:r>
        <w:rPr>
          <w:b/>
        </w:rPr>
        <w:t xml:space="preserve">• -p 53: </w:t>
      </w:r>
      <w:r>
        <w:t>Targetkan port 53 saja (port standar DNS).</w:t>
      </w:r>
    </w:p>
    <w:p>
      <w:pPr>
        <w:spacing w:before="0" w:after="80" w:line="276" w:lineRule="auto"/>
      </w:pPr>
      <w:r>
        <w:rPr>
          <w:b/>
        </w:rPr>
        <w:t xml:space="preserve">• -sV: </w:t>
      </w:r>
      <w:r>
        <w:t>(Version Detection). Mengirim probe untuk membaca banner versi software.</w:t>
      </w:r>
    </w:p>
    <w:p>
      <w:pPr>
        <w:spacing w:before="0" w:after="80" w:line="276" w:lineRule="auto"/>
      </w:pPr>
      <w:r>
        <w:rPr>
          <w:b/>
        </w:rPr>
        <w:t xml:space="preserve">• -sC: </w:t>
      </w:r>
      <w:r>
        <w:t>(Script Scanning). Menjalankan script NSE default seperti dns-nsid.</w:t>
      </w:r>
    </w:p>
    <w:p>
      <w:pPr>
        <w:spacing w:before="0" w:after="80" w:line="276" w:lineRule="auto"/>
      </w:pPr>
      <w:r>
        <w:rPr>
          <w:b/>
        </w:rPr>
        <w:t xml:space="preserve">• -Pn: </w:t>
      </w:r>
      <w:r>
        <w:t>(No Ping). Melewati tahap ping ICMP agar tidak tertahan firewall.</w:t>
      </w:r>
    </w:p>
    <w:p>
      <w:pPr>
        <w:spacing w:before="0" w:after="80" w:line="276" w:lineRule="auto"/>
      </w:pPr>
      <w:r>
        <w:rPr>
          <w:b/>
        </w:rPr>
        <w:t xml:space="preserve">• Hasil Analisis: </w:t>
      </w:r>
      <w:r>
        <w:t>Software BIND versi 2026.10.2 pada node datacenter 'sin13' (Singapura Changi PoP).</w:t>
      </w:r>
    </w:p>
    <w:p>
      <w:pPr>
        <w:spacing w:before="360" w:after="120"/>
      </w:pPr>
      <w:r>
        <w:rPr>
          <w:b/>
          <w:color w:val="0E5A8A"/>
          <w:sz w:val="26"/>
        </w:rPr>
        <w:t>Modul 4: Melacak Autonomous System Number (ASN)</w:t>
      </w:r>
    </w:p>
    <w:p>
      <w:pPr>
        <w:spacing w:before="200" w:after="80"/>
      </w:pPr>
      <w:r>
        <w:rPr>
          <w:b/>
          <w:color w:val="1B7EB4"/>
          <w:sz w:val="23"/>
        </w:rPr>
        <w:t>4.1. Kapan dan Mengapa Digunakan?</w:t>
      </w:r>
    </w:p>
    <w:p>
      <w:pPr>
        <w:spacing w:before="0" w:after="80" w:line="276" w:lineRule="auto"/>
      </w:pPr>
      <w:r>
        <w:t>Untuk mengetahui kepemilikan blok IP dan jalur routing BGP internet.</w:t>
      </w:r>
    </w:p>
    <w:tbl>
      <w:tblPr>
        <w:tblW w:type="auto" w:w="0"/>
        <w:jc w:val="center"/>
        <w:tblLook w:firstColumn="1" w:firstRow="1" w:lastColumn="0" w:lastRow="0" w:noHBand="0" w:noVBand="1" w:val="04A0"/>
      </w:tblPr>
      <w:tblGrid>
        <w:gridCol w:w="9360"/>
      </w:tblGrid>
      <w:tr>
        <w:tc>
          <w:tcPr>
            <w:tcW w:type="dxa" w:w="9360"/>
            <w:shd w:fill="F2F4F7"/>
            <w:tcMar>
              <w:top w:w="70" w:type="dxa"/>
              <w:bottom w:w="70" w:type="dxa"/>
              <w:left w:w="120" w:type="dxa"/>
              <w:right w:w="120" w:type="dxa"/>
            </w:tcMar>
          </w:tcPr>
          <w:p>
            <w:pPr>
              <w:spacing w:before="0" w:after="0"/>
            </w:pPr>
            <w:r>
              <w:rPr>
                <w:rFonts w:ascii="Consolas" w:hAnsi="Consolas"/>
                <w:b/>
                <w:color w:val="111827"/>
                <w:sz w:val="19"/>
              </w:rPr>
              <w:t>$ whois -h whois.cymru.com 172.64.32.200</w:t>
            </w:r>
          </w:p>
        </w:tc>
      </w:tr>
    </w:tbl>
    <w:p>
      <w:pPr>
        <w:spacing w:before="0" w:after="80"/>
      </w:pPr>
    </w:p>
    <w:p>
      <w:pPr>
        <w:spacing w:before="80" w:after="40"/>
        <w:jc w:val="center"/>
      </w:pPr>
      <w:r>
        <w:drawing>
          <wp:inline xmlns:a="http://schemas.openxmlformats.org/drawingml/2006/main" xmlns:pic="http://schemas.openxmlformats.org/drawingml/2006/picture">
            <wp:extent cx="5669280" cy="827632"/>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669280" cy="827632"/>
                    </a:xfrm>
                    <a:prstGeom prst="rect"/>
                  </pic:spPr>
                </pic:pic>
              </a:graphicData>
            </a:graphic>
          </wp:inline>
        </w:drawing>
      </w:r>
    </w:p>
    <w:p>
      <w:pPr>
        <w:spacing w:before="0" w:after="120"/>
        <w:jc w:val="center"/>
      </w:pPr>
      <w:r>
        <w:rPr>
          <w:i/>
          <w:color w:val="555555"/>
          <w:sz w:val="19"/>
        </w:rPr>
        <w:t>Screenshot 4: Output query ASN via Team Cymru</w:t>
      </w:r>
    </w:p>
    <w:p>
      <w:pPr>
        <w:spacing w:before="0" w:after="80" w:line="276" w:lineRule="auto"/>
      </w:pPr>
      <w:r>
        <w:rPr>
          <w:b/>
        </w:rPr>
        <w:t xml:space="preserve">• Hasil: </w:t>
      </w:r>
      <w:r>
        <w:t>AS13335 (CLOUDFLARENET). Membuktikan server target berada di bawah payung infrastruktur jaringan global Cloudflare.</w:t>
      </w:r>
    </w:p>
    <w:p>
      <w:pPr>
        <w:spacing w:before="360" w:after="120"/>
      </w:pPr>
      <w:r>
        <w:rPr>
          <w:b/>
          <w:color w:val="0E5A8A"/>
          <w:sz w:val="26"/>
        </w:rPr>
        <w:t>Modul 5: Host Alive Discovery &amp; Port Scanning</w:t>
      </w:r>
    </w:p>
    <w:p>
      <w:pPr>
        <w:spacing w:before="200" w:after="80"/>
      </w:pPr>
      <w:r>
        <w:rPr>
          <w:b/>
          <w:color w:val="1B7EB4"/>
          <w:sz w:val="23"/>
        </w:rPr>
        <w:t>5.1. Resolusi IP Web Utama:</w:t>
      </w:r>
    </w:p>
    <w:tbl>
      <w:tblPr>
        <w:tblW w:type="auto" w:w="0"/>
        <w:jc w:val="center"/>
        <w:tblLook w:firstColumn="1" w:firstRow="1" w:lastColumn="0" w:lastRow="0" w:noHBand="0" w:noVBand="1" w:val="04A0"/>
      </w:tblPr>
      <w:tblGrid>
        <w:gridCol w:w="9360"/>
      </w:tblGrid>
      <w:tr>
        <w:tc>
          <w:tcPr>
            <w:tcW w:type="dxa" w:w="9360"/>
            <w:shd w:fill="F2F4F7"/>
            <w:tcMar>
              <w:top w:w="70" w:type="dxa"/>
              <w:bottom w:w="70" w:type="dxa"/>
              <w:left w:w="120" w:type="dxa"/>
              <w:right w:w="120" w:type="dxa"/>
            </w:tcMar>
          </w:tcPr>
          <w:p>
            <w:pPr>
              <w:spacing w:before="0" w:after="0"/>
            </w:pPr>
            <w:r>
              <w:rPr>
                <w:rFonts w:ascii="Consolas" w:hAnsi="Consolas"/>
                <w:b/>
                <w:color w:val="111827"/>
                <w:sz w:val="19"/>
              </w:rPr>
              <w:t>$ host telkomuniversity.ac.id</w:t>
            </w:r>
          </w:p>
        </w:tc>
      </w:tr>
    </w:tbl>
    <w:p>
      <w:pPr>
        <w:spacing w:before="0" w:after="80"/>
      </w:pPr>
    </w:p>
    <w:p>
      <w:pPr>
        <w:spacing w:before="80" w:after="40"/>
        <w:jc w:val="center"/>
      </w:pPr>
      <w:r>
        <w:drawing>
          <wp:inline xmlns:a="http://schemas.openxmlformats.org/drawingml/2006/main" xmlns:pic="http://schemas.openxmlformats.org/drawingml/2006/picture">
            <wp:extent cx="5669280" cy="727447"/>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5669280" cy="727447"/>
                    </a:xfrm>
                    <a:prstGeom prst="rect"/>
                  </pic:spPr>
                </pic:pic>
              </a:graphicData>
            </a:graphic>
          </wp:inline>
        </w:drawing>
      </w:r>
    </w:p>
    <w:p>
      <w:pPr>
        <w:spacing w:before="0" w:after="120"/>
        <w:jc w:val="center"/>
      </w:pPr>
      <w:r>
        <w:rPr>
          <w:i/>
          <w:color w:val="555555"/>
          <w:sz w:val="19"/>
        </w:rPr>
        <w:t>Screenshot 5: Resolusi IP domain web utama</w:t>
      </w:r>
    </w:p>
    <w:p>
      <w:pPr>
        <w:spacing w:before="0" w:after="80" w:line="276" w:lineRule="auto"/>
      </w:pPr>
      <w:r>
        <w:t>Didapatkan IP aktif: 104.26.12.26, 172.67.75.5, dan 104.26.13.26.</w:t>
      </w:r>
    </w:p>
    <w:p>
      <w:pPr>
        <w:spacing w:before="200" w:after="80"/>
      </w:pPr>
      <w:r>
        <w:rPr>
          <w:b/>
          <w:color w:val="1B7EB4"/>
          <w:sz w:val="23"/>
        </w:rPr>
        <w:t>5.2. Port Scanning Ringan &amp; Etis:</w:t>
      </w:r>
    </w:p>
    <w:tbl>
      <w:tblPr>
        <w:tblW w:type="auto" w:w="0"/>
        <w:jc w:val="center"/>
        <w:tblLook w:firstColumn="1" w:firstRow="1" w:lastColumn="0" w:lastRow="0" w:noHBand="0" w:noVBand="1" w:val="04A0"/>
      </w:tblPr>
      <w:tblGrid>
        <w:gridCol w:w="9360"/>
      </w:tblGrid>
      <w:tr>
        <w:tc>
          <w:tcPr>
            <w:tcW w:type="dxa" w:w="9360"/>
            <w:shd w:fill="F2F4F7"/>
            <w:tcMar>
              <w:top w:w="70" w:type="dxa"/>
              <w:bottom w:w="70" w:type="dxa"/>
              <w:left w:w="120" w:type="dxa"/>
              <w:right w:w="120" w:type="dxa"/>
            </w:tcMar>
          </w:tcPr>
          <w:p>
            <w:pPr>
              <w:spacing w:before="0" w:after="0"/>
            </w:pPr>
            <w:r>
              <w:rPr>
                <w:rFonts w:ascii="Consolas" w:hAnsi="Consolas"/>
                <w:b/>
                <w:color w:val="111827"/>
                <w:sz w:val="19"/>
              </w:rPr>
              <w:t>$ nmap -sV -Pn -p 80,443,2052,2053,2082,2083,8080,8443 104.26.12.26</w:t>
            </w:r>
          </w:p>
        </w:tc>
      </w:tr>
    </w:tbl>
    <w:p>
      <w:pPr>
        <w:spacing w:before="0" w:after="80"/>
      </w:pPr>
    </w:p>
    <w:p>
      <w:pPr>
        <w:spacing w:before="80" w:after="40"/>
        <w:jc w:val="center"/>
      </w:pPr>
      <w:r>
        <w:drawing>
          <wp:inline xmlns:a="http://schemas.openxmlformats.org/drawingml/2006/main" xmlns:pic="http://schemas.openxmlformats.org/drawingml/2006/picture">
            <wp:extent cx="5669280" cy="2197577"/>
            <wp:docPr id="6" name="Picture 6"/>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5669280" cy="2197577"/>
                    </a:xfrm>
                    <a:prstGeom prst="rect"/>
                  </pic:spPr>
                </pic:pic>
              </a:graphicData>
            </a:graphic>
          </wp:inline>
        </w:drawing>
      </w:r>
    </w:p>
    <w:p>
      <w:pPr>
        <w:spacing w:before="0" w:after="120"/>
        <w:jc w:val="center"/>
      </w:pPr>
      <w:r>
        <w:rPr>
          <w:i/>
          <w:color w:val="555555"/>
          <w:sz w:val="19"/>
        </w:rPr>
        <w:t>Screenshot 6: Output scan nmap pada IP target</w:t>
      </w:r>
    </w:p>
    <w:p>
      <w:pPr>
        <w:spacing w:before="0" w:after="80" w:line="276" w:lineRule="auto"/>
      </w:pPr>
      <w:r>
        <w:rPr>
          <w:b/>
        </w:rPr>
        <w:t xml:space="preserve">• Hasil: </w:t>
      </w:r>
      <w:r>
        <w:t>Host Alive (latensi 25ms), open ports 80, 443, 2052, 2053, 8080, 8443 (Cloudflare HTTP proxy &amp; Nginx SSL reverse proxy pada Linux).</w:t>
      </w:r>
    </w:p>
    <w:p>
      <w:pPr>
        <w:spacing w:before="360" w:after="120"/>
      </w:pPr>
      <w:r>
        <w:rPr>
          <w:b/>
          <w:color w:val="0E5A8A"/>
          <w:sz w:val="26"/>
        </w:rPr>
        <w:t>Modul 6: Analisis Keamanan Email (MX, SPF, DMARC, DKIM)</w:t>
      </w:r>
    </w:p>
    <w:p>
      <w:pPr>
        <w:spacing w:before="200" w:after="80"/>
      </w:pPr>
      <w:r>
        <w:rPr>
          <w:b/>
          <w:color w:val="1B7EB4"/>
          <w:sz w:val="23"/>
        </w:rPr>
        <w:t>6.1. Perintah Audit Keamanan Email:</w:t>
      </w:r>
    </w:p>
    <w:tbl>
      <w:tblPr>
        <w:tblW w:type="auto" w:w="0"/>
        <w:jc w:val="center"/>
        <w:tblLook w:firstColumn="1" w:firstRow="1" w:lastColumn="0" w:lastRow="0" w:noHBand="0" w:noVBand="1" w:val="04A0"/>
      </w:tblPr>
      <w:tblGrid>
        <w:gridCol w:w="9360"/>
      </w:tblGrid>
      <w:tr>
        <w:tc>
          <w:tcPr>
            <w:tcW w:type="dxa" w:w="9360"/>
            <w:shd w:fill="F2F4F7"/>
            <w:tcMar>
              <w:top w:w="70" w:type="dxa"/>
              <w:bottom w:w="70" w:type="dxa"/>
              <w:left w:w="120" w:type="dxa"/>
              <w:right w:w="120" w:type="dxa"/>
            </w:tcMar>
          </w:tcPr>
          <w:p>
            <w:pPr>
              <w:spacing w:before="0" w:after="0"/>
            </w:pPr>
            <w:r>
              <w:rPr>
                <w:rFonts w:ascii="Consolas" w:hAnsi="Consolas"/>
                <w:b/>
                <w:color w:val="111827"/>
                <w:sz w:val="19"/>
              </w:rPr>
              <w:t>$ dig MX telkomuniversity.ac.id +short</w:t>
              <w:br/>
              <w:t>dig TXT telkomuniversity.ac.id +short | grep 'v=spf1'</w:t>
              <w:br/>
              <w:t>dig TXT _dmarc.telkomuniversity.ac.id +short</w:t>
            </w:r>
          </w:p>
        </w:tc>
      </w:tr>
    </w:tbl>
    <w:p>
      <w:pPr>
        <w:spacing w:before="0" w:after="80"/>
      </w:pPr>
    </w:p>
    <w:p>
      <w:pPr>
        <w:spacing w:before="80" w:after="40"/>
        <w:jc w:val="center"/>
      </w:pPr>
      <w:r>
        <w:drawing>
          <wp:inline xmlns:a="http://schemas.openxmlformats.org/drawingml/2006/main" xmlns:pic="http://schemas.openxmlformats.org/drawingml/2006/picture">
            <wp:extent cx="5669280" cy="655264"/>
            <wp:docPr id="7" name="Picture 7"/>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5669280" cy="655264"/>
                    </a:xfrm>
                    <a:prstGeom prst="rect"/>
                  </pic:spPr>
                </pic:pic>
              </a:graphicData>
            </a:graphic>
          </wp:inline>
        </w:drawing>
      </w:r>
    </w:p>
    <w:p>
      <w:pPr>
        <w:spacing w:before="0" w:after="120"/>
        <w:jc w:val="center"/>
      </w:pPr>
      <w:r>
        <w:rPr>
          <w:i/>
          <w:color w:val="555555"/>
          <w:sz w:val="19"/>
        </w:rPr>
        <w:t>Screenshot 7: Hasil query MX, SPF, dan DMARC</w:t>
      </w:r>
    </w:p>
    <w:tbl>
      <w:tblPr>
        <w:tblW w:type="auto" w:w="0"/>
        <w:jc w:val="center"/>
        <w:tblLook w:firstColumn="1" w:firstRow="1" w:lastColumn="0" w:lastRow="0" w:noHBand="0" w:noVBand="1" w:val="04A0"/>
      </w:tblPr>
      <w:tblGrid>
        <w:gridCol w:w="9360"/>
      </w:tblGrid>
      <w:tr>
        <w:tc>
          <w:tcPr>
            <w:tcW w:type="dxa" w:w="9360"/>
            <w:shd w:fill="F2F4F7"/>
            <w:tcMar>
              <w:top w:w="70" w:type="dxa"/>
              <w:bottom w:w="70" w:type="dxa"/>
              <w:left w:w="120" w:type="dxa"/>
              <w:right w:w="120" w:type="dxa"/>
            </w:tcMar>
          </w:tcPr>
          <w:p>
            <w:pPr>
              <w:spacing w:before="0" w:after="0"/>
            </w:pPr>
            <w:r>
              <w:rPr>
                <w:rFonts w:ascii="Consolas" w:hAnsi="Consolas"/>
                <w:b/>
                <w:color w:val="111827"/>
                <w:sz w:val="19"/>
              </w:rPr>
              <w:t>$ dig CNAME selector1._domainkey.telkomuniversity.ac.id +short</w:t>
              <w:br/>
              <w:t>dig TXT selector1._domainkey.telkomuniversity.ac.id +short</w:t>
            </w:r>
          </w:p>
        </w:tc>
      </w:tr>
    </w:tbl>
    <w:p>
      <w:pPr>
        <w:spacing w:before="0" w:after="80"/>
      </w:pPr>
    </w:p>
    <w:p>
      <w:pPr>
        <w:spacing w:before="80" w:after="40"/>
        <w:jc w:val="center"/>
      </w:pPr>
      <w:r>
        <w:drawing>
          <wp:inline xmlns:a="http://schemas.openxmlformats.org/drawingml/2006/main" xmlns:pic="http://schemas.openxmlformats.org/drawingml/2006/picture">
            <wp:extent cx="5669280" cy="515662"/>
            <wp:docPr id="8" name="Picture 8"/>
            <wp:cNvGraphicFramePr>
              <a:graphicFrameLocks noChangeAspect="1"/>
            </wp:cNvGraphicFramePr>
            <a:graphic>
              <a:graphicData uri="http://schemas.openxmlformats.org/drawingml/2006/picture">
                <pic:pic>
                  <pic:nvPicPr>
                    <pic:cNvPr id="0" name="image8.png"/>
                    <pic:cNvPicPr/>
                  </pic:nvPicPr>
                  <pic:blipFill>
                    <a:blip r:embed="rId16"/>
                    <a:stretch>
                      <a:fillRect/>
                    </a:stretch>
                  </pic:blipFill>
                  <pic:spPr>
                    <a:xfrm>
                      <a:off x="0" y="0"/>
                      <a:ext cx="5669280" cy="515662"/>
                    </a:xfrm>
                    <a:prstGeom prst="rect"/>
                  </pic:spPr>
                </pic:pic>
              </a:graphicData>
            </a:graphic>
          </wp:inline>
        </w:drawing>
      </w:r>
    </w:p>
    <w:p>
      <w:pPr>
        <w:spacing w:before="0" w:after="120"/>
        <w:jc w:val="center"/>
      </w:pPr>
      <w:r>
        <w:rPr>
          <w:i/>
          <w:color w:val="555555"/>
          <w:sz w:val="19"/>
        </w:rPr>
        <w:t>Screenshot 8: Hasil query DKIM Selector</w:t>
      </w:r>
    </w:p>
    <w:p>
      <w:pPr>
        <w:spacing w:before="200" w:after="80"/>
      </w:pPr>
      <w:r>
        <w:rPr>
          <w:b/>
          <w:color w:val="1B7EB4"/>
          <w:sz w:val="23"/>
        </w:rPr>
        <w:t>6.2. Evaluasi Parameter Keamanan Email:</w:t>
      </w:r>
    </w:p>
    <w:p>
      <w:pPr>
        <w:spacing w:before="0" w:after="80" w:line="276" w:lineRule="auto"/>
      </w:pPr>
      <w:r>
        <w:rPr>
          <w:b/>
        </w:rPr>
        <w:t xml:space="preserve">• MX Cluster: </w:t>
      </w:r>
      <w:r>
        <w:t>Microsoft 365 Exchange Online Protection.</w:t>
      </w:r>
    </w:p>
    <w:p>
      <w:pPr>
        <w:spacing w:before="0" w:after="80" w:line="276" w:lineRule="auto"/>
      </w:pPr>
      <w:r>
        <w:rPr>
          <w:b/>
        </w:rPr>
        <w:t xml:space="preserve">• SPF: </w:t>
      </w:r>
      <w:r>
        <w:t>include:mailgun.org include:bmsend.com include:spf.protection.outlook.com -all. Kebijakan ketat Hard Fail (-all): email dari luar daftar ini wajib ditolak server penerima.</w:t>
      </w:r>
    </w:p>
    <w:p>
      <w:pPr>
        <w:spacing w:before="0" w:after="80" w:line="276" w:lineRule="auto"/>
      </w:pPr>
      <w:r>
        <w:rPr>
          <w:b/>
        </w:rPr>
        <w:t xml:space="preserve">• DMARC: </w:t>
      </w:r>
      <w:r>
        <w:t>p=quarantine. Email gagal autentikasi diarahkan ke folder spam.</w:t>
      </w:r>
    </w:p>
    <w:p>
      <w:pPr>
        <w:spacing w:before="0" w:after="80" w:line="276" w:lineRule="auto"/>
      </w:pPr>
      <w:r>
        <w:rPr>
          <w:b/>
        </w:rPr>
        <w:t xml:space="preserve">• DKIM: </w:t>
      </w:r>
      <w:r>
        <w:t>Kunci publik RSA 1024-bit yang didelegasikan ke tenant Microsoft kampus.</w:t>
      </w:r>
    </w:p>
    <w:p>
      <w:pPr>
        <w:spacing w:before="360" w:after="120"/>
      </w:pPr>
      <w:r>
        <w:rPr>
          <w:b/>
          <w:color w:val="0E5A8A"/>
          <w:sz w:val="26"/>
        </w:rPr>
        <w:t>Modul 7: Subdomain Enumeration &amp; Web Fingerprinting</w:t>
      </w:r>
    </w:p>
    <w:p>
      <w:pPr>
        <w:spacing w:before="200" w:after="80"/>
      </w:pPr>
      <w:r>
        <w:rPr>
          <w:b/>
          <w:color w:val="1B7EB4"/>
          <w:sz w:val="23"/>
        </w:rPr>
        <w:t>7.1. Pencarian Subdomain Pasif (`subfinder`):</w:t>
      </w:r>
    </w:p>
    <w:tbl>
      <w:tblPr>
        <w:tblW w:type="auto" w:w="0"/>
        <w:jc w:val="center"/>
        <w:tblLook w:firstColumn="1" w:firstRow="1" w:lastColumn="0" w:lastRow="0" w:noHBand="0" w:noVBand="1" w:val="04A0"/>
      </w:tblPr>
      <w:tblGrid>
        <w:gridCol w:w="9360"/>
      </w:tblGrid>
      <w:tr>
        <w:tc>
          <w:tcPr>
            <w:tcW w:type="dxa" w:w="9360"/>
            <w:shd w:fill="F2F4F7"/>
            <w:tcMar>
              <w:top w:w="70" w:type="dxa"/>
              <w:bottom w:w="70" w:type="dxa"/>
              <w:left w:w="120" w:type="dxa"/>
              <w:right w:w="120" w:type="dxa"/>
            </w:tcMar>
          </w:tcPr>
          <w:p>
            <w:pPr>
              <w:spacing w:before="0" w:after="0"/>
            </w:pPr>
            <w:r>
              <w:rPr>
                <w:rFonts w:ascii="Consolas" w:hAnsi="Consolas"/>
                <w:b/>
                <w:color w:val="111827"/>
                <w:sz w:val="19"/>
              </w:rPr>
              <w:t>$ subfinder -d telkomuniversity.ac.id -silent -o alldomaintelyu.txt</w:t>
            </w:r>
          </w:p>
        </w:tc>
      </w:tr>
    </w:tbl>
    <w:p>
      <w:pPr>
        <w:spacing w:before="0" w:after="80"/>
      </w:pPr>
    </w:p>
    <w:p>
      <w:pPr>
        <w:spacing w:before="0" w:after="80" w:line="276" w:lineRule="auto"/>
      </w:pPr>
      <w:r>
        <w:t>Menghasilkan daftar subdomain dari Certificate Transparency logs.</w:t>
      </w:r>
    </w:p>
    <w:p>
      <w:pPr>
        <w:spacing w:before="200" w:after="80"/>
      </w:pPr>
      <w:r>
        <w:rPr>
          <w:b/>
          <w:color w:val="1B7EB4"/>
          <w:sz w:val="23"/>
        </w:rPr>
        <w:t>7.2. Fingerprinting Subdomain 1 (bpd-pwt.telkomuniversity.ac.id):</w:t>
      </w:r>
    </w:p>
    <w:tbl>
      <w:tblPr>
        <w:tblW w:type="auto" w:w="0"/>
        <w:jc w:val="center"/>
        <w:tblLook w:firstColumn="1" w:firstRow="1" w:lastColumn="0" w:lastRow="0" w:noHBand="0" w:noVBand="1" w:val="04A0"/>
      </w:tblPr>
      <w:tblGrid>
        <w:gridCol w:w="9360"/>
      </w:tblGrid>
      <w:tr>
        <w:tc>
          <w:tcPr>
            <w:tcW w:type="dxa" w:w="9360"/>
            <w:shd w:fill="F2F4F7"/>
            <w:tcMar>
              <w:top w:w="70" w:type="dxa"/>
              <w:bottom w:w="70" w:type="dxa"/>
              <w:left w:w="120" w:type="dxa"/>
              <w:right w:w="120" w:type="dxa"/>
            </w:tcMar>
          </w:tcPr>
          <w:p>
            <w:pPr>
              <w:spacing w:before="0" w:after="0"/>
            </w:pPr>
            <w:r>
              <w:rPr>
                <w:rFonts w:ascii="Consolas" w:hAnsi="Consolas"/>
                <w:b/>
                <w:color w:val="111827"/>
                <w:sz w:val="19"/>
              </w:rPr>
              <w:t>$ whatweb https://bpd-pwt.telkomuniversity.ac.id</w:t>
            </w:r>
          </w:p>
        </w:tc>
      </w:tr>
    </w:tbl>
    <w:p>
      <w:pPr>
        <w:spacing w:before="0" w:after="80"/>
      </w:pPr>
    </w:p>
    <w:p>
      <w:pPr>
        <w:spacing w:before="80" w:after="40"/>
        <w:jc w:val="center"/>
      </w:pPr>
      <w:r>
        <w:drawing>
          <wp:inline xmlns:a="http://schemas.openxmlformats.org/drawingml/2006/main" xmlns:pic="http://schemas.openxmlformats.org/drawingml/2006/picture">
            <wp:extent cx="5669280" cy="734130"/>
            <wp:docPr id="9" name="Picture 9"/>
            <wp:cNvGraphicFramePr>
              <a:graphicFrameLocks noChangeAspect="1"/>
            </wp:cNvGraphicFramePr>
            <a:graphic>
              <a:graphicData uri="http://schemas.openxmlformats.org/drawingml/2006/picture">
                <pic:pic>
                  <pic:nvPicPr>
                    <pic:cNvPr id="0" name="image9.png"/>
                    <pic:cNvPicPr/>
                  </pic:nvPicPr>
                  <pic:blipFill>
                    <a:blip r:embed="rId17"/>
                    <a:stretch>
                      <a:fillRect/>
                    </a:stretch>
                  </pic:blipFill>
                  <pic:spPr>
                    <a:xfrm>
                      <a:off x="0" y="0"/>
                      <a:ext cx="5669280" cy="734130"/>
                    </a:xfrm>
                    <a:prstGeom prst="rect"/>
                  </pic:spPr>
                </pic:pic>
              </a:graphicData>
            </a:graphic>
          </wp:inline>
        </w:drawing>
      </w:r>
    </w:p>
    <w:p>
      <w:pPr>
        <w:spacing w:before="0" w:after="120"/>
        <w:jc w:val="center"/>
      </w:pPr>
      <w:r>
        <w:rPr>
          <w:i/>
          <w:color w:val="555555"/>
          <w:sz w:val="19"/>
        </w:rPr>
        <w:t>Screenshot 9: Hasil whatweb pada subdomain bpd-pwt</w:t>
      </w:r>
    </w:p>
    <w:p>
      <w:pPr>
        <w:spacing w:before="0" w:after="80" w:line="276" w:lineRule="auto"/>
      </w:pPr>
      <w:r>
        <w:rPr>
          <w:b/>
        </w:rPr>
        <w:t xml:space="preserve">• Temuan: </w:t>
      </w:r>
      <w:r>
        <w:t>200 OK, CMS WordPress, backend LiteSpeed Cache, PHP Linux (bocoran path /www/wwwroot/...), plugin Elementor 4.3.5, Slider Revolution, WPBakery, Redux, WP File Manager. Security: HSTS, X-Frame-Options: SAMEORIGIN, X-XSS-Protection.</w:t>
      </w:r>
    </w:p>
    <w:p>
      <w:pPr>
        <w:spacing w:before="200" w:after="80"/>
      </w:pPr>
      <w:r>
        <w:rPr>
          <w:b/>
          <w:color w:val="1B7EB4"/>
          <w:sz w:val="23"/>
        </w:rPr>
        <w:t>7.3. Fingerprinting Subdomain 2 (io-admission.telkomuniversity.ac.id):</w:t>
      </w:r>
    </w:p>
    <w:tbl>
      <w:tblPr>
        <w:tblW w:type="auto" w:w="0"/>
        <w:jc w:val="center"/>
        <w:tblLook w:firstColumn="1" w:firstRow="1" w:lastColumn="0" w:lastRow="0" w:noHBand="0" w:noVBand="1" w:val="04A0"/>
      </w:tblPr>
      <w:tblGrid>
        <w:gridCol w:w="9360"/>
      </w:tblGrid>
      <w:tr>
        <w:tc>
          <w:tcPr>
            <w:tcW w:type="dxa" w:w="9360"/>
            <w:shd w:fill="F2F4F7"/>
            <w:tcMar>
              <w:top w:w="70" w:type="dxa"/>
              <w:bottom w:w="70" w:type="dxa"/>
              <w:left w:w="120" w:type="dxa"/>
              <w:right w:w="120" w:type="dxa"/>
            </w:tcMar>
          </w:tcPr>
          <w:p>
            <w:pPr>
              <w:spacing w:before="0" w:after="0"/>
            </w:pPr>
            <w:r>
              <w:rPr>
                <w:rFonts w:ascii="Consolas" w:hAnsi="Consolas"/>
                <w:b/>
                <w:color w:val="111827"/>
                <w:sz w:val="19"/>
              </w:rPr>
              <w:t>$ whatweb https://io-admission.telkomuniversity.ac.id</w:t>
            </w:r>
          </w:p>
        </w:tc>
      </w:tr>
    </w:tbl>
    <w:p>
      <w:pPr>
        <w:spacing w:before="0" w:after="80"/>
      </w:pPr>
    </w:p>
    <w:p>
      <w:pPr>
        <w:spacing w:before="80" w:after="40"/>
        <w:jc w:val="center"/>
      </w:pPr>
      <w:r>
        <w:drawing>
          <wp:inline xmlns:a="http://schemas.openxmlformats.org/drawingml/2006/main" xmlns:pic="http://schemas.openxmlformats.org/drawingml/2006/picture">
            <wp:extent cx="5669280" cy="343257"/>
            <wp:docPr id="10" name="Picture 10"/>
            <wp:cNvGraphicFramePr>
              <a:graphicFrameLocks noChangeAspect="1"/>
            </wp:cNvGraphicFramePr>
            <a:graphic>
              <a:graphicData uri="http://schemas.openxmlformats.org/drawingml/2006/picture">
                <pic:pic>
                  <pic:nvPicPr>
                    <pic:cNvPr id="0" name="image10.png"/>
                    <pic:cNvPicPr/>
                  </pic:nvPicPr>
                  <pic:blipFill>
                    <a:blip r:embed="rId18"/>
                    <a:stretch>
                      <a:fillRect/>
                    </a:stretch>
                  </pic:blipFill>
                  <pic:spPr>
                    <a:xfrm>
                      <a:off x="0" y="0"/>
                      <a:ext cx="5669280" cy="343257"/>
                    </a:xfrm>
                    <a:prstGeom prst="rect"/>
                  </pic:spPr>
                </pic:pic>
              </a:graphicData>
            </a:graphic>
          </wp:inline>
        </w:drawing>
      </w:r>
    </w:p>
    <w:p>
      <w:pPr>
        <w:spacing w:before="0" w:after="120"/>
        <w:jc w:val="center"/>
      </w:pPr>
      <w:r>
        <w:rPr>
          <w:i/>
          <w:color w:val="555555"/>
          <w:sz w:val="19"/>
        </w:rPr>
        <w:t>Screenshot 10: Hasil whatweb pada subdomain io-admission</w:t>
      </w:r>
    </w:p>
    <w:p>
      <w:pPr>
        <w:spacing w:before="0" w:after="80" w:line="276" w:lineRule="auto"/>
      </w:pPr>
      <w:r>
        <w:rPr>
          <w:b/>
        </w:rPr>
        <w:t xml:space="preserve">• Temuan: </w:t>
      </w:r>
      <w:r>
        <w:t>403 Forbidden. Akses ditolak oleh aturan Cloudflare WAF / Access Policy. Security: Content-Security-Policy (CSP), HSTS, X-Frame-Options.</w:t>
      </w:r>
    </w:p>
    <w:p>
      <w:pPr>
        <w:spacing w:before="360" w:after="120"/>
      </w:pPr>
      <w:r>
        <w:rPr>
          <w:b/>
          <w:color w:val="0E5A8A"/>
          <w:sz w:val="26"/>
        </w:rPr>
        <w:t>Bagian B: Pemanfaatan Data Reconnaissance (Threat Modeling &amp; Defensive Remediation)</w:t>
      </w:r>
    </w:p>
    <w:p>
      <w:pPr>
        <w:spacing w:before="0" w:after="80" w:line="276" w:lineRule="auto"/>
      </w:pPr>
      <w:r>
        <w:t>Data reconnaissance yang telah kita kumpulkan bukan sekadar deretan teks mentah. Bagi tim keamanan, data ini diolah menjadi wawasan strategis:</w:t>
      </w:r>
    </w:p>
    <w:p>
      <w:pPr>
        <w:spacing w:before="200" w:after="80"/>
      </w:pPr>
      <w:r>
        <w:rPr>
          <w:b/>
          <w:color w:val="1B7EB4"/>
          <w:sz w:val="23"/>
        </w:rPr>
        <w:t>1. Pengolahan Data Subdomain &amp; Teknologi Web:</w:t>
      </w:r>
    </w:p>
    <w:p>
      <w:pPr>
        <w:spacing w:before="0" w:after="80" w:line="276" w:lineRule="auto"/>
      </w:pPr>
      <w:r>
        <w:rPr>
          <w:b/>
        </w:rPr>
        <w:t xml:space="preserve">• Asset Inventory &amp; CVE Mapping: </w:t>
      </w:r>
      <w:r>
        <w:t>Setiap subdomain yang ditemukan dipisahkan berdasarkan tujuannya: web portal publik, aplikasi pendaftaran, atau panel login. Dari versi plugin yang terdeteksi (misal Elementor 4.3.5 atau WP File Manager), tim keamanan mencocokkannya ke database CVE (Common Vulnerabilities and Exposures) untuk memastikan tidak ada celah keamanan publik yang belum ditambal.</w:t>
      </w:r>
    </w:p>
    <w:p>
      <w:pPr>
        <w:spacing w:before="0" w:after="80" w:line="276" w:lineRule="auto"/>
      </w:pPr>
      <w:r>
        <w:rPr>
          <w:b/>
        </w:rPr>
        <w:t xml:space="preserve">• Remediasi Path Disclosure: </w:t>
      </w:r>
      <w:r>
        <w:t>Ketika WhatWeb menemukan path server seperti /www/wwwroot/bpd-pwt..., tim administrator harus mengonfigurasi PHP display_errors = Off agar informasi arsitektur direktori internal server tidak bocor ke publik.</w:t>
      </w:r>
    </w:p>
    <w:p>
      <w:pPr>
        <w:spacing w:before="200" w:after="80"/>
      </w:pPr>
      <w:r>
        <w:rPr>
          <w:b/>
          <w:color w:val="1B7EB4"/>
          <w:sz w:val="23"/>
        </w:rPr>
        <w:t>2. Pengolahan Data Email Security:</w:t>
      </w:r>
    </w:p>
    <w:p>
      <w:pPr>
        <w:spacing w:before="0" w:after="80" w:line="276" w:lineRule="auto"/>
      </w:pPr>
      <w:r>
        <w:rPr>
          <w:b/>
        </w:rPr>
        <w:t xml:space="preserve">• Anti-Spoofing Hardening: </w:t>
      </w:r>
      <w:r>
        <w:t>Data SPF, DKIM, dan DMARC dievaluasi untuk mencegah serangan Business Email Compromise (BEC) dan phishing mahasiswa. Konfigurasi '-all' (Hard Fail) dan 'p=quarantine' membuktikan bahwa domain terlindungi secara optimal.</w:t>
      </w:r>
    </w:p>
    <w:p>
      <w:pPr>
        <w:spacing w:before="200" w:after="80"/>
      </w:pPr>
      <w:r>
        <w:rPr>
          <w:b/>
          <w:color w:val="1B7EB4"/>
          <w:sz w:val="23"/>
        </w:rPr>
        <w:t>3. Pengolahan Data Port &amp; Jaringan:</w:t>
      </w:r>
    </w:p>
    <w:p>
      <w:pPr>
        <w:spacing w:before="0" w:after="80" w:line="276" w:lineRule="auto"/>
      </w:pPr>
      <w:r>
        <w:rPr>
          <w:b/>
        </w:rPr>
        <w:t xml:space="preserve">• Attack Surface Reduction: </w:t>
      </w:r>
      <w:r>
        <w:t>Daftar open port (80, 443, 2052, 2053, dll.) diperiksa apakah ada port administrasi atau database (seperti port 3306 MySQL atau 22 SSH) yang tidak sengaja terbuka ke internet publik.</w:t>
      </w:r>
    </w:p>
    <w:p>
      <w:pPr>
        <w:spacing w:before="360" w:after="120"/>
      </w:pPr>
      <w:r>
        <w:rPr>
          <w:b/>
          <w:color w:val="0E5A8A"/>
          <w:sz w:val="26"/>
        </w:rPr>
        <w:t>Bagian C: Garis Batas Hukum — Kapan Pengolahan Data Berubah Menjadi ILEGAL?</w:t>
      </w:r>
    </w:p>
    <w:tbl>
      <w:tblPr>
        <w:tblW w:type="auto" w:w="0"/>
        <w:jc w:val="center"/>
        <w:tblLook w:firstColumn="1" w:firstRow="1" w:lastColumn="0" w:lastRow="0" w:noHBand="0" w:noVBand="1" w:val="04A0"/>
      </w:tblPr>
      <w:tblGrid>
        <w:gridCol w:w="9360"/>
      </w:tblGrid>
      <w:tr>
        <w:tc>
          <w:tcPr>
            <w:tcW w:type="dxa" w:w="9360"/>
            <w:shd w:fill="FDF2F2"/>
            <w:tcMar>
              <w:top w:w="80" w:type="dxa"/>
              <w:bottom w:w="80" w:type="dxa"/>
              <w:left w:w="140" w:type="dxa"/>
              <w:right w:w="140" w:type="dxa"/>
            </w:tcMar>
          </w:tcPr>
          <w:p>
            <w:pPr>
              <w:spacing w:before="0" w:after="0" w:line="276" w:lineRule="auto"/>
            </w:pPr>
            <w:r>
              <w:rPr>
                <w:b/>
                <w:color w:val="B91C1C"/>
                <w:sz w:val="20"/>
              </w:rPr>
              <w:t xml:space="preserve">⚠️ PRINSIP UTAMA: </w:t>
            </w:r>
            <w:r>
              <w:rPr>
                <w:color w:val="450A0A"/>
                <w:sz w:val="20"/>
              </w:rPr>
              <w:t>Di dunia cybersecurity, pembeda antara seorang Profesional Keamanan (White Hat / Security Analyst) dan seorang Penjahat Siber (Black Hat) HANYA SATU: IZIN TERTULIS (Authorization / Scope). Memahami garis batas hukum ini mutlak agar Anda tidak berhadapan dengan pasal pidana.</w:t>
            </w:r>
          </w:p>
        </w:tc>
      </w:tr>
    </w:tbl>
    <w:p>
      <w:pPr>
        <w:spacing w:before="0" w:after="80"/>
      </w:pPr>
    </w:p>
    <w:p>
      <w:pPr>
        <w:spacing w:before="200" w:after="80"/>
      </w:pPr>
      <w:r>
        <w:rPr>
          <w:b/>
          <w:color w:val="1B7EB4"/>
          <w:sz w:val="23"/>
        </w:rPr>
        <w:t>1. Titik Kritis Perubahan Status (The Boundary Line):</w:t>
      </w:r>
    </w:p>
    <w:p>
      <w:pPr>
        <w:spacing w:before="0" w:after="80" w:line="276" w:lineRule="auto"/>
      </w:pPr>
      <w:r>
        <w:rPr>
          <w:b/>
        </w:rPr>
        <w:t xml:space="preserve">• RECONNAISSANCE PASIF (LEGAL): </w:t>
      </w:r>
      <w:r>
        <w:t>Tahap yang Anda lakukan sekarang (membaca respon publik WHOIS, query DNS, melihat header HTTP, memindai port secara ringan) adalah pengumpulan data publik.</w:t>
      </w:r>
    </w:p>
    <w:p>
      <w:pPr>
        <w:spacing w:before="0" w:after="80" w:line="276" w:lineRule="auto"/>
      </w:pPr>
      <w:r>
        <w:rPr>
          <w:b/>
        </w:rPr>
        <w:t xml:space="preserve">• EKSPLOITASI / PENETRASI TANPA IZIN (ILEGAL): </w:t>
      </w:r>
      <w:r>
        <w:t>Aktivitas Anda berubah menjadi TINDAK PIDANA (ILEGAL) begitu Anda mengirim paket data yang dirancang untuk MENEROBOS SISTEM PENGAMANAN, MEMODIFIKASI LOGIKA APLIKASI, MENGAKSES DATA PRIVAT, atau MENGGANGGU LAYANAN.</w:t>
      </w:r>
    </w:p>
    <w:p>
      <w:pPr>
        <w:spacing w:before="200" w:after="80"/>
      </w:pPr>
      <w:r>
        <w:rPr>
          <w:b/>
          <w:color w:val="1B7EB4"/>
          <w:sz w:val="23"/>
        </w:rPr>
        <w:t>2. Empat Studi Kasus Transisi dari Legal ke Ilegal:</w:t>
      </w:r>
    </w:p>
    <w:p>
      <w:pPr>
        <w:spacing w:before="0" w:after="80" w:line="276" w:lineRule="auto"/>
      </w:pPr>
      <w:r>
        <w:rPr>
          <w:b/>
        </w:rPr>
        <w:t>Kasus 1: Subdomain Discovery vs SQL Injection (SQLi)</w:t>
        <w:br/>
        <w:t xml:space="preserve">• Fase Legal (Recon): </w:t>
      </w:r>
      <w:r>
        <w:t>Seorang analis menemukan subdomain portal pendaftaran menggunakan parameter URL seperti: 'https://subdomain.target.ac.id/detail.php?id=10'.</w:t>
      </w:r>
    </w:p>
    <w:p>
      <w:pPr>
        <w:spacing w:before="0" w:after="80" w:line="276" w:lineRule="auto"/>
      </w:pPr>
      <w:r>
        <w:rPr>
          <w:b/>
        </w:rPr>
        <w:t xml:space="preserve">• Titik Berubah Ilegal: </w:t>
      </w:r>
      <w:r>
        <w:t>Analis tersebut memasukkan tanda petik tunggal (') atau payload seperti '' OR '1'='1' atau menjalankan tool otomatis 'sqlmap -u ... --dbs' untuk membongkar database pengguna tanpa izin tertulis dari kampus.</w:t>
      </w:r>
    </w:p>
    <w:p>
      <w:pPr>
        <w:spacing w:before="0" w:after="80" w:line="276" w:lineRule="auto"/>
      </w:pPr>
      <w:r>
        <w:rPr>
          <w:b/>
        </w:rPr>
        <w:t xml:space="preserve">• Jerat Hukum: </w:t>
      </w:r>
      <w:r>
        <w:t>Melanggar Pasal 30 ayat (1) dan ayat (3) UU ITE No. 1 Tahun 2024 (Mengakses sistem elektronik orang lain dengan cara melanggar atau menerobos sistem pengamanan) dengan ancaman hukuman penjara hingga 8 tahun dan denda miliaran rupiah.</w:t>
      </w:r>
    </w:p>
    <w:p>
      <w:pPr>
        <w:spacing w:before="0" w:after="80" w:line="276" w:lineRule="auto"/>
      </w:pPr>
      <w:r>
        <w:rPr>
          <w:b/>
        </w:rPr>
        <w:t>Kasus 2: Port Scanning vs Brute-Force Authentication</w:t>
        <w:br/>
        <w:t xml:space="preserve">• Fase Legal (Recon): </w:t>
      </w:r>
      <w:r>
        <w:t>Nmap mendeteksi port 22 (SSH) atau port 2083 (cPanel) terbuka pada server.</w:t>
      </w:r>
    </w:p>
    <w:p>
      <w:pPr>
        <w:spacing w:before="0" w:after="80" w:line="276" w:lineRule="auto"/>
      </w:pPr>
      <w:r>
        <w:rPr>
          <w:b/>
        </w:rPr>
        <w:t xml:space="preserve">• Titik Berubah Ilegal: </w:t>
      </w:r>
      <w:r>
        <w:t>Analis menjalankan tool seperti 'hydra' atau 'medusa' dengan wordlist ribuan password untuk menebak kredensial login admin secara paksa.</w:t>
      </w:r>
    </w:p>
    <w:p>
      <w:pPr>
        <w:spacing w:before="0" w:after="80" w:line="276" w:lineRule="auto"/>
      </w:pPr>
      <w:r>
        <w:rPr>
          <w:b/>
        </w:rPr>
        <w:t xml:space="preserve">• Jerat Hukum: </w:t>
      </w:r>
      <w:r>
        <w:t>Melanggar Pasal 30 ayat (3) UU ITE (Menerobos pengamanan) dan Pasal 33 UU ITE (Menimbulkan gangguan sistem akibat banjir traffic autentikasi).</w:t>
      </w:r>
    </w:p>
    <w:p>
      <w:pPr>
        <w:spacing w:before="0" w:after="80" w:line="276" w:lineRule="auto"/>
      </w:pPr>
      <w:r>
        <w:rPr>
          <w:b/>
        </w:rPr>
        <w:t>Kasus 3: Stale DNS Discovery vs Subdomain Takeover</w:t>
        <w:br/>
        <w:t xml:space="preserve">• Fase Legal (Recon): </w:t>
      </w:r>
      <w:r>
        <w:t>Subfinder menemukan subdomain lama yang tidak aktif (misal 'blog-event.kampus.ac.id') yang memiliki record CNAME mengarah ke layanan cloud luar (misal GitHub Pages atau AWS S3) yang sudah dihapus pemilik aslinya.</w:t>
      </w:r>
    </w:p>
    <w:p>
      <w:pPr>
        <w:spacing w:before="0" w:after="80" w:line="276" w:lineRule="auto"/>
      </w:pPr>
      <w:r>
        <w:rPr>
          <w:b/>
        </w:rPr>
        <w:t xml:space="preserve">• Titik Berubah Ilegal: </w:t>
      </w:r>
      <w:r>
        <w:t>Analis sengaja mendaftarkan nama bucket/repo tersebut di AWS/GitHub untuk mengambil alih subdomain kampus, lalu memasang halaman palsu (deface) atau skrip pencuri password.</w:t>
      </w:r>
    </w:p>
    <w:p>
      <w:pPr>
        <w:spacing w:before="0" w:after="80" w:line="276" w:lineRule="auto"/>
      </w:pPr>
      <w:r>
        <w:rPr>
          <w:b/>
        </w:rPr>
        <w:t xml:space="preserve">• Jerat Hukum: </w:t>
      </w:r>
      <w:r>
        <w:t>Melanggar Pasal 32 UU ITE (Pengubahan atau perusakan informasi elektronik milik orang lain) dan Pasal 35 UU ITE (Manipulasi dokumen elektronik).</w:t>
      </w:r>
    </w:p>
    <w:p>
      <w:pPr>
        <w:spacing w:before="0" w:after="80" w:line="276" w:lineRule="auto"/>
      </w:pPr>
      <w:r>
        <w:rPr>
          <w:b/>
        </w:rPr>
        <w:t>Kasus 4: Email Security Audit vs Email Spoofing / Phishing</w:t>
        <w:br/>
        <w:t xml:space="preserve">• Fase Legal (Recon): </w:t>
      </w:r>
      <w:r>
        <w:t>Melihat bahwa suatu domain memiliki record SPF '~all' (Soft Fail) atau DMARC 'p=none', artinya proteksi domain masih lemah.</w:t>
      </w:r>
    </w:p>
    <w:p>
      <w:pPr>
        <w:spacing w:before="0" w:after="80" w:line="276" w:lineRule="auto"/>
      </w:pPr>
      <w:r>
        <w:rPr>
          <w:b/>
        </w:rPr>
        <w:t xml:space="preserve">• Titik Berubah Ilegal: </w:t>
      </w:r>
      <w:r>
        <w:t>Memanfaatkan celah SPF tersebut untuk membuat skrip SMTP pengirim email palsu mengatasnamakan Dekan atau Rektor untuk meminta uang atau mencuri akun mahasiswa.</w:t>
      </w:r>
    </w:p>
    <w:p>
      <w:pPr>
        <w:spacing w:before="0" w:after="80" w:line="276" w:lineRule="auto"/>
      </w:pPr>
      <w:r>
        <w:rPr>
          <w:b/>
        </w:rPr>
        <w:t xml:space="preserve">• Jerat Hukum: </w:t>
      </w:r>
      <w:r>
        <w:t>Melanggar Pasal 35 UU ITE (Pemalsuan Dokumen Elektronik) juncto Pasal 378 KUHP (Penipuan).</w:t>
      </w:r>
    </w:p>
    <w:p>
      <w:pPr>
        <w:spacing w:before="360" w:after="120"/>
      </w:pPr>
      <w:r>
        <w:rPr>
          <w:b/>
          <w:color w:val="0E5A8A"/>
          <w:sz w:val="26"/>
        </w:rPr>
        <w:t>Bagian D: Komparasi Perintah Serupa dengan Fungsi &amp; Karakteristik Berbeda</w:t>
      </w:r>
    </w:p>
    <w:p>
      <w:pPr>
        <w:spacing w:before="0" w:after="80" w:line="276" w:lineRule="auto"/>
      </w:pPr>
      <w:r>
        <w:t>Di dunia keamanan siber, seringkali terdapat beberapa tool yang tampak mengerjakan hal yang sama, namun memiliki arsitektur dan tujuan operasional yang sangat berbeda:</w:t>
      </w:r>
    </w:p>
    <w:tbl>
      <w:tblPr>
        <w:tblW w:type="auto" w:w="0"/>
        <w:jc w:val="center"/>
        <w:tblLook w:firstColumn="1" w:firstRow="1" w:lastColumn="0" w:lastRow="0" w:noHBand="0" w:noVBand="1" w:val="04A0"/>
      </w:tblPr>
      <w:tblGrid>
        <w:gridCol w:w="3120"/>
        <w:gridCol w:w="3120"/>
        <w:gridCol w:w="3120"/>
      </w:tblGrid>
      <w:tr>
        <w:tc>
          <w:tcPr>
            <w:tcW w:type="dxa" w:w="3120"/>
            <w:shd w:fill="0A2540"/>
            <w:tcMar>
              <w:top w:w="80" w:type="dxa"/>
              <w:bottom w:w="80" w:type="dxa"/>
              <w:left w:w="100" w:type="dxa"/>
              <w:right w:w="100" w:type="dxa"/>
            </w:tcMar>
          </w:tcPr>
          <w:p>
            <w:r>
              <w:rPr>
                <w:b/>
                <w:color w:val="FFFFFF"/>
              </w:rPr>
              <w:t>Kategori Tools</w:t>
            </w:r>
          </w:p>
        </w:tc>
        <w:tc>
          <w:tcPr>
            <w:tcW w:type="dxa" w:w="3120"/>
            <w:shd w:fill="0A2540"/>
            <w:tcMar>
              <w:top w:w="80" w:type="dxa"/>
              <w:bottom w:w="80" w:type="dxa"/>
              <w:left w:w="100" w:type="dxa"/>
              <w:right w:w="100" w:type="dxa"/>
            </w:tcMar>
          </w:tcPr>
          <w:p>
            <w:r>
              <w:rPr>
                <w:b/>
                <w:color w:val="FFFFFF"/>
              </w:rPr>
              <w:t>Perbandingan Tool &amp; Perintah</w:t>
            </w:r>
          </w:p>
        </w:tc>
        <w:tc>
          <w:tcPr>
            <w:tcW w:type="dxa" w:w="3120"/>
            <w:shd w:fill="0A2540"/>
            <w:tcMar>
              <w:top w:w="80" w:type="dxa"/>
              <w:bottom w:w="80" w:type="dxa"/>
              <w:left w:w="100" w:type="dxa"/>
              <w:right w:w="100" w:type="dxa"/>
            </w:tcMar>
          </w:tcPr>
          <w:p>
            <w:r>
              <w:rPr>
                <w:b/>
                <w:color w:val="FFFFFF"/>
              </w:rPr>
              <w:t>Perbedaan Karakteristik &amp; Kapan Digunakan</w:t>
            </w:r>
          </w:p>
        </w:tc>
      </w:tr>
      <w:tr>
        <w:tc>
          <w:tcPr>
            <w:tcW w:type="dxa" w:w="3120"/>
            <w:shd w:fill="FFFFFF"/>
            <w:tcMar>
              <w:top w:w="60" w:type="dxa"/>
              <w:bottom w:w="60" w:type="dxa"/>
              <w:left w:w="80" w:type="dxa"/>
              <w:right w:w="80" w:type="dxa"/>
            </w:tcMar>
          </w:tcPr>
          <w:p>
            <w:pPr>
              <w:spacing w:before="0" w:after="0" w:line="252" w:lineRule="auto"/>
            </w:pPr>
            <w:r>
              <w:rPr>
                <w:b/>
                <w:sz w:val="19"/>
              </w:rPr>
              <w:t>Port Scanning</w:t>
            </w:r>
          </w:p>
        </w:tc>
        <w:tc>
          <w:tcPr>
            <w:tcW w:type="dxa" w:w="3120"/>
            <w:shd w:fill="FFFFFF"/>
            <w:tcMar>
              <w:top w:w="60" w:type="dxa"/>
              <w:bottom w:w="60" w:type="dxa"/>
              <w:left w:w="80" w:type="dxa"/>
              <w:right w:w="80" w:type="dxa"/>
            </w:tcMar>
          </w:tcPr>
          <w:p>
            <w:pPr>
              <w:spacing w:before="0" w:after="0" w:line="252" w:lineRule="auto"/>
            </w:pPr>
            <w:r>
              <w:rPr>
                <w:sz w:val="19"/>
              </w:rPr>
              <w:t>nmap vs masscan vs rustscan</w:t>
            </w:r>
          </w:p>
        </w:tc>
        <w:tc>
          <w:tcPr>
            <w:tcW w:type="dxa" w:w="3120"/>
            <w:shd w:fill="FFFFFF"/>
            <w:tcMar>
              <w:top w:w="60" w:type="dxa"/>
              <w:bottom w:w="60" w:type="dxa"/>
              <w:left w:w="80" w:type="dxa"/>
              <w:right w:w="80" w:type="dxa"/>
            </w:tcMar>
          </w:tcPr>
          <w:p>
            <w:pPr>
              <w:spacing w:before="0" w:after="0" w:line="252" w:lineRule="auto"/>
            </w:pPr>
            <w:r>
              <w:rPr>
                <w:sz w:val="19"/>
              </w:rPr>
              <w:t>• nmap: Analisis mendalam, mendeteksi OS &amp; versi (-sV), skrip NSE (-sC). Lambat tapi sangat akurat.</w:t>
              <w:br/>
              <w:t>• masscan: Port scanner tercepat di dunia (bisa scan jutaan IP/detik menggunakan raw SYN packet). Hanya cek open/close, tanpa version detection.</w:t>
              <w:br/>
              <w:t>• rustscan: Menggabungkan keduanya. Scan port kilat berbasis Rust, lalu otomatis memanggil Nmap untuk port yang terbuka.</w:t>
            </w:r>
          </w:p>
        </w:tc>
      </w:tr>
      <w:tr>
        <w:tc>
          <w:tcPr>
            <w:tcW w:type="dxa" w:w="3120"/>
            <w:shd w:fill="F8FAFC"/>
            <w:tcMar>
              <w:top w:w="60" w:type="dxa"/>
              <w:bottom w:w="60" w:type="dxa"/>
              <w:left w:w="80" w:type="dxa"/>
              <w:right w:w="80" w:type="dxa"/>
            </w:tcMar>
          </w:tcPr>
          <w:p>
            <w:pPr>
              <w:spacing w:before="0" w:after="0" w:line="252" w:lineRule="auto"/>
            </w:pPr>
            <w:r>
              <w:rPr>
                <w:b/>
                <w:sz w:val="19"/>
              </w:rPr>
              <w:t>Subdomain Discovery</w:t>
            </w:r>
          </w:p>
        </w:tc>
        <w:tc>
          <w:tcPr>
            <w:tcW w:type="dxa" w:w="3120"/>
            <w:shd w:fill="F8FAFC"/>
            <w:tcMar>
              <w:top w:w="60" w:type="dxa"/>
              <w:bottom w:w="60" w:type="dxa"/>
              <w:left w:w="80" w:type="dxa"/>
              <w:right w:w="80" w:type="dxa"/>
            </w:tcMar>
          </w:tcPr>
          <w:p>
            <w:pPr>
              <w:spacing w:before="0" w:after="0" w:line="252" w:lineRule="auto"/>
            </w:pPr>
            <w:r>
              <w:rPr>
                <w:sz w:val="19"/>
              </w:rPr>
              <w:t>subfinder vs amass vs assetfinder</w:t>
            </w:r>
          </w:p>
        </w:tc>
        <w:tc>
          <w:tcPr>
            <w:tcW w:type="dxa" w:w="3120"/>
            <w:shd w:fill="F8FAFC"/>
            <w:tcMar>
              <w:top w:w="60" w:type="dxa"/>
              <w:bottom w:w="60" w:type="dxa"/>
              <w:left w:w="80" w:type="dxa"/>
              <w:right w:w="80" w:type="dxa"/>
            </w:tcMar>
          </w:tcPr>
          <w:p>
            <w:pPr>
              <w:spacing w:before="0" w:after="0" w:line="252" w:lineRule="auto"/>
            </w:pPr>
            <w:r>
              <w:rPr>
                <w:sz w:val="19"/>
              </w:rPr>
              <w:t>• subfinder: Pasif murni, super cepat, membaca CT logs dan search engine tanpa menyentuh target.</w:t>
              <w:br/>
              <w:t>• amass (OWASP): Paling lengkap dan komprehensif, mendukung pasif, DNS brute-force aktif, reverse DNS lookup, dan relasi grafik ASN.</w:t>
              <w:br/>
              <w:t>• assetfinder: Tool Go minimalis dari TomNomNom, dirancang untuk pipeline terminal cepat (piping ke tool lain).</w:t>
            </w:r>
          </w:p>
        </w:tc>
      </w:tr>
      <w:tr>
        <w:tc>
          <w:tcPr>
            <w:tcW w:type="dxa" w:w="3120"/>
            <w:shd w:fill="FFFFFF"/>
            <w:tcMar>
              <w:top w:w="60" w:type="dxa"/>
              <w:bottom w:w="60" w:type="dxa"/>
              <w:left w:w="80" w:type="dxa"/>
              <w:right w:w="80" w:type="dxa"/>
            </w:tcMar>
          </w:tcPr>
          <w:p>
            <w:pPr>
              <w:spacing w:before="0" w:after="0" w:line="252" w:lineRule="auto"/>
            </w:pPr>
            <w:r>
              <w:rPr>
                <w:b/>
                <w:sz w:val="19"/>
              </w:rPr>
              <w:t>Web Probing</w:t>
            </w:r>
          </w:p>
        </w:tc>
        <w:tc>
          <w:tcPr>
            <w:tcW w:type="dxa" w:w="3120"/>
            <w:shd w:fill="FFFFFF"/>
            <w:tcMar>
              <w:top w:w="60" w:type="dxa"/>
              <w:bottom w:w="60" w:type="dxa"/>
              <w:left w:w="80" w:type="dxa"/>
              <w:right w:w="80" w:type="dxa"/>
            </w:tcMar>
          </w:tcPr>
          <w:p>
            <w:pPr>
              <w:spacing w:before="0" w:after="0" w:line="252" w:lineRule="auto"/>
            </w:pPr>
            <w:r>
              <w:rPr>
                <w:sz w:val="19"/>
              </w:rPr>
              <w:t>whatweb vs httpx vs nikto</w:t>
            </w:r>
          </w:p>
        </w:tc>
        <w:tc>
          <w:tcPr>
            <w:tcW w:type="dxa" w:w="3120"/>
            <w:shd w:fill="FFFFFF"/>
            <w:tcMar>
              <w:top w:w="60" w:type="dxa"/>
              <w:bottom w:w="60" w:type="dxa"/>
              <w:left w:w="80" w:type="dxa"/>
              <w:right w:w="80" w:type="dxa"/>
            </w:tcMar>
          </w:tcPr>
          <w:p>
            <w:pPr>
              <w:spacing w:before="0" w:after="0" w:line="252" w:lineRule="auto"/>
            </w:pPr>
            <w:r>
              <w:rPr>
                <w:sz w:val="19"/>
              </w:rPr>
              <w:t>• whatweb: Mengidentifikasi CMS, teknologi, plugin, dan library dari header/HTML secara pasif/responsif.</w:t>
              <w:br/>
              <w:t>• httpx: Tool probing HTTP massal super cepat. Digunakan untuk mengecek dari 2000 subdomain mana saja yang memiliki web hidup (HTTP 200/301/403).</w:t>
              <w:br/>
              <w:t>• nikto: Vulnerability scanner aktif. Mengirim ribuan request untuk mencari file berbahaya (/admin.php, .git, dll.). SANGAT BERISIK dan mudah diblokir WAF.</w:t>
            </w:r>
          </w:p>
        </w:tc>
      </w:tr>
      <w:tr>
        <w:tc>
          <w:tcPr>
            <w:tcW w:type="dxa" w:w="3120"/>
            <w:shd w:fill="F8FAFC"/>
            <w:tcMar>
              <w:top w:w="60" w:type="dxa"/>
              <w:bottom w:w="60" w:type="dxa"/>
              <w:left w:w="80" w:type="dxa"/>
              <w:right w:w="80" w:type="dxa"/>
            </w:tcMar>
          </w:tcPr>
          <w:p>
            <w:pPr>
              <w:spacing w:before="0" w:after="0" w:line="252" w:lineRule="auto"/>
            </w:pPr>
            <w:r>
              <w:rPr>
                <w:b/>
                <w:sz w:val="19"/>
              </w:rPr>
              <w:t>DNS Querying</w:t>
            </w:r>
          </w:p>
        </w:tc>
        <w:tc>
          <w:tcPr>
            <w:tcW w:type="dxa" w:w="3120"/>
            <w:shd w:fill="F8FAFC"/>
            <w:tcMar>
              <w:top w:w="60" w:type="dxa"/>
              <w:bottom w:w="60" w:type="dxa"/>
              <w:left w:w="80" w:type="dxa"/>
              <w:right w:w="80" w:type="dxa"/>
            </w:tcMar>
          </w:tcPr>
          <w:p>
            <w:pPr>
              <w:spacing w:before="0" w:after="0" w:line="252" w:lineRule="auto"/>
            </w:pPr>
            <w:r>
              <w:rPr>
                <w:sz w:val="19"/>
              </w:rPr>
              <w:t>dig vs nslookup vs dnsrecon</w:t>
            </w:r>
          </w:p>
        </w:tc>
        <w:tc>
          <w:tcPr>
            <w:tcW w:type="dxa" w:w="3120"/>
            <w:shd w:fill="F8FAFC"/>
            <w:tcMar>
              <w:top w:w="60" w:type="dxa"/>
              <w:bottom w:w="60" w:type="dxa"/>
              <w:left w:w="80" w:type="dxa"/>
              <w:right w:w="80" w:type="dxa"/>
            </w:tcMar>
          </w:tcPr>
          <w:p>
            <w:pPr>
              <w:spacing w:before="0" w:after="0" w:line="252" w:lineRule="auto"/>
            </w:pPr>
            <w:r>
              <w:rPr>
                <w:sz w:val="19"/>
              </w:rPr>
              <w:t>• dig: Tool standar engineer Linux. Fleksibel, mendukung format +short, query record spesifik (+nostats).</w:t>
              <w:br/>
              <w:t>• nslookup: Tool interaktif legacy bawaan Windows &amp; Linux. Kurang fleksibel untuk scripting otomatisasi.</w:t>
              <w:br/>
              <w:t>• dnsrecon: Tool otomatisasi pengujian DNS tingkat lanjut (mencoba Zone Transfer AXFR, enumerasi SRV, dan wildcard).</w:t>
            </w:r>
          </w:p>
        </w:tc>
      </w:tr>
      <w:tr>
        <w:tc>
          <w:tcPr>
            <w:tcW w:type="dxa" w:w="3120"/>
            <w:shd w:fill="FFFFFF"/>
            <w:tcMar>
              <w:top w:w="60" w:type="dxa"/>
              <w:bottom w:w="60" w:type="dxa"/>
              <w:left w:w="80" w:type="dxa"/>
              <w:right w:w="80" w:type="dxa"/>
            </w:tcMar>
          </w:tcPr>
          <w:p>
            <w:pPr>
              <w:spacing w:before="0" w:after="0" w:line="252" w:lineRule="auto"/>
            </w:pPr>
            <w:r>
              <w:rPr>
                <w:b/>
                <w:sz w:val="19"/>
              </w:rPr>
              <w:t>Header Inspection</w:t>
            </w:r>
          </w:p>
        </w:tc>
        <w:tc>
          <w:tcPr>
            <w:tcW w:type="dxa" w:w="3120"/>
            <w:shd w:fill="FFFFFF"/>
            <w:tcMar>
              <w:top w:w="60" w:type="dxa"/>
              <w:bottom w:w="60" w:type="dxa"/>
              <w:left w:w="80" w:type="dxa"/>
              <w:right w:w="80" w:type="dxa"/>
            </w:tcMar>
          </w:tcPr>
          <w:p>
            <w:pPr>
              <w:spacing w:before="0" w:after="0" w:line="252" w:lineRule="auto"/>
            </w:pPr>
            <w:r>
              <w:rPr>
                <w:sz w:val="19"/>
              </w:rPr>
              <w:t>curl -I vs wget --spider</w:t>
            </w:r>
          </w:p>
        </w:tc>
        <w:tc>
          <w:tcPr>
            <w:tcW w:type="dxa" w:w="3120"/>
            <w:shd w:fill="FFFFFF"/>
            <w:tcMar>
              <w:top w:w="60" w:type="dxa"/>
              <w:bottom w:w="60" w:type="dxa"/>
              <w:left w:w="80" w:type="dxa"/>
              <w:right w:w="80" w:type="dxa"/>
            </w:tcMar>
          </w:tcPr>
          <w:p>
            <w:pPr>
              <w:spacing w:before="0" w:after="0" w:line="252" w:lineRule="auto"/>
            </w:pPr>
            <w:r>
              <w:rPr>
                <w:sz w:val="19"/>
              </w:rPr>
              <w:t>• curl -I: Mengirim HTTP HEAD request untuk mengintip header respon server tanpa mengunduh isi file HTML.</w:t>
              <w:br/>
              <w:t>• wget --spider: Bertindak seperti web spider/crawler untuk mengecek apakah link-link web aktif tanpa menyimpan konten ke harddisk.</w:t>
            </w:r>
          </w:p>
        </w:tc>
      </w:tr>
    </w:tbl>
    <w:p>
      <w:pPr>
        <w:spacing w:before="360" w:after="120"/>
      </w:pPr>
      <w:r>
        <w:rPr>
          <w:b/>
          <w:color w:val="0E5A8A"/>
          <w:sz w:val="26"/>
        </w:rPr>
        <w:t>Bagian E: Cheatsheet Referensi Cepat Perintah (Quick Reference)</w:t>
      </w:r>
    </w:p>
    <w:tbl>
      <w:tblPr>
        <w:tblW w:type="auto" w:w="0"/>
        <w:jc w:val="center"/>
        <w:tblLook w:firstColumn="1" w:firstRow="1" w:lastColumn="0" w:lastRow="0" w:noHBand="0" w:noVBand="1" w:val="04A0"/>
      </w:tblPr>
      <w:tblGrid>
        <w:gridCol w:w="3120"/>
        <w:gridCol w:w="3120"/>
        <w:gridCol w:w="3120"/>
      </w:tblGrid>
      <w:tr>
        <w:tc>
          <w:tcPr>
            <w:tcW w:type="dxa" w:w="3120"/>
            <w:shd w:fill="0A2540"/>
            <w:tcMar>
              <w:top w:w="80" w:type="dxa"/>
              <w:bottom w:w="80" w:type="dxa"/>
              <w:left w:w="100" w:type="dxa"/>
              <w:right w:w="100" w:type="dxa"/>
            </w:tcMar>
          </w:tcPr>
          <w:p>
            <w:r>
              <w:rPr>
                <w:b/>
                <w:color w:val="FFFFFF"/>
              </w:rPr>
              <w:t>Tujuan Analisis</w:t>
            </w:r>
          </w:p>
        </w:tc>
        <w:tc>
          <w:tcPr>
            <w:tcW w:type="dxa" w:w="3120"/>
            <w:shd w:fill="0A2540"/>
            <w:tcMar>
              <w:top w:w="80" w:type="dxa"/>
              <w:bottom w:w="80" w:type="dxa"/>
              <w:left w:w="100" w:type="dxa"/>
              <w:right w:w="100" w:type="dxa"/>
            </w:tcMar>
          </w:tcPr>
          <w:p>
            <w:r>
              <w:rPr>
                <w:b/>
                <w:color w:val="FFFFFF"/>
              </w:rPr>
              <w:t>Perintah Cepat (Command)</w:t>
            </w:r>
          </w:p>
        </w:tc>
        <w:tc>
          <w:tcPr>
            <w:tcW w:type="dxa" w:w="3120"/>
            <w:shd w:fill="0A2540"/>
            <w:tcMar>
              <w:top w:w="80" w:type="dxa"/>
              <w:bottom w:w="80" w:type="dxa"/>
              <w:left w:w="100" w:type="dxa"/>
              <w:right w:w="100" w:type="dxa"/>
            </w:tcMar>
          </w:tcPr>
          <w:p>
            <w:r>
              <w:rPr>
                <w:b/>
                <w:color w:val="FFFFFF"/>
              </w:rPr>
              <w:t>Tool / Utilitas</w:t>
            </w:r>
          </w:p>
        </w:tc>
      </w:tr>
      <w:tr>
        <w:tc>
          <w:tcPr>
            <w:tcW w:type="dxa" w:w="3120"/>
            <w:shd w:fill="FFFFFF"/>
            <w:tcMar>
              <w:top w:w="60" w:type="dxa"/>
              <w:bottom w:w="60" w:type="dxa"/>
              <w:left w:w="80" w:type="dxa"/>
              <w:right w:w="80" w:type="dxa"/>
            </w:tcMar>
          </w:tcPr>
          <w:p>
            <w:pPr>
              <w:spacing w:before="0" w:after="0" w:line="252" w:lineRule="auto"/>
            </w:pPr>
            <w:r>
              <w:rPr>
                <w:sz w:val="19"/>
              </w:rPr>
              <w:t>Mencari info registrasi &amp; name server</w:t>
            </w:r>
          </w:p>
        </w:tc>
        <w:tc>
          <w:tcPr>
            <w:tcW w:type="dxa" w:w="3120"/>
            <w:shd w:fill="FFFFFF"/>
            <w:tcMar>
              <w:top w:w="60" w:type="dxa"/>
              <w:bottom w:w="60" w:type="dxa"/>
              <w:left w:w="80" w:type="dxa"/>
              <w:right w:w="80" w:type="dxa"/>
            </w:tcMar>
          </w:tcPr>
          <w:p>
            <w:pPr>
              <w:spacing w:before="0" w:after="0" w:line="252" w:lineRule="auto"/>
            </w:pPr>
            <w:r>
              <w:rPr>
                <w:rFonts w:ascii="Consolas" w:hAnsi="Consolas"/>
                <w:sz w:val="19"/>
              </w:rPr>
              <w:t>whois domain.com</w:t>
            </w:r>
          </w:p>
        </w:tc>
        <w:tc>
          <w:tcPr>
            <w:tcW w:type="dxa" w:w="3120"/>
            <w:shd w:fill="FFFFFF"/>
            <w:tcMar>
              <w:top w:w="60" w:type="dxa"/>
              <w:bottom w:w="60" w:type="dxa"/>
              <w:left w:w="80" w:type="dxa"/>
              <w:right w:w="80" w:type="dxa"/>
            </w:tcMar>
          </w:tcPr>
          <w:p>
            <w:pPr>
              <w:spacing w:before="0" w:after="0" w:line="252" w:lineRule="auto"/>
            </w:pPr>
            <w:r>
              <w:rPr>
                <w:sz w:val="19"/>
              </w:rPr>
              <w:t>whois</w:t>
            </w:r>
          </w:p>
        </w:tc>
      </w:tr>
      <w:tr>
        <w:tc>
          <w:tcPr>
            <w:tcW w:type="dxa" w:w="3120"/>
            <w:shd w:fill="F8FAFC"/>
            <w:tcMar>
              <w:top w:w="60" w:type="dxa"/>
              <w:bottom w:w="60" w:type="dxa"/>
              <w:left w:w="80" w:type="dxa"/>
              <w:right w:w="80" w:type="dxa"/>
            </w:tcMar>
          </w:tcPr>
          <w:p>
            <w:pPr>
              <w:spacing w:before="0" w:after="0" w:line="252" w:lineRule="auto"/>
            </w:pPr>
            <w:r>
              <w:rPr>
                <w:sz w:val="19"/>
              </w:rPr>
              <w:t>Mencari IP address dari nama host</w:t>
            </w:r>
          </w:p>
        </w:tc>
        <w:tc>
          <w:tcPr>
            <w:tcW w:type="dxa" w:w="3120"/>
            <w:shd w:fill="F8FAFC"/>
            <w:tcMar>
              <w:top w:w="60" w:type="dxa"/>
              <w:bottom w:w="60" w:type="dxa"/>
              <w:left w:w="80" w:type="dxa"/>
              <w:right w:w="80" w:type="dxa"/>
            </w:tcMar>
          </w:tcPr>
          <w:p>
            <w:pPr>
              <w:spacing w:before="0" w:after="0" w:line="252" w:lineRule="auto"/>
            </w:pPr>
            <w:r>
              <w:rPr>
                <w:rFonts w:ascii="Consolas" w:hAnsi="Consolas"/>
                <w:sz w:val="19"/>
              </w:rPr>
              <w:t>host nama.host.com</w:t>
            </w:r>
          </w:p>
        </w:tc>
        <w:tc>
          <w:tcPr>
            <w:tcW w:type="dxa" w:w="3120"/>
            <w:shd w:fill="F8FAFC"/>
            <w:tcMar>
              <w:top w:w="60" w:type="dxa"/>
              <w:bottom w:w="60" w:type="dxa"/>
              <w:left w:w="80" w:type="dxa"/>
              <w:right w:w="80" w:type="dxa"/>
            </w:tcMar>
          </w:tcPr>
          <w:p>
            <w:pPr>
              <w:spacing w:before="0" w:after="0" w:line="252" w:lineRule="auto"/>
            </w:pPr>
            <w:r>
              <w:rPr>
                <w:sz w:val="19"/>
              </w:rPr>
              <w:t>host / dnsutils</w:t>
            </w:r>
          </w:p>
        </w:tc>
      </w:tr>
      <w:tr>
        <w:tc>
          <w:tcPr>
            <w:tcW w:type="dxa" w:w="3120"/>
            <w:shd w:fill="FFFFFF"/>
            <w:tcMar>
              <w:top w:w="60" w:type="dxa"/>
              <w:bottom w:w="60" w:type="dxa"/>
              <w:left w:w="80" w:type="dxa"/>
              <w:right w:w="80" w:type="dxa"/>
            </w:tcMar>
          </w:tcPr>
          <w:p>
            <w:pPr>
              <w:spacing w:before="0" w:after="0" w:line="252" w:lineRule="auto"/>
            </w:pPr>
            <w:r>
              <w:rPr>
                <w:sz w:val="19"/>
              </w:rPr>
              <w:t>Mencari Name Server (NS)</w:t>
            </w:r>
          </w:p>
        </w:tc>
        <w:tc>
          <w:tcPr>
            <w:tcW w:type="dxa" w:w="3120"/>
            <w:shd w:fill="FFFFFF"/>
            <w:tcMar>
              <w:top w:w="60" w:type="dxa"/>
              <w:bottom w:w="60" w:type="dxa"/>
              <w:left w:w="80" w:type="dxa"/>
              <w:right w:w="80" w:type="dxa"/>
            </w:tcMar>
          </w:tcPr>
          <w:p>
            <w:pPr>
              <w:spacing w:before="0" w:after="0" w:line="252" w:lineRule="auto"/>
            </w:pPr>
            <w:r>
              <w:rPr>
                <w:rFonts w:ascii="Consolas" w:hAnsi="Consolas"/>
                <w:sz w:val="19"/>
              </w:rPr>
              <w:t>dig NS domain.com +short</w:t>
            </w:r>
          </w:p>
        </w:tc>
        <w:tc>
          <w:tcPr>
            <w:tcW w:type="dxa" w:w="3120"/>
            <w:shd w:fill="FFFFFF"/>
            <w:tcMar>
              <w:top w:w="60" w:type="dxa"/>
              <w:bottom w:w="60" w:type="dxa"/>
              <w:left w:w="80" w:type="dxa"/>
              <w:right w:w="80" w:type="dxa"/>
            </w:tcMar>
          </w:tcPr>
          <w:p>
            <w:pPr>
              <w:spacing w:before="0" w:after="0" w:line="252" w:lineRule="auto"/>
            </w:pPr>
            <w:r>
              <w:rPr>
                <w:sz w:val="19"/>
              </w:rPr>
              <w:t>dig</w:t>
            </w:r>
          </w:p>
        </w:tc>
      </w:tr>
      <w:tr>
        <w:tc>
          <w:tcPr>
            <w:tcW w:type="dxa" w:w="3120"/>
            <w:shd w:fill="F8FAFC"/>
            <w:tcMar>
              <w:top w:w="60" w:type="dxa"/>
              <w:bottom w:w="60" w:type="dxa"/>
              <w:left w:w="80" w:type="dxa"/>
              <w:right w:w="80" w:type="dxa"/>
            </w:tcMar>
          </w:tcPr>
          <w:p>
            <w:pPr>
              <w:spacing w:before="0" w:after="0" w:line="252" w:lineRule="auto"/>
            </w:pPr>
            <w:r>
              <w:rPr>
                <w:sz w:val="19"/>
              </w:rPr>
              <w:t>Mencari Mail Server (MX)</w:t>
            </w:r>
          </w:p>
        </w:tc>
        <w:tc>
          <w:tcPr>
            <w:tcW w:type="dxa" w:w="3120"/>
            <w:shd w:fill="F8FAFC"/>
            <w:tcMar>
              <w:top w:w="60" w:type="dxa"/>
              <w:bottom w:w="60" w:type="dxa"/>
              <w:left w:w="80" w:type="dxa"/>
              <w:right w:w="80" w:type="dxa"/>
            </w:tcMar>
          </w:tcPr>
          <w:p>
            <w:pPr>
              <w:spacing w:before="0" w:after="0" w:line="252" w:lineRule="auto"/>
            </w:pPr>
            <w:r>
              <w:rPr>
                <w:rFonts w:ascii="Consolas" w:hAnsi="Consolas"/>
                <w:sz w:val="19"/>
              </w:rPr>
              <w:t>dig MX domain.com +short</w:t>
            </w:r>
          </w:p>
        </w:tc>
        <w:tc>
          <w:tcPr>
            <w:tcW w:type="dxa" w:w="3120"/>
            <w:shd w:fill="F8FAFC"/>
            <w:tcMar>
              <w:top w:w="60" w:type="dxa"/>
              <w:bottom w:w="60" w:type="dxa"/>
              <w:left w:w="80" w:type="dxa"/>
              <w:right w:w="80" w:type="dxa"/>
            </w:tcMar>
          </w:tcPr>
          <w:p>
            <w:pPr>
              <w:spacing w:before="0" w:after="0" w:line="252" w:lineRule="auto"/>
            </w:pPr>
            <w:r>
              <w:rPr>
                <w:sz w:val="19"/>
              </w:rPr>
              <w:t>dig</w:t>
            </w:r>
          </w:p>
        </w:tc>
      </w:tr>
      <w:tr>
        <w:tc>
          <w:tcPr>
            <w:tcW w:type="dxa" w:w="3120"/>
            <w:shd w:fill="FFFFFF"/>
            <w:tcMar>
              <w:top w:w="60" w:type="dxa"/>
              <w:bottom w:w="60" w:type="dxa"/>
              <w:left w:w="80" w:type="dxa"/>
              <w:right w:w="80" w:type="dxa"/>
            </w:tcMar>
          </w:tcPr>
          <w:p>
            <w:pPr>
              <w:spacing w:before="0" w:after="0" w:line="252" w:lineRule="auto"/>
            </w:pPr>
            <w:r>
              <w:rPr>
                <w:sz w:val="19"/>
              </w:rPr>
              <w:t>Mengecek record SPF</w:t>
            </w:r>
          </w:p>
        </w:tc>
        <w:tc>
          <w:tcPr>
            <w:tcW w:type="dxa" w:w="3120"/>
            <w:shd w:fill="FFFFFF"/>
            <w:tcMar>
              <w:top w:w="60" w:type="dxa"/>
              <w:bottom w:w="60" w:type="dxa"/>
              <w:left w:w="80" w:type="dxa"/>
              <w:right w:w="80" w:type="dxa"/>
            </w:tcMar>
          </w:tcPr>
          <w:p>
            <w:pPr>
              <w:spacing w:before="0" w:after="0" w:line="252" w:lineRule="auto"/>
            </w:pPr>
            <w:r>
              <w:rPr>
                <w:rFonts w:ascii="Consolas" w:hAnsi="Consolas"/>
                <w:sz w:val="19"/>
              </w:rPr>
              <w:t>dig TXT domain.com +short | grep v=spf1</w:t>
            </w:r>
          </w:p>
        </w:tc>
        <w:tc>
          <w:tcPr>
            <w:tcW w:type="dxa" w:w="3120"/>
            <w:shd w:fill="FFFFFF"/>
            <w:tcMar>
              <w:top w:w="60" w:type="dxa"/>
              <w:bottom w:w="60" w:type="dxa"/>
              <w:left w:w="80" w:type="dxa"/>
              <w:right w:w="80" w:type="dxa"/>
            </w:tcMar>
          </w:tcPr>
          <w:p>
            <w:pPr>
              <w:spacing w:before="0" w:after="0" w:line="252" w:lineRule="auto"/>
            </w:pPr>
            <w:r>
              <w:rPr>
                <w:sz w:val="19"/>
              </w:rPr>
              <w:t>dig</w:t>
            </w:r>
          </w:p>
        </w:tc>
      </w:tr>
      <w:tr>
        <w:tc>
          <w:tcPr>
            <w:tcW w:type="dxa" w:w="3120"/>
            <w:shd w:fill="F8FAFC"/>
            <w:tcMar>
              <w:top w:w="60" w:type="dxa"/>
              <w:bottom w:w="60" w:type="dxa"/>
              <w:left w:w="80" w:type="dxa"/>
              <w:right w:w="80" w:type="dxa"/>
            </w:tcMar>
          </w:tcPr>
          <w:p>
            <w:pPr>
              <w:spacing w:before="0" w:after="0" w:line="252" w:lineRule="auto"/>
            </w:pPr>
            <w:r>
              <w:rPr>
                <w:sz w:val="19"/>
              </w:rPr>
              <w:t>Mengecek record DMARC</w:t>
            </w:r>
          </w:p>
        </w:tc>
        <w:tc>
          <w:tcPr>
            <w:tcW w:type="dxa" w:w="3120"/>
            <w:shd w:fill="F8FAFC"/>
            <w:tcMar>
              <w:top w:w="60" w:type="dxa"/>
              <w:bottom w:w="60" w:type="dxa"/>
              <w:left w:w="80" w:type="dxa"/>
              <w:right w:w="80" w:type="dxa"/>
            </w:tcMar>
          </w:tcPr>
          <w:p>
            <w:pPr>
              <w:spacing w:before="0" w:after="0" w:line="252" w:lineRule="auto"/>
            </w:pPr>
            <w:r>
              <w:rPr>
                <w:rFonts w:ascii="Consolas" w:hAnsi="Consolas"/>
                <w:sz w:val="19"/>
              </w:rPr>
              <w:t>dig TXT _dmarc.domain.com +short</w:t>
            </w:r>
          </w:p>
        </w:tc>
        <w:tc>
          <w:tcPr>
            <w:tcW w:type="dxa" w:w="3120"/>
            <w:shd w:fill="F8FAFC"/>
            <w:tcMar>
              <w:top w:w="60" w:type="dxa"/>
              <w:bottom w:w="60" w:type="dxa"/>
              <w:left w:w="80" w:type="dxa"/>
              <w:right w:w="80" w:type="dxa"/>
            </w:tcMar>
          </w:tcPr>
          <w:p>
            <w:pPr>
              <w:spacing w:before="0" w:after="0" w:line="252" w:lineRule="auto"/>
            </w:pPr>
            <w:r>
              <w:rPr>
                <w:sz w:val="19"/>
              </w:rPr>
              <w:t>dig</w:t>
            </w:r>
          </w:p>
        </w:tc>
      </w:tr>
      <w:tr>
        <w:tc>
          <w:tcPr>
            <w:tcW w:type="dxa" w:w="3120"/>
            <w:shd w:fill="FFFFFF"/>
            <w:tcMar>
              <w:top w:w="60" w:type="dxa"/>
              <w:bottom w:w="60" w:type="dxa"/>
              <w:left w:w="80" w:type="dxa"/>
              <w:right w:w="80" w:type="dxa"/>
            </w:tcMar>
          </w:tcPr>
          <w:p>
            <w:pPr>
              <w:spacing w:before="0" w:after="0" w:line="252" w:lineRule="auto"/>
            </w:pPr>
            <w:r>
              <w:rPr>
                <w:sz w:val="19"/>
              </w:rPr>
              <w:t>Mengecek public key DKIM</w:t>
            </w:r>
          </w:p>
        </w:tc>
        <w:tc>
          <w:tcPr>
            <w:tcW w:type="dxa" w:w="3120"/>
            <w:shd w:fill="FFFFFF"/>
            <w:tcMar>
              <w:top w:w="60" w:type="dxa"/>
              <w:bottom w:w="60" w:type="dxa"/>
              <w:left w:w="80" w:type="dxa"/>
              <w:right w:w="80" w:type="dxa"/>
            </w:tcMar>
          </w:tcPr>
          <w:p>
            <w:pPr>
              <w:spacing w:before="0" w:after="0" w:line="252" w:lineRule="auto"/>
            </w:pPr>
            <w:r>
              <w:rPr>
                <w:rFonts w:ascii="Consolas" w:hAnsi="Consolas"/>
                <w:sz w:val="19"/>
              </w:rPr>
              <w:t>dig TXT selector1._domainkey.domain.com +short</w:t>
            </w:r>
          </w:p>
        </w:tc>
        <w:tc>
          <w:tcPr>
            <w:tcW w:type="dxa" w:w="3120"/>
            <w:shd w:fill="FFFFFF"/>
            <w:tcMar>
              <w:top w:w="60" w:type="dxa"/>
              <w:bottom w:w="60" w:type="dxa"/>
              <w:left w:w="80" w:type="dxa"/>
              <w:right w:w="80" w:type="dxa"/>
            </w:tcMar>
          </w:tcPr>
          <w:p>
            <w:pPr>
              <w:spacing w:before="0" w:after="0" w:line="252" w:lineRule="auto"/>
            </w:pPr>
            <w:r>
              <w:rPr>
                <w:sz w:val="19"/>
              </w:rPr>
              <w:t>dig</w:t>
            </w:r>
          </w:p>
        </w:tc>
      </w:tr>
      <w:tr>
        <w:tc>
          <w:tcPr>
            <w:tcW w:type="dxa" w:w="3120"/>
            <w:shd w:fill="F8FAFC"/>
            <w:tcMar>
              <w:top w:w="60" w:type="dxa"/>
              <w:bottom w:w="60" w:type="dxa"/>
              <w:left w:w="80" w:type="dxa"/>
              <w:right w:w="80" w:type="dxa"/>
            </w:tcMar>
          </w:tcPr>
          <w:p>
            <w:pPr>
              <w:spacing w:before="0" w:after="0" w:line="252" w:lineRule="auto"/>
            </w:pPr>
            <w:r>
              <w:rPr>
                <w:sz w:val="19"/>
              </w:rPr>
              <w:t>Cek ASN pemilik blok IP</w:t>
            </w:r>
          </w:p>
        </w:tc>
        <w:tc>
          <w:tcPr>
            <w:tcW w:type="dxa" w:w="3120"/>
            <w:shd w:fill="F8FAFC"/>
            <w:tcMar>
              <w:top w:w="60" w:type="dxa"/>
              <w:bottom w:w="60" w:type="dxa"/>
              <w:left w:w="80" w:type="dxa"/>
              <w:right w:w="80" w:type="dxa"/>
            </w:tcMar>
          </w:tcPr>
          <w:p>
            <w:pPr>
              <w:spacing w:before="0" w:after="0" w:line="252" w:lineRule="auto"/>
            </w:pPr>
            <w:r>
              <w:rPr>
                <w:rFonts w:ascii="Consolas" w:hAnsi="Consolas"/>
                <w:sz w:val="19"/>
              </w:rPr>
              <w:t>whois -h whois.cymru.com &lt;IP&gt;</w:t>
            </w:r>
          </w:p>
        </w:tc>
        <w:tc>
          <w:tcPr>
            <w:tcW w:type="dxa" w:w="3120"/>
            <w:shd w:fill="F8FAFC"/>
            <w:tcMar>
              <w:top w:w="60" w:type="dxa"/>
              <w:bottom w:w="60" w:type="dxa"/>
              <w:left w:w="80" w:type="dxa"/>
              <w:right w:w="80" w:type="dxa"/>
            </w:tcMar>
          </w:tcPr>
          <w:p>
            <w:pPr>
              <w:spacing w:before="0" w:after="0" w:line="252" w:lineRule="auto"/>
            </w:pPr>
            <w:r>
              <w:rPr>
                <w:sz w:val="19"/>
              </w:rPr>
              <w:t>whois</w:t>
            </w:r>
          </w:p>
        </w:tc>
      </w:tr>
      <w:tr>
        <w:tc>
          <w:tcPr>
            <w:tcW w:type="dxa" w:w="3120"/>
            <w:shd w:fill="FFFFFF"/>
            <w:tcMar>
              <w:top w:w="60" w:type="dxa"/>
              <w:bottom w:w="60" w:type="dxa"/>
              <w:left w:w="80" w:type="dxa"/>
              <w:right w:w="80" w:type="dxa"/>
            </w:tcMar>
          </w:tcPr>
          <w:p>
            <w:pPr>
              <w:spacing w:before="0" w:after="0" w:line="252" w:lineRule="auto"/>
            </w:pPr>
            <w:r>
              <w:rPr>
                <w:sz w:val="19"/>
              </w:rPr>
              <w:t>Fingerprint DNS server (port 53)</w:t>
            </w:r>
          </w:p>
        </w:tc>
        <w:tc>
          <w:tcPr>
            <w:tcW w:type="dxa" w:w="3120"/>
            <w:shd w:fill="FFFFFF"/>
            <w:tcMar>
              <w:top w:w="60" w:type="dxa"/>
              <w:bottom w:w="60" w:type="dxa"/>
              <w:left w:w="80" w:type="dxa"/>
              <w:right w:w="80" w:type="dxa"/>
            </w:tcMar>
          </w:tcPr>
          <w:p>
            <w:pPr>
              <w:spacing w:before="0" w:after="0" w:line="252" w:lineRule="auto"/>
            </w:pPr>
            <w:r>
              <w:rPr>
                <w:rFonts w:ascii="Consolas" w:hAnsi="Consolas"/>
                <w:sz w:val="19"/>
              </w:rPr>
              <w:t>nmap -sV -sC -Pn -p 53 &lt;IP-DNS&gt;</w:t>
            </w:r>
          </w:p>
        </w:tc>
        <w:tc>
          <w:tcPr>
            <w:tcW w:type="dxa" w:w="3120"/>
            <w:shd w:fill="FFFFFF"/>
            <w:tcMar>
              <w:top w:w="60" w:type="dxa"/>
              <w:bottom w:w="60" w:type="dxa"/>
              <w:left w:w="80" w:type="dxa"/>
              <w:right w:w="80" w:type="dxa"/>
            </w:tcMar>
          </w:tcPr>
          <w:p>
            <w:pPr>
              <w:spacing w:before="0" w:after="0" w:line="252" w:lineRule="auto"/>
            </w:pPr>
            <w:r>
              <w:rPr>
                <w:sz w:val="19"/>
              </w:rPr>
              <w:t>nmap</w:t>
            </w:r>
          </w:p>
        </w:tc>
      </w:tr>
      <w:tr>
        <w:tc>
          <w:tcPr>
            <w:tcW w:type="dxa" w:w="3120"/>
            <w:shd w:fill="F8FAFC"/>
            <w:tcMar>
              <w:top w:w="60" w:type="dxa"/>
              <w:bottom w:w="60" w:type="dxa"/>
              <w:left w:w="80" w:type="dxa"/>
              <w:right w:w="80" w:type="dxa"/>
            </w:tcMar>
          </w:tcPr>
          <w:p>
            <w:pPr>
              <w:spacing w:before="0" w:after="0" w:line="252" w:lineRule="auto"/>
            </w:pPr>
            <w:r>
              <w:rPr>
                <w:sz w:val="19"/>
              </w:rPr>
              <w:t>Port scan &amp; host alive terukur</w:t>
            </w:r>
          </w:p>
        </w:tc>
        <w:tc>
          <w:tcPr>
            <w:tcW w:type="dxa" w:w="3120"/>
            <w:shd w:fill="F8FAFC"/>
            <w:tcMar>
              <w:top w:w="60" w:type="dxa"/>
              <w:bottom w:w="60" w:type="dxa"/>
              <w:left w:w="80" w:type="dxa"/>
              <w:right w:w="80" w:type="dxa"/>
            </w:tcMar>
          </w:tcPr>
          <w:p>
            <w:pPr>
              <w:spacing w:before="0" w:after="0" w:line="252" w:lineRule="auto"/>
            </w:pPr>
            <w:r>
              <w:rPr>
                <w:rFonts w:ascii="Consolas" w:hAnsi="Consolas"/>
                <w:sz w:val="19"/>
              </w:rPr>
              <w:t>nmap -sV -Pn -p 80,443,8080,8443 &lt;IP&gt;</w:t>
            </w:r>
          </w:p>
        </w:tc>
        <w:tc>
          <w:tcPr>
            <w:tcW w:type="dxa" w:w="3120"/>
            <w:shd w:fill="F8FAFC"/>
            <w:tcMar>
              <w:top w:w="60" w:type="dxa"/>
              <w:bottom w:w="60" w:type="dxa"/>
              <w:left w:w="80" w:type="dxa"/>
              <w:right w:w="80" w:type="dxa"/>
            </w:tcMar>
          </w:tcPr>
          <w:p>
            <w:pPr>
              <w:spacing w:before="0" w:after="0" w:line="252" w:lineRule="auto"/>
            </w:pPr>
            <w:r>
              <w:rPr>
                <w:sz w:val="19"/>
              </w:rPr>
              <w:t>nmap</w:t>
            </w:r>
          </w:p>
        </w:tc>
      </w:tr>
      <w:tr>
        <w:tc>
          <w:tcPr>
            <w:tcW w:type="dxa" w:w="3120"/>
            <w:shd w:fill="FFFFFF"/>
            <w:tcMar>
              <w:top w:w="60" w:type="dxa"/>
              <w:bottom w:w="60" w:type="dxa"/>
              <w:left w:w="80" w:type="dxa"/>
              <w:right w:w="80" w:type="dxa"/>
            </w:tcMar>
          </w:tcPr>
          <w:p>
            <w:pPr>
              <w:spacing w:before="0" w:after="0" w:line="252" w:lineRule="auto"/>
            </w:pPr>
            <w:r>
              <w:rPr>
                <w:sz w:val="19"/>
              </w:rPr>
              <w:t>Enumerasi subdomain pasif</w:t>
            </w:r>
          </w:p>
        </w:tc>
        <w:tc>
          <w:tcPr>
            <w:tcW w:type="dxa" w:w="3120"/>
            <w:shd w:fill="FFFFFF"/>
            <w:tcMar>
              <w:top w:w="60" w:type="dxa"/>
              <w:bottom w:w="60" w:type="dxa"/>
              <w:left w:w="80" w:type="dxa"/>
              <w:right w:w="80" w:type="dxa"/>
            </w:tcMar>
          </w:tcPr>
          <w:p>
            <w:pPr>
              <w:spacing w:before="0" w:after="0" w:line="252" w:lineRule="auto"/>
            </w:pPr>
            <w:r>
              <w:rPr>
                <w:rFonts w:ascii="Consolas" w:hAnsi="Consolas"/>
                <w:sz w:val="19"/>
              </w:rPr>
              <w:t>subfinder -d domain.com -o subs.txt</w:t>
            </w:r>
          </w:p>
        </w:tc>
        <w:tc>
          <w:tcPr>
            <w:tcW w:type="dxa" w:w="3120"/>
            <w:shd w:fill="FFFFFF"/>
            <w:tcMar>
              <w:top w:w="60" w:type="dxa"/>
              <w:bottom w:w="60" w:type="dxa"/>
              <w:left w:w="80" w:type="dxa"/>
              <w:right w:w="80" w:type="dxa"/>
            </w:tcMar>
          </w:tcPr>
          <w:p>
            <w:pPr>
              <w:spacing w:before="0" w:after="0" w:line="252" w:lineRule="auto"/>
            </w:pPr>
            <w:r>
              <w:rPr>
                <w:sz w:val="19"/>
              </w:rPr>
              <w:t>subfinder</w:t>
            </w:r>
          </w:p>
        </w:tc>
      </w:tr>
      <w:tr>
        <w:tc>
          <w:tcPr>
            <w:tcW w:type="dxa" w:w="3120"/>
            <w:shd w:fill="F8FAFC"/>
            <w:tcMar>
              <w:top w:w="60" w:type="dxa"/>
              <w:bottom w:w="60" w:type="dxa"/>
              <w:left w:w="80" w:type="dxa"/>
              <w:right w:w="80" w:type="dxa"/>
            </w:tcMar>
          </w:tcPr>
          <w:p>
            <w:pPr>
              <w:spacing w:before="0" w:after="0" w:line="252" w:lineRule="auto"/>
            </w:pPr>
            <w:r>
              <w:rPr>
                <w:sz w:val="19"/>
              </w:rPr>
              <w:t>Fingerprint teknologi &amp; CMS web</w:t>
            </w:r>
          </w:p>
        </w:tc>
        <w:tc>
          <w:tcPr>
            <w:tcW w:type="dxa" w:w="3120"/>
            <w:shd w:fill="F8FAFC"/>
            <w:tcMar>
              <w:top w:w="60" w:type="dxa"/>
              <w:bottom w:w="60" w:type="dxa"/>
              <w:left w:w="80" w:type="dxa"/>
              <w:right w:w="80" w:type="dxa"/>
            </w:tcMar>
          </w:tcPr>
          <w:p>
            <w:pPr>
              <w:spacing w:before="0" w:after="0" w:line="252" w:lineRule="auto"/>
            </w:pPr>
            <w:r>
              <w:rPr>
                <w:rFonts w:ascii="Consolas" w:hAnsi="Consolas"/>
                <w:sz w:val="19"/>
              </w:rPr>
              <w:t>whatweb https://domain.com</w:t>
            </w:r>
          </w:p>
        </w:tc>
        <w:tc>
          <w:tcPr>
            <w:tcW w:type="dxa" w:w="3120"/>
            <w:shd w:fill="F8FAFC"/>
            <w:tcMar>
              <w:top w:w="60" w:type="dxa"/>
              <w:bottom w:w="60" w:type="dxa"/>
              <w:left w:w="80" w:type="dxa"/>
              <w:right w:w="80" w:type="dxa"/>
            </w:tcMar>
          </w:tcPr>
          <w:p>
            <w:pPr>
              <w:spacing w:before="0" w:after="0" w:line="252" w:lineRule="auto"/>
            </w:pPr>
            <w:r>
              <w:rPr>
                <w:sz w:val="19"/>
              </w:rPr>
              <w:t>whatweb</w:t>
            </w:r>
          </w:p>
        </w:tc>
      </w:tr>
      <w:tr>
        <w:tc>
          <w:tcPr>
            <w:tcW w:type="dxa" w:w="3120"/>
            <w:shd w:fill="FFFFFF"/>
            <w:tcMar>
              <w:top w:w="60" w:type="dxa"/>
              <w:bottom w:w="60" w:type="dxa"/>
              <w:left w:w="80" w:type="dxa"/>
              <w:right w:w="80" w:type="dxa"/>
            </w:tcMar>
          </w:tcPr>
          <w:p>
            <w:pPr>
              <w:spacing w:before="0" w:after="0" w:line="252" w:lineRule="auto"/>
            </w:pPr>
            <w:r>
              <w:rPr>
                <w:sz w:val="19"/>
              </w:rPr>
              <w:t>Membaca HTTP header keamanan</w:t>
            </w:r>
          </w:p>
        </w:tc>
        <w:tc>
          <w:tcPr>
            <w:tcW w:type="dxa" w:w="3120"/>
            <w:shd w:fill="FFFFFF"/>
            <w:tcMar>
              <w:top w:w="60" w:type="dxa"/>
              <w:bottom w:w="60" w:type="dxa"/>
              <w:left w:w="80" w:type="dxa"/>
              <w:right w:w="80" w:type="dxa"/>
            </w:tcMar>
          </w:tcPr>
          <w:p>
            <w:pPr>
              <w:spacing w:before="0" w:after="0" w:line="252" w:lineRule="auto"/>
            </w:pPr>
            <w:r>
              <w:rPr>
                <w:rFonts w:ascii="Consolas" w:hAnsi="Consolas"/>
                <w:sz w:val="19"/>
              </w:rPr>
              <w:t>curl -sI https://domain.com</w:t>
            </w:r>
          </w:p>
        </w:tc>
        <w:tc>
          <w:tcPr>
            <w:tcW w:type="dxa" w:w="3120"/>
            <w:shd w:fill="FFFFFF"/>
            <w:tcMar>
              <w:top w:w="60" w:type="dxa"/>
              <w:bottom w:w="60" w:type="dxa"/>
              <w:left w:w="80" w:type="dxa"/>
              <w:right w:w="80" w:type="dxa"/>
            </w:tcMar>
          </w:tcPr>
          <w:p>
            <w:pPr>
              <w:spacing w:before="0" w:after="0" w:line="252" w:lineRule="auto"/>
            </w:pPr>
            <w:r>
              <w:rPr>
                <w:sz w:val="19"/>
              </w:rPr>
              <w:t>curl</w:t>
            </w:r>
          </w:p>
        </w:tc>
      </w:tr>
      <w:tr>
        <w:tc>
          <w:tcPr>
            <w:tcW w:type="dxa" w:w="3120"/>
            <w:shd w:fill="F8FAFC"/>
            <w:tcMar>
              <w:top w:w="60" w:type="dxa"/>
              <w:bottom w:w="60" w:type="dxa"/>
              <w:left w:w="80" w:type="dxa"/>
              <w:right w:w="80" w:type="dxa"/>
            </w:tcMar>
          </w:tcPr>
          <w:p>
            <w:pPr>
              <w:spacing w:before="0" w:after="0" w:line="252" w:lineRule="auto"/>
            </w:pPr>
            <w:r>
              <w:rPr>
                <w:sz w:val="19"/>
              </w:rPr>
              <w:t>Probing massal subdomain aktif</w:t>
            </w:r>
          </w:p>
        </w:tc>
        <w:tc>
          <w:tcPr>
            <w:tcW w:type="dxa" w:w="3120"/>
            <w:shd w:fill="F8FAFC"/>
            <w:tcMar>
              <w:top w:w="60" w:type="dxa"/>
              <w:bottom w:w="60" w:type="dxa"/>
              <w:left w:w="80" w:type="dxa"/>
              <w:right w:w="80" w:type="dxa"/>
            </w:tcMar>
          </w:tcPr>
          <w:p>
            <w:pPr>
              <w:spacing w:before="0" w:after="0" w:line="252" w:lineRule="auto"/>
            </w:pPr>
            <w:r>
              <w:rPr>
                <w:rFonts w:ascii="Consolas" w:hAnsi="Consolas"/>
                <w:sz w:val="19"/>
              </w:rPr>
              <w:t>cat subs.txt | httpx -status-code -title</w:t>
            </w:r>
          </w:p>
        </w:tc>
        <w:tc>
          <w:tcPr>
            <w:tcW w:type="dxa" w:w="3120"/>
            <w:shd w:fill="F8FAFC"/>
            <w:tcMar>
              <w:top w:w="60" w:type="dxa"/>
              <w:bottom w:w="60" w:type="dxa"/>
              <w:left w:w="80" w:type="dxa"/>
              <w:right w:w="80" w:type="dxa"/>
            </w:tcMar>
          </w:tcPr>
          <w:p>
            <w:pPr>
              <w:spacing w:before="0" w:after="0" w:line="252" w:lineRule="auto"/>
            </w:pPr>
            <w:r>
              <w:rPr>
                <w:sz w:val="19"/>
              </w:rPr>
              <w:t>httpx</w:t>
            </w:r>
          </w:p>
        </w:tc>
      </w:tr>
      <w:tr>
        <w:tc>
          <w:tcPr>
            <w:tcW w:type="dxa" w:w="3120"/>
            <w:shd w:fill="FFFFFF"/>
            <w:tcMar>
              <w:top w:w="60" w:type="dxa"/>
              <w:bottom w:w="60" w:type="dxa"/>
              <w:left w:w="80" w:type="dxa"/>
              <w:right w:w="80" w:type="dxa"/>
            </w:tcMar>
          </w:tcPr>
          <w:p>
            <w:pPr>
              <w:spacing w:before="0" w:after="0" w:line="252" w:lineRule="auto"/>
            </w:pPr>
            <w:r>
              <w:rPr>
                <w:sz w:val="19"/>
              </w:rPr>
              <w:t>Scan port super cepat</w:t>
            </w:r>
          </w:p>
        </w:tc>
        <w:tc>
          <w:tcPr>
            <w:tcW w:type="dxa" w:w="3120"/>
            <w:shd w:fill="FFFFFF"/>
            <w:tcMar>
              <w:top w:w="60" w:type="dxa"/>
              <w:bottom w:w="60" w:type="dxa"/>
              <w:left w:w="80" w:type="dxa"/>
              <w:right w:w="80" w:type="dxa"/>
            </w:tcMar>
          </w:tcPr>
          <w:p>
            <w:pPr>
              <w:spacing w:before="0" w:after="0" w:line="252" w:lineRule="auto"/>
            </w:pPr>
            <w:r>
              <w:rPr>
                <w:rFonts w:ascii="Consolas" w:hAnsi="Consolas"/>
                <w:sz w:val="19"/>
              </w:rPr>
              <w:t>masscan -p80,443 &lt;IP-Range&gt; --rate=1000</w:t>
            </w:r>
          </w:p>
        </w:tc>
        <w:tc>
          <w:tcPr>
            <w:tcW w:type="dxa" w:w="3120"/>
            <w:shd w:fill="FFFFFF"/>
            <w:tcMar>
              <w:top w:w="60" w:type="dxa"/>
              <w:bottom w:w="60" w:type="dxa"/>
              <w:left w:w="80" w:type="dxa"/>
              <w:right w:w="80" w:type="dxa"/>
            </w:tcMar>
          </w:tcPr>
          <w:p>
            <w:pPr>
              <w:spacing w:before="0" w:after="0" w:line="252" w:lineRule="auto"/>
            </w:pPr>
            <w:r>
              <w:rPr>
                <w:sz w:val="19"/>
              </w:rPr>
              <w:t>masscan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