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center"/><w:spacing w:after="40"/></w:pPr><w:r><w:rPr><w:rFonts w:ascii="Arial" w:hAnsi="Arial" w:eastAsia="Arial" w:cs="Arial"/><w:color w:val="EA580C"/><w:sz w:val="30"/><w:szCs w:val="30"/><w:b w:val="1"/><w:bCs w:val="1"/></w:rPr><w:t xml:space="preserve">PANDUAN LENGKAP PENGGUNAAN SISTEM SIBIMA</w:t></w:r></w:p><w:p><w:pPr><w:jc w:val="center"/><w:spacing w:after="160"/></w:pPr><w:r><w:rPr><w:rFonts w:ascii="Arial" w:hAnsi="Arial" w:eastAsia="Arial" w:cs="Arial"/><w:color w:val="475569"/><w:sz w:val="22"/><w:szCs w:val="22"/><w:b w:val="1"/><w:bCs w:val="1"/></w:rPr><w:t xml:space="preserve">FAKULTAS ILMU KOMPUTER - UNIVERSITAS SUBANG</w:t></w:r></w:p><w:tbl><w:tblGrid><w:gridCol w:w="2721.259842519685" w:type="dxa"/><w:gridCol w:w="6349.606299212597" w:type="dxa"/></w:tblGrid><w:tblPr><w:tblStyle w:val="ManualMetaTable"/></w:tblPr><w:tr><w:trPr/><w:tc><w:tcPr><w:tcW w:w="2721.259842519685" w:type="dxa"/><w:shd w:val="clear" w:fill="F8FAFC"/><w:noWrap/></w:tcPr><w:p><w:pPr/><w:r><w:rPr><w:rFonts w:ascii="Arial" w:hAnsi="Arial" w:eastAsia="Arial" w:cs="Arial"/><w:color w:val="334155"/><w:sz w:val="19"/><w:szCs w:val="19"/><w:b w:val="1"/><w:bCs w:val="1"/></w:rPr><w:t xml:space="preserve">Nama Dokumen</w:t></w:r></w:p></w:tc><w:tc><w:tcPr><w:tcW w:w="6349.606299212597" w:type="dxa"/><w:noWrap/></w:tcPr><w:p><w:pPr/><w:r><w:rPr><w:rFonts w:ascii="Arial" w:hAnsi="Arial" w:eastAsia="Arial" w:cs="Arial"/><w:color w:val="1E293B"/><w:sz w:val="19"/><w:szCs w:val="19"/></w:rPr><w:t xml:space="preserve">Buku Panduan Penggunaan Sistem (User Manual SIBIMA)</w:t></w:r></w:p></w:tc></w:tr><w:tr><w:trPr/><w:tc><w:tcPr><w:tcW w:w="2721.259842519685" w:type="dxa"/><w:shd w:val="clear" w:fill="F8FAFC"/><w:noWrap/></w:tcPr><w:p><w:pPr/><w:r><w:rPr><w:rFonts w:ascii="Arial" w:hAnsi="Arial" w:eastAsia="Arial" w:cs="Arial"/><w:color w:val="334155"/><w:sz w:val="19"/><w:szCs w:val="19"/><w:b w:val="1"/><w:bCs w:val="1"/></w:rPr><w:t xml:space="preserve">Institusi</w:t></w:r></w:p></w:tc><w:tc><w:tcPr><w:tcW w:w="6349.606299212597" w:type="dxa"/><w:noWrap/></w:tcPr><w:p><w:pPr/><w:r><w:rPr><w:rFonts w:ascii="Arial" w:hAnsi="Arial" w:eastAsia="Arial" w:cs="Arial"/><w:color w:val="1E293B"/><w:sz w:val="19"/><w:szCs w:val="19"/></w:rPr><w:t xml:space="preserve">Program Studi Sistem Informasi & Informatika, FASILKOM Universitas Subang</w:t></w:r></w:p></w:tc></w:tr><w:tr><w:trPr/><w:tc><w:tcPr><w:tcW w:w="2721.259842519685" w:type="dxa"/><w:shd w:val="clear" w:fill="F8FAFC"/><w:noWrap/></w:tcPr><w:p><w:pPr/><w:r><w:rPr><w:rFonts w:ascii="Arial" w:hAnsi="Arial" w:eastAsia="Arial" w:cs="Arial"/><w:color w:val="334155"/><w:sz w:val="19"/><w:szCs w:val="19"/><w:b w:val="1"/><w:bCs w:val="1"/></w:rPr><w:t xml:space="preserve">Versi Dokumen</w:t></w:r></w:p></w:tc><w:tc><w:tcPr><w:tcW w:w="6349.606299212597" w:type="dxa"/><w:noWrap/></w:tcPr><w:p><w:pPr/><w:r><w:rPr><w:rFonts w:ascii="Arial" w:hAnsi="Arial" w:eastAsia="Arial" w:cs="Arial"/><w:color w:val="1E293B"/><w:sz w:val="19"/><w:szCs w:val="19"/></w:rPr><w:t xml:space="preserve">3.0 (Panduan Lengkap Multi-Role Berbasis Alur Sistematis)</w:t></w:r></w:p></w:tc></w:tr><w:tr><w:trPr/><w:tc><w:tcPr><w:tcW w:w="2721.259842519685" w:type="dxa"/><w:shd w:val="clear" w:fill="F8FAFC"/><w:noWrap/></w:tcPr><w:p><w:pPr/><w:r><w:rPr><w:rFonts w:ascii="Arial" w:hAnsi="Arial" w:eastAsia="Arial" w:cs="Arial"/><w:color w:val="334155"/><w:sz w:val="19"/><w:szCs w:val="19"/><w:b w:val="1"/><w:bCs w:val="1"/></w:rPr><w:t xml:space="preserve">Sasaran Pengguna</w:t></w:r></w:p></w:tc><w:tc><w:tcPr><w:tcW w:w="6349.606299212597" w:type="dxa"/><w:noWrap/></w:tcPr><w:p><w:pPr/><w:r><w:rPr><w:rFonts w:ascii="Arial" w:hAnsi="Arial" w:eastAsia="Arial" w:cs="Arial"/><w:color w:val="1E293B"/><w:sz w:val="19"/><w:szCs w:val="19"/></w:rPr><w:t xml:space="preserve">Mahasiswa, Dosen Pembimbing, Dewan Penguji, Kaprodi, Dekan, Administrator</w:t></w:r></w:p></w:tc></w:tr><w:tr><w:trPr/><w:tc><w:tcPr><w:tcW w:w="2721.259842519685" w:type="dxa"/><w:shd w:val="clear" w:fill="F8FAFC"/><w:noWrap/></w:tcPr><w:p><w:pPr/><w:r><w:rPr><w:rFonts w:ascii="Arial" w:hAnsi="Arial" w:eastAsia="Arial" w:cs="Arial"/><w:color w:val="334155"/><w:sz w:val="19"/><w:szCs w:val="19"/><w:b w:val="1"/><w:bCs w:val="1"/></w:rPr><w:t xml:space="preserve">Platform Akses</w:t></w:r></w:p></w:tc><w:tc><w:tcPr><w:tcW w:w="6349.606299212597" w:type="dxa"/><w:noWrap/></w:tcPr><w:p><w:pPr/><w:r><w:rPr><w:rFonts w:ascii="Arial" w:hAnsi="Arial" w:eastAsia="Arial" w:cs="Arial"/><w:color w:val="1E293B"/><w:sz w:val="19"/><w:szCs w:val="19"/></w:rPr><w:t xml:space="preserve">Peramban Web Responsif (Desktop, Laptop, Tablet, & Smartphone)</w:t></w:r></w:p></w:tc></w:tr><w:tr><w:trPr/><w:tc><w:tcPr><w:tcW w:w="2721.259842519685" w:type="dxa"/><w:shd w:val="clear" w:fill="F8FAFC"/><w:noWrap/></w:tcPr><w:p><w:pPr/><w:r><w:rPr><w:rFonts w:ascii="Arial" w:hAnsi="Arial" w:eastAsia="Arial" w:cs="Arial"/><w:color w:val="334155"/><w:sz w:val="19"/><w:szCs w:val="19"/><w:b w:val="1"/><w:bCs w:val="1"/></w:rPr><w:t xml:space="preserve">Tanggal Rilis</w:t></w:r></w:p></w:tc><w:tc><w:tcPr><w:tcW w:w="6349.606299212597" w:type="dxa"/><w:noWrap/></w:tcPr><w:p><w:pPr/><w:r><w:rPr><w:rFonts w:ascii="Arial" w:hAnsi="Arial" w:eastAsia="Arial" w:cs="Arial"/><w:color w:val="1E293B"/><w:sz w:val="19"/><w:szCs w:val="19"/></w:rPr><w:t xml:space="preserve">29 Oktober 2026</w:t></w:r></w:p></w:tc></w:tr><w:tr><w:trPr/><w:tc><w:tcPr><w:tcW w:w="2721.259842519685" w:type="dxa"/><w:shd w:val="clear" w:fill="F8FAFC"/><w:noWrap/></w:tcPr><w:p><w:pPr/><w:r><w:rPr><w:rFonts w:ascii="Arial" w:hAnsi="Arial" w:eastAsia="Arial" w:cs="Arial"/><w:color w:val="334155"/><w:sz w:val="19"/><w:szCs w:val="19"/><w:b w:val="1"/><w:bCs w:val="1"/></w:rPr><w:t xml:space="preserve">Klasifikasi</w:t></w:r></w:p></w:tc><w:tc><w:tcPr><w:tcW w:w="6349.606299212597" w:type="dxa"/><w:noWrap/></w:tcPr><w:p><w:pPr/><w:r><w:rPr><w:rFonts w:ascii="Arial" w:hAnsi="Arial" w:eastAsia="Arial" w:cs="Arial"/><w:color w:val="1E293B"/><w:sz w:val="19"/><w:szCs w:val="19"/></w:rPr><w:t xml:space="preserve">Dokumen Operasional Standar (Standard Operating Procedure - SOP)</w:t></w:r></w:p></w:tc></w:tr></w:tbl><w:p/><w:p><w:pPr><w:pStyle w:val="Heading1"/></w:pPr><w:bookmarkStart w:id="0" w:name="_Toc0"/><w:r><w:t>1. PANDUAN PENGGUNAAN PERAN MAHASISWA</w:t></w:r><w:bookmarkEnd w:id="0"/></w:p><w:p><w:pPr><w:spacing w:after="60"/></w:pPr><w:r><w:rPr><w:rFonts w:ascii="Arial" w:hAnsi="Arial" w:eastAsia="Arial" w:cs="Arial"/><w:sz w:val="20"/><w:szCs w:val="20"/></w:rPr><w:t xml:space="preserve">Mahasiswa menjalankan 6 tahapan skripsi secara linear di SIBIMA: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Langkah 1 (Pengajuan Judul): Masukkan 3 usulan judul, rumusan masalah, batasan sistem, dan draf proposal PDF pada menu 1. Pengajuan Judul. Tunggu persetujuan Kaprodi.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Langkah 2 (Presensi QR Code): Saat sesi bimbingan tatap muka, buka menu Jadwal Bimbingan di ponsel Anda, tekan Pindai QR Presensi, dan arahkan kamera ke layar dosen pembimbing.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Langkah 3 (Logbook & Kartu Bimbingan): Catat kemajuan harian per bab di menu Logbook Bimbingan. Setelah mencapai minimal 8 sesi bimbingan, klik Cetak Kartu Bimbingan PDF.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Langkah 4 (Pendaftaran Sempro): Buka menu 2. Pendaftaran Seminar setelah memperoleh ACC pembimbing. Pilih gelombang aktif dan unggah berkas proposal lengkap.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Langkah 5 (Revisi Sempro): Buka menu 3. Revisi Seminar, baca catatan perbaikan penguji, lakukan revisi naskah, dan unggah berkas perbaikan dalam batas waktu 14 hari kerja.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Langkah 6 (Sidang Skripsi): Buka menu 4. Pendaftaran Sidang, unggah naskah BAB I-VI, lembar persetujuan pembimbing, dan bukti Turnitin (< 25%). Tuntaskan revisi sidang di menu 5. Revisi Sidang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Langkah 7 (Yudisium & SKL): Masuk ke menu 6. Yudisium & SKL, unggah bukti penyerahan skripsi jilid/CD dan artikel jurnal. Setelah disahkan Dekan, unduh SKL digital ber-QR Code.</w:t></w:r></w:p><w:p/><w:p><w:pPr><w:pStyle w:val="Heading1"/></w:pPr><w:bookmarkStart w:id="1" w:name="_Toc1"/><w:r><w:t>2. PANDUAN PENGGUNAAN PERAN DOSEN (PEMBIMBING & PENGUJI)</w:t></w:r><w:bookmarkEnd w:id="1"/></w:p><w:p><w:pPr><w:spacing w:after="40"/><w:numPr><w:ilvl w:val="0"/><w:numId w:val="5"/></w:numPr></w:pPr><w:r><w:rPr><w:rFonts w:ascii="Arial" w:hAnsi="Arial" w:eastAsia="Arial" w:cs="Arial"/><w:sz w:val="19"/><w:szCs w:val="19"/></w:rPr><w:t xml:space="preserve">Persetujuan Judul: Tinjau dan setujui usulan judul mahasiswa di menu Mahasiswa Bimbingan.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Sesi Bimbingan & QR Code: Buka menu Jadwal Bimbingan, buat sesi bimbingan baru, dan tayangkan QR Code presensi dinamis di layar laptop/gawai Anda untuk dipindai mahasiswa.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Logbook & Rekomendasi Ujian: Periksa logbook harian mahasiswa dan berikan status kelayakan ujian (ACC Sempro / ACC Sidang).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Surat Tugas BKD: Unduh berkas resmi SK Dekan di menu Surat Tugas untuk pelaporan BKD / SISTER Kemdiktisaintek.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Penilaian Penguji Sempro & Sidang: Masuk ke menu Tugas Penguji, buka ruang ujian, input nilai rubrik komponen (skala 0-100), masukkan catatan revisi berita acara, dan simpan nilai.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Validasi Revisi: Periksa berkas revisi naskah pasca-sidang mahasiswa dan berikan persetujuan akhir (ACC Revisi).</w:t></w:r></w:p><w:p/><w:p><w:pPr><w:pStyle w:val="Heading1"/></w:pPr><w:bookmarkStart w:id="2" w:name="_Toc2"/><w:r><w:t>3. PANDUAN PENGGUNAAN PERAN KETUA PROGRAM STUDI (KAPRODI)</w:t></w:r><w:bookmarkEnd w:id="2"/></w:p><w:p><w:pPr><w:spacing w:after="40"/><w:numPr><w:ilvl w:val="0"/><w:numId w:val="5"/></w:numPr></w:pPr><w:r><w:rPr><w:rFonts w:ascii="Arial" w:hAnsi="Arial" w:eastAsia="Arial" w:cs="Arial"/><w:sz w:val="19"/><w:szCs w:val="19"/></w:rPr><w:t xml:space="preserve">Disposisi Pembimbing: Evaluasi usulan judul mahasiswa, periksa indikator batas kuota aktif dosen, dan tetapkan Pembimbing 1 & 2 di menu Pengajuan Judul.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Validasi Berkas Ujian: Tinjau kelengkapan berkas pendaftaran sempro dan sidang skripsi mahasiswa pada menu Validasi Pendaftaran.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AutoSchedule Simulation: Jalankan mesin simulasi penjadwalan otomatis untuk menyusun jadwal ujian tanpa tabrakan dosen dan ruangan.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Ekspor Word (.docx): Ekspor rekapitulasi jadwal resmi seminar dan sidang lengkap dengan kop surat dan tanda tangan digital ke format Microsoft Word.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Monitoring Kritis: Pantau mahasiswa bimbingan pasif (>30 hari) dan mahasiswa angkatan tua di menu Monitoring Masa Studi (DO Alert).</w:t></w:r></w:p><w:p/><w:p><w:pPr><w:pStyle w:val="Heading1"/></w:pPr><w:bookmarkStart w:id="3" w:name="_Toc3"/><w:r><w:t>4. PANDUAN ADMINISTRATOR, STAF TU & DEKAN</w:t></w:r><w:bookmarkEnd w:id="3"/></w:p><w:p><w:pPr><w:spacing w:after="40"/><w:numPr><w:ilvl w:val="0"/><w:numId w:val="5"/></w:numPr></w:pPr><w:r><w:rPr><w:rFonts w:ascii="Arial" w:hAnsi="Arial" w:eastAsia="Arial" w:cs="Arial"/><w:sz w:val="19"/><w:szCs w:val="19"/></w:rPr><w:t xml:space="preserve">Manajemen User: Tambah akun baru, reset password pengguna, dan impor pengguna massal via Excel di menu Data Pengguna.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Gelombang Ujian: Atur tanggal buka dan tutup gelombang pelaksanaan sempro dan sidang di menu Gelombang Pelaksanaan.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Penomoran Surat: Konfigurasi pola nomor otomatis untuk Berita Acara dan SK Dekan di menu Pengaturan Nomor Surat.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Broadcast WhatsApp: Kirimkan pengumuman atau pengingat jadwal massal menggunakan Spintax di menu Broadcast WA.</w:t></w:r></w:p><w:p><w:pPr><w:spacing w:after="40"/><w:numPr><w:ilvl w:val="0"/><w:numId w:val="5"/></w:numPr></w:pPr><w:r><w:rPr><w:rFonts w:ascii="Arial" w:hAnsi="Arial" w:eastAsia="Arial" w:cs="Arial"/><w:sz w:val="19"/><w:szCs w:val="19"/></w:rPr><w:t xml:space="preserve">Backup & Cache: Lakukan backup basis data berkala (.sql.gz) dan bersihkan cache aplikasi di menu Pemeliharaan Sistem.</w:t></w:r></w:p><w:sectPr><w:pgSz w:orient="portrait" w:w="11905.511811023622" w:h="16837.79527559055"/><w:pgMar w:top="1417.3228346456694" w:right="1417.3228346456694" w:bottom="1417.3228346456694" w:left="1417.3228346456694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nsid w:val="D8B4A946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5">
    <w:abstractNumId w:val="5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160" w:after="100"/>
    </w:pPr>
    <w:rPr>
      <w:rFonts w:ascii="Arial" w:hAnsi="Arial" w:eastAsia="Arial" w:cs="Arial"/>
      <w:color w:val="C2410C"/>
      <w:sz w:val="30"/>
      <w:szCs w:val="30"/>
      <w:b w:val="1"/>
      <w:bCs w:val="1"/>
    </w:rPr>
  </w:style>
  <w:style w:type="paragraph" w:styleId="Heading2">
    <w:link w:val="Heading2Char"/>
    <w:name w:val="heading 2"/>
    <w:basedOn w:val="Normal"/>
    <w:pPr>
      <w:spacing w:before="140" w:after="60"/>
    </w:pPr>
    <w:rPr>
      <w:rFonts w:ascii="Arial" w:hAnsi="Arial" w:eastAsia="Arial" w:cs="Arial"/>
      <w:color w:val="1E293B"/>
      <w:sz w:val="24"/>
      <w:szCs w:val="24"/>
      <w:b w:val="1"/>
      <w:bCs w:val="1"/>
    </w:rPr>
  </w:style>
  <w:style w:type="paragraph" w:styleId="Heading3">
    <w:link w:val="Heading3Char"/>
    <w:name w:val="heading 3"/>
    <w:basedOn w:val="Normal"/>
    <w:pPr>
      <w:spacing w:before="100" w:after="40"/>
    </w:pPr>
    <w:rPr>
      <w:rFonts w:ascii="Arial" w:hAnsi="Arial" w:eastAsia="Arial" w:cs="Arial"/>
      <w:color w:val="334155"/>
      <w:sz w:val="21"/>
      <w:szCs w:val="21"/>
      <w:b w:val="1"/>
      <w:bCs w:val="1"/>
    </w:rPr>
  </w:style>
  <w:style w:type="table" w:customStyle="1" w:styleId="ManualMetaTable">
    <w:name w:val="ManualMetaTable"/>
    <w:uiPriority w:val="99"/>
    <w:tblPr>
      <w:jc w:val="center"/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CBD5E1"/>
        <w:left w:val="single" w:sz="6" w:color="CBD5E1"/>
        <w:right w:val="single" w:sz="6" w:color="CBD5E1"/>
        <w:bottom w:val="single" w:sz="6" w:color="CBD5E1"/>
        <w:insideH w:val="single" w:sz="6" w:color="CBD5E1"/>
        <w:insideV w:val="single" w:sz="6" w:color="CBD5E1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2026-10-29T06:39:53+01:00</dcterms:created>
  <dcterms:modified xsi:type="dcterms:W3CDTF">2026-10-29T06:39:53+01:00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