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8A"/>
          <w:sz w:val="32"/>
          <w:szCs w:val="32"/>
        </w:rPr>
        <w:t xml:space="preserve">PANDUAN BISNIS PROSES &amp; LOGIKA PEMETAAN (MAPPING)</w:t>
      </w:r>
    </w:p>
    <w:p>
      <w:pPr>
        <w:spacing w:after="300"/>
        <w:jc w:val="center"/>
      </w:pPr>
      <w:r>
        <w:rPr>
          <w:b/>
          <w:bCs/>
          <w:color w:val="4B5563"/>
          <w:sz w:val="24"/>
          <w:szCs w:val="24"/>
        </w:rPr>
        <w:t xml:space="preserve">Data RKA Mentah ➔ Rule Engine (Klasifikasi) ➔ Laporan Proposal RKAT &amp; RKA Kementerian</w:t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Sistem Informasi Perencanaan &amp; Verifikasi Anggaran RKAT</w:t>
      </w:r>
    </w:p>
    <w:p>
      <w:pPr>
        <w:pStyle w:val="Heading1"/>
        <w:spacing w:after="120" w:before="200"/>
      </w:pPr>
      <w:r>
        <w:rPr>
          <w:b/>
          <w:bCs/>
          <w:color w:val="1E3A8A"/>
          <w:sz w:val="26"/>
          <w:szCs w:val="26"/>
        </w:rPr>
        <w:t xml:space="preserve">1. Gambaran Umum &amp; Arsitektur Alur Data</w:t>
      </w:r>
    </w:p>
    <w:p>
      <w:r>
        <w:t xml:space="preserve">Sistem pelaporan RKA mengintegrasikan dua model output utama yang bersumber dari satu basis data transaksi RKA yang sama (tabel rkat_penerimaan dan rkat_pengeluaran). Alur kerja terdiri dari 3 tahapan utama: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Tahap 1: Data RKA Mentah (Database): </w:t>
      </w:r>
      <w:r>
        <w:t xml:space="preserve">Memuat data usulan belanja dan pendapatan unit kerja dengan atribut akun MAK, kegiatan, uraian belanja, anggaran, sumber dana, unit kerja, dan sasaran/tujuan.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Tahap 2: Rule Engine Klasifikasi (/rka/rules): </w:t>
      </w:r>
      <w:r>
        <w:t xml:space="preserve">Menjalankan pencocokan cerdas berdasarkan akun, kata kunci, dan unit kerja untuk memberi label/tag klasifikasi pada data transaksi secara serentak ke dalam basis data.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Tahap 3: Generator Laporan (/rka/laporan): </w:t>
      </w:r>
      <w:r>
        <w:t xml:space="preserve">Menyusun laporan secara otomatis ke dalam format Proposal RKAT (Penerimaan vs Pengeluaran &amp; Surplus/Defisit) dan format RKA Kementerian RI (Struktur baku 6 kolom: BPPTNBH, Selain APBN, dan Rupiah Murni).</w:t>
      </w:r>
    </w:p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2. Bisnis Proses &amp; Logika Pemetaan "Proposal RKAT"</w:t>
      </w:r>
    </w:p>
    <w:p>
      <w:r>
        <w:t xml:space="preserve">Laporan Proposal RKAT berfokus pada keseimbangan keuangan (Penerimaan vs Pengeluaran) universitas dan unit kerja, dengan struktur hierarkis baku sebagai berikut:</w:t>
      </w:r>
    </w:p>
    <w:p>
      <w:pPr>
        <w:pStyle w:val="Heading2"/>
        <w:spacing w:after="80" w:before="150"/>
      </w:pPr>
      <w:r>
        <w:rPr>
          <w:b/>
          <w:bCs/>
          <w:color w:val="1D4ED8"/>
          <w:sz w:val="22"/>
          <w:szCs w:val="22"/>
        </w:rPr>
        <w:t xml:space="preserve">2.1. Struktur &amp; Mapping Penerimaan (Proposal RKAT)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 Laporan Penerimaan</w:t>
            </w:r>
          </w:p>
        </w:tc>
        <w:tc>
          <w:tcPr>
            <w:tcW w:type="pct" w:w="40%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Kriteria Akun / Kata Kunci Matching</w:t>
            </w:r>
          </w:p>
        </w:tc>
        <w:tc>
          <w:tcPr>
            <w:tcW w:type="pct" w:w="25%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 Sumber Dana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Penerimaan Gaji &amp; Tunjangan PNS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41* / Kata kunci: "gaji", "tunjangan pns", "pns"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Dana Pemerintah (APBN)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Bantuan Pendanaan PTN-BH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42103* / Kata kunci: "bantuan pendanaan", "bp ptn bh", "bpptnbh"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Dana Pemerintah (BPPTNBH)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Penerimaan Pemerintah Lainnya: Penelitian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Kata kunci: "penelitian", kontrak riset pemerintah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Dana Pemerintah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Penerimaan Pemerintah Lainnya: Beasiswa &amp; Kerjasama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42503* / Kata kunci: "beasiswa", "kontrak kerjasama pemerintah"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Dana Pemerintah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Penerimaan Pemerintah Lainnya: STP ADB &amp; EQUITY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Kata kunci: "science techno park", "stp", "adb", "equity"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Dana Pemerintah (Hibah Luar Negeri)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Penerimaan Pendidikan Utama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411* / Kata kunci: "ukt", "s1", "s2", "s3", "vokasi", "sarjana"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Dana Masyarakat (UKT/SPP)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Penerimaan Pendidikan Lainnya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412* / Kata kunci: "seleksi", "registrasi", "admisi"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Dana Masyarakat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Penerimaan Non-Pendidikan: Hibah, Jasa, Aset, UPU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421*, 422*, 423*, 426*, 427* / Kata kunci: "hibah", "jasa", "sewa", "aset", "upu"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Dana Masyarakat Non-Akademik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Penerimaan Lainnya / Surplus TA Lalu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40101* / Kata kunci: "surplus tahun sebelumnya"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Saldo Awal / SILPA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D4ED8"/>
          <w:sz w:val="22"/>
          <w:szCs w:val="22"/>
        </w:rPr>
        <w:t xml:space="preserve">2.2. Struktur &amp; Mapping Pengeluaran (Proposal RKAT)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 Laporan Pengeluaran</w:t>
            </w:r>
          </w:p>
        </w:tc>
        <w:tc>
          <w:tcPr>
            <w:tcW w:type="pct" w:w="40%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Kriteria Kode MAK &amp; Kata Kunci</w:t>
            </w:r>
          </w:p>
        </w:tc>
        <w:tc>
          <w:tcPr>
            <w:tcW w:type="pct" w:w="25%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 Pos Belanja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I. Belanja Pegawai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MAK 51* / Kata kunci: "pegawai", "gaji", "honor"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Operasional SDM Dosen &amp; Tendik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I. Belanja Barang &amp; Jasa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MAK 52* / Kata kunci: "barang", "jasa", "konsumsi"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Operasional Rutin &amp; Bahan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I. Belanja Perbaikan &amp; Pemeliharaan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MAK 53* / Kata kunci: "pemeliharaan", "perbaikan", "renovasi"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Pemeliharaan Sarpras &amp; Alat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I. Belanja Perjalanan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MAK 54* / Kata kunci: "perjalanan", "dinas", "transport"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Perjalanan Dinas Dalam &amp; Luar Negeri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II. Belanja Modal (Investasi)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MAK 55* / Kata kunci: "modal"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Pengadaan Aset Tetap, Gedung, Alat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II. Belanja Transfer Antar Unit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Akun MAK 56* atau 42701* / Kata kunci: "antar unit", "transfer"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Transfer Rekening Antar Unit</w:t>
            </w:r>
          </w:p>
        </w:tc>
      </w:tr>
      <w:tr>
        <w:tc>
          <w:tcPr>
            <w:tcW w:type="pct" w:w="3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III. Program Strategis: STP ADB, PUAPT, EQUITY</w:t>
            </w:r>
          </w:p>
        </w:tc>
        <w:tc>
          <w:tcPr>
            <w:tcW w:type="pct" w:w="4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Kata kunci: "techno park", "adb", "puapt", "equity"</w:t>
            </w:r>
          </w:p>
        </w:tc>
        <w:tc>
          <w:tcPr>
            <w:tcW w:type="pct" w:w="25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Program Khusus &amp; Hibah Luar Negeri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3. Bisnis Proses &amp; Logika Pemetaan "RKA Kementerian" (6 Kolom Baku)</w:t>
      </w:r>
    </w:p>
    <w:p>
      <w:r>
        <w:t xml:space="preserve">Laporan RKA Kementerian mengikuti standar format baku Kementerian Pendidikan, Kebudayaan, Riset, dan Teknologi RI. Terbagi atas 3 blok pendanaan utama: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Blok 1 - BPPTNBH: </w:t>
      </w:r>
      <w:r>
        <w:t xml:space="preserve">Dana Bantuan Operasional PTN-BH untuk pos Operasional, Dosen Non-ASN, Tendik Non-ASN, Biaya Investasi, dan Biaya Pengembangan.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Blok 2 - SELAIN APBN: </w:t>
      </w:r>
      <w:r>
        <w:t xml:space="preserve">Seluruh belanja yang didanai dari Dana Masyarakat universitas. Terbagi menjadi pos Operasional (I), Dosen Non-PNS (II), Tendik Non-PNS (III), Investasi (IV), Pengembangan (V), dan Remunerasi (VI).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Blok 3 - RUPIAH MURNI (RM): </w:t>
      </w:r>
      <w:r>
        <w:t xml:space="preserve">Belanja Gaji dan Tunjangan PNS/PPPK yang dialokasikan dari DIPA APBN Kementerian.</w:t>
      </w:r>
    </w:p>
    <w:p>
      <w:pPr>
        <w:pStyle w:val="Heading2"/>
        <w:spacing w:after="80" w:before="200"/>
      </w:pPr>
      <w:r>
        <w:rPr>
          <w:b/>
          <w:bCs/>
          <w:color w:val="1D4ED8"/>
          <w:sz w:val="22"/>
          <w:szCs w:val="22"/>
        </w:rPr>
        <w:t xml:space="preserve">3.1. Logika Distribusi Otomatis Sub-Pos IKU Universitas (A s/d E)</w:t>
      </w:r>
    </w:p>
    <w:p>
      <w:r>
        <w:t xml:space="preserve">Pada blok SELAIN APBN, pos IV (Investasi), V (Pengembangan), dan VI (Remunerasi) memiliki 5 sub-pos tujuan yang sama persis. Sistem membaca digit pertama dari kode kegiatan (atau kolom sasaran/tujuan):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Digit Awal Kegiatan</w:t>
            </w:r>
          </w:p>
        </w:tc>
        <w:tc>
          <w:tcPr>
            <w:tcW w:type="pct" w:w="42%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Sub-Pos Tujuan Template</w:t>
            </w:r>
          </w:p>
        </w:tc>
        <w:tc>
          <w:tcPr>
            <w:tcW w:type="pct" w:w="14%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 INVESTASI (IV)</w:t>
            </w:r>
          </w:p>
        </w:tc>
        <w:tc>
          <w:tcPr>
            <w:tcW w:type="pct" w:w="13%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 PENGEMBANGAN (V)</w:t>
            </w:r>
          </w:p>
        </w:tc>
        <w:tc>
          <w:tcPr>
            <w:tcW w:type="pct" w:w="13%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 REMUNERASI (VI)</w:t>
            </w:r>
          </w:p>
        </w:tc>
      </w:tr>
      <w:tr>
        <w:tc>
          <w:tcPr>
            <w:tcW w:type="pct" w:w="18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1 (contoh: 1.2.2.5...)</w:t>
            </w:r>
          </w:p>
        </w:tc>
        <w:tc>
          <w:tcPr>
            <w:tcW w:type="pct" w:w="42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A. Mewujudkan pendidikan transdisiplin yang unggul, inovatif, inklusif dan aplikatif</w:t>
            </w:r>
          </w:p>
        </w:tc>
        <w:tc>
          <w:tcPr>
            <w:tcW w:type="pct" w:w="14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IV.A (lrka_121)</w:t>
            </w:r>
          </w:p>
        </w:tc>
        <w:tc>
          <w:tcPr>
            <w:tcW w:type="pct" w:w="13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V.A (lrka_127)</w:t>
            </w:r>
          </w:p>
        </w:tc>
        <w:tc>
          <w:tcPr>
            <w:tcW w:type="pct" w:w="13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VI.A (lrka_133)</w:t>
            </w:r>
          </w:p>
        </w:tc>
      </w:tr>
      <w:tr>
        <w:tc>
          <w:tcPr>
            <w:tcW w:type="pct" w:w="18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2 (contoh: 2.1.3.4...)</w:t>
            </w:r>
          </w:p>
        </w:tc>
        <w:tc>
          <w:tcPr>
            <w:tcW w:type="pct" w:w="42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B. Mewujudkan reputasi akademik yang unggul melalui penelitian translasional...</w:t>
            </w:r>
          </w:p>
        </w:tc>
        <w:tc>
          <w:tcPr>
            <w:tcW w:type="pct" w:w="14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IV.B (lrka_122)</w:t>
            </w:r>
          </w:p>
        </w:tc>
        <w:tc>
          <w:tcPr>
            <w:tcW w:type="pct" w:w="13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V.B (lrka_128)</w:t>
            </w:r>
          </w:p>
        </w:tc>
        <w:tc>
          <w:tcPr>
            <w:tcW w:type="pct" w:w="13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VI.B (lrka_134)</w:t>
            </w:r>
          </w:p>
        </w:tc>
      </w:tr>
      <w:tr>
        <w:tc>
          <w:tcPr>
            <w:tcW w:type="pct" w:w="18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3 (contoh: 3.1.1.2...)</w:t>
            </w:r>
          </w:p>
        </w:tc>
        <w:tc>
          <w:tcPr>
            <w:tcW w:type="pct" w:w="42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C. Mewujudkan pengabdian kepada masyarakat yang berkualitas, komprehensif...</w:t>
            </w:r>
          </w:p>
        </w:tc>
        <w:tc>
          <w:tcPr>
            <w:tcW w:type="pct" w:w="14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IV.C (lrka_123)</w:t>
            </w:r>
          </w:p>
        </w:tc>
        <w:tc>
          <w:tcPr>
            <w:tcW w:type="pct" w:w="13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V.C (lrka_129)</w:t>
            </w:r>
          </w:p>
        </w:tc>
        <w:tc>
          <w:tcPr>
            <w:tcW w:type="pct" w:w="13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VI.C (lrka_135)</w:t>
            </w:r>
          </w:p>
        </w:tc>
      </w:tr>
      <w:tr>
        <w:tc>
          <w:tcPr>
            <w:tcW w:type="pct" w:w="18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4 (contoh: 4.1.10.1...)</w:t>
            </w:r>
          </w:p>
        </w:tc>
        <w:tc>
          <w:tcPr>
            <w:tcW w:type="pct" w:w="42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D. Menjamin tata kelola universitas yang dinamis, terintegrasi, dan berkelanjutan</w:t>
            </w:r>
          </w:p>
        </w:tc>
        <w:tc>
          <w:tcPr>
            <w:tcW w:type="pct" w:w="14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IV.D (lrka_124)</w:t>
            </w:r>
          </w:p>
        </w:tc>
        <w:tc>
          <w:tcPr>
            <w:tcW w:type="pct" w:w="13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V.D (lrka_130)</w:t>
            </w:r>
          </w:p>
        </w:tc>
        <w:tc>
          <w:tcPr>
            <w:tcW w:type="pct" w:w="13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VI.D (lrka_136)</w:t>
            </w:r>
          </w:p>
        </w:tc>
      </w:tr>
      <w:tr>
        <w:tc>
          <w:tcPr>
            <w:tcW w:type="pct" w:w="18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5 (contoh: 5.2.3.2...)</w:t>
            </w:r>
          </w:p>
        </w:tc>
        <w:tc>
          <w:tcPr>
            <w:tcW w:type="pct" w:w="42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E. Mewujudkan atmosfer kampus yang sehat, ramah lingkungan, berbudaya...</w:t>
            </w:r>
          </w:p>
        </w:tc>
        <w:tc>
          <w:tcPr>
            <w:tcW w:type="pct" w:w="14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IV.E (lrka_125)</w:t>
            </w:r>
          </w:p>
        </w:tc>
        <w:tc>
          <w:tcPr>
            <w:tcW w:type="pct" w:w="13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V.E (lrka_131)</w:t>
            </w:r>
          </w:p>
        </w:tc>
        <w:tc>
          <w:tcPr>
            <w:tcW w:type="pct" w:w="13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VI.E (lrka_137)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D4ED8"/>
          <w:sz w:val="22"/>
          <w:szCs w:val="22"/>
        </w:rPr>
        <w:t xml:space="preserve">3.2. Kriteria Pemetaan Tiga Pos Utama di Selain APBN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 IV. INVESTASI: </w:t>
      </w:r>
      <w:r>
        <w:t xml:space="preserve">Ditandai untuk transaksi belanja modal akun MAK 55xxx (55101 s/d 55201) atau tag "INVESTASI". Seluruhnya dialirkan ke blok Selain APBN dan terdistribusi ke sub-pos IV.A s/d IV.E.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 V. PENGEMBANGAN: </w:t>
      </w:r>
      <w:r>
        <w:t xml:space="preserve">Ditandai jika nama kegiatan memuat kata "pengembangan" atau akun memuat "beasiswa" dan "bantuan tridharma", atau tag "PENGEMBANGAN". Terdistribusi ke sub-pos V.A s/d V.E.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 VI. REMUNERASI: </w:t>
      </w:r>
      <w:r>
        <w:t xml:space="preserve">Ditandai jika nama akun/uraian belanja memuat "insentif" atau "tunjangan" (di luar gaji pokok PNS/PPPK), atau tag "REMUNERASI". Terdistribusi ke sub-pos VI.A s/d VI.E.</w:t>
      </w:r>
    </w:p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4. Prosedur Operasional Pengelolaan Aturan di Menu Rules (/rka/rules)</w:t>
      </w:r>
    </w:p>
    <w:p>
      <w:r>
        <w:t xml:space="preserve">Pengguna memiliki kendali penuh untuk menambah, mengedit, dan mengeksekusi aturan tagging kapan saja melalui antarmuka web: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Langkah 1 - Buka Menu: </w:t>
      </w:r>
      <w:r>
        <w:t xml:space="preserve">Akses halaman http://localhost:3000/rka/rules pada browser.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Langkah 2 - Pilih Target Format: </w:t>
      </w:r>
      <w:r>
        <w:t xml:space="preserve">Pilih "RKA Kementrian" atau "Proposal RKAT" sesuai jenis laporan yang ingin diatur.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Langkah 3 - Tentukan Kriteria: </w:t>
      </w:r>
      <w:r>
        <w:t xml:space="preserve">Isi filter Unit Kerja ("*" untuk semua), Akun Belanja (contoh "55*"), Kata Kunci (contoh "insentif, tunjangan"), dan Nilai Klasifikasi pos utama.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Langkah 4 - Simpan &amp; Terapkan: </w:t>
      </w:r>
      <w:r>
        <w:t xml:space="preserve">Klik tombol "Simpan Aturan", lalu klik tombol "⚡ Terapkan Aturan ke Database" untuk melakukan eksekusi langsung ke puluhan ribu baris data belanja secara instan.</w:t>
      </w:r>
    </w:p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5. Status Deployment &amp; Sinkronisasi Live</w:t>
      </w:r>
    </w:p>
    <w:p>
      <w:r>
        <w:t xml:space="preserve">Seluruh kode logika mapping, rule engine, dan template laporan telah berhasil divalidasi dengan build Next.js (exit code 0) dan telah di-push secara penuh ke repositori GitHub pada branch main (commit 9ce9df1). Karena proyek terhubung dengan Vercel, pembaruan ini secara otomatis ter-trigger untuk proses deployment ke server production Vercel.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2026-10-09T03:45:00.920Z</dcterms:created>
  <dcterms:modified xsi:type="dcterms:W3CDTF">2026-10-09T03:45:00.921Z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