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4" w:lineRule="auto"/>
      </w:pPr>
      <w:r>
        <w:rPr>
          <w:b/>
          <w:color w:val="17365D"/>
          <w:sz w:val="54"/>
        </w:rPr>
        <w:t>RESCUE-NET</w:t>
      </w:r>
    </w:p>
    <w:p>
      <w:pPr>
        <w:spacing w:after="80" w:line="254" w:lineRule="auto"/>
      </w:pPr>
      <w:r>
        <w:rPr>
          <w:b/>
          <w:color w:val="0E7490"/>
          <w:sz w:val="30"/>
        </w:rPr>
        <w:t>DISASTER MANAGEMENT SYSTEM BLUEPRINT</w:t>
      </w:r>
    </w:p>
    <w:p>
      <w:pPr>
        <w:pStyle w:val="RNSmall"/>
        <w:spacing w:after="140" w:line="259" w:lineRule="auto"/>
      </w:pPr>
      <w:r>
        <w:t>Decision-centric • Traceable • Multi-organization • Offline-capable • Human-governed AI</w:t>
      </w:r>
    </w:p>
    <w:tbl>
      <w:tblPr>
        <w:tblStyle w:val="TableGrid"/>
        <w:tblW w:type="auto" w:w="0"/>
        <w:jc w:val="center"/>
        <w:tblLook w:firstColumn="1" w:firstRow="1" w:lastColumn="0" w:lastRow="0" w:noHBand="0" w:noVBand="1" w:val="04A0"/>
      </w:tblPr>
      <w:tblGrid>
        <w:gridCol w:w="10036"/>
      </w:tblGrid>
      <w:tr>
        <w:tc>
          <w:tcPr>
            <w:tcW w:type="dxa" w:w="10036"/>
            <w:shd w:fill="E8F1F5"/>
            <w:tcMar>
              <w:top w:w="120" w:type="dxa"/>
              <w:start w:w="150" w:type="dxa"/>
              <w:bottom w:w="120" w:type="dxa"/>
              <w:end w:w="150" w:type="dxa"/>
            </w:tcMar>
          </w:tcPr>
          <w:p>
            <w:pPr>
              <w:spacing w:after="0"/>
            </w:pPr>
            <w:r>
              <w:rPr>
                <w:b/>
                <w:color w:val="0E7490"/>
                <w:sz w:val="20"/>
              </w:rPr>
              <w:t>TUJUAN UTAMA</w:t>
            </w:r>
          </w:p>
          <w:p>
            <w:pPr>
              <w:spacing w:after="0"/>
            </w:pPr>
            <w:r>
              <w:rPr>
                <w:b/>
                <w:color w:val="1F2937"/>
                <w:sz w:val="20"/>
              </w:rPr>
              <w:t>Mengubah laporan bencana yang terfragmentasi menjadi keputusan operasional yang dapat dipercaya, dapat ditelusuri, dan dapat dieksekusi—tanpa menghapus laporan asli, tanpa double counting, dan tanpa menggantungkan keputusan kritis pada AI.</w:t>
            </w:r>
          </w:p>
        </w:tc>
      </w:tr>
    </w:tbl>
    <w:p>
      <w:pPr>
        <w:spacing w:after="80" w:line="254" w:lineRule="auto"/>
      </w:pPr>
    </w:p>
    <w:tbl>
      <w:tblPr>
        <w:tblStyle w:val="TableGrid"/>
        <w:tblW w:type="auto" w:w="0"/>
        <w:jc w:val="center"/>
        <w:tblLook w:firstColumn="1" w:firstRow="1" w:lastColumn="0" w:lastRow="0" w:noHBand="0" w:noVBand="1" w:val="04A0"/>
      </w:tblPr>
      <w:tblGrid>
        <w:gridCol w:w="3345"/>
        <w:gridCol w:w="3345"/>
        <w:gridCol w:w="3345"/>
      </w:tblGrid>
      <w:tr>
        <w:tc>
          <w:tcPr>
            <w:tcW w:type="dxa" w:w="3345"/>
            <w:tcMar>
              <w:top w:w="90" w:type="dxa"/>
              <w:start w:w="100" w:type="dxa"/>
              <w:bottom w:w="90" w:type="dxa"/>
              <w:end w:w="100" w:type="dxa"/>
            </w:tcMar>
            <w:shd w:fill="F8FAFC"/>
          </w:tcPr>
          <w:p>
            <w:r>
              <w:rPr>
                <w:b/>
                <w:color w:val="17365D"/>
                <w:sz w:val="19"/>
              </w:rPr>
              <w:t>Operational Truth</w:t>
            </w:r>
          </w:p>
          <w:p>
            <w:pPr>
              <w:spacing w:after="0"/>
            </w:pPr>
            <w:r>
              <w:rPr>
                <w:color w:val="1F2937"/>
                <w:sz w:val="16"/>
              </w:rPr>
              <w:t>Raw Report dipisahkan dari hasil verifikasi, konsolidasi, correction, dan War Room.</w:t>
            </w:r>
          </w:p>
        </w:tc>
        <w:tc>
          <w:tcPr>
            <w:tcW w:type="dxa" w:w="3345"/>
            <w:tcMar>
              <w:top w:w="90" w:type="dxa"/>
              <w:start w:w="100" w:type="dxa"/>
              <w:bottom w:w="90" w:type="dxa"/>
              <w:end w:w="100" w:type="dxa"/>
            </w:tcMar>
            <w:shd w:fill="F8FAFC"/>
          </w:tcPr>
          <w:p>
            <w:r>
              <w:rPr>
                <w:b/>
                <w:color w:val="17365D"/>
                <w:sz w:val="19"/>
              </w:rPr>
              <w:t>End-to-End Response</w:t>
            </w:r>
          </w:p>
          <w:p>
            <w:pPr>
              <w:spacing w:after="0"/>
            </w:pPr>
            <w:r>
              <w:rPr>
                <w:color w:val="1F2937"/>
                <w:sz w:val="16"/>
              </w:rPr>
              <w:t>Reporting → verification → logistics → medical → shelter → search/found → recovery.</w:t>
            </w:r>
          </w:p>
        </w:tc>
        <w:tc>
          <w:tcPr>
            <w:tcW w:type="dxa" w:w="3345"/>
            <w:tcMar>
              <w:top w:w="90" w:type="dxa"/>
              <w:start w:w="100" w:type="dxa"/>
              <w:bottom w:w="90" w:type="dxa"/>
              <w:end w:w="100" w:type="dxa"/>
            </w:tcMar>
            <w:shd w:fill="F8FAFC"/>
          </w:tcPr>
          <w:p>
            <w:r>
              <w:rPr>
                <w:b/>
                <w:color w:val="17365D"/>
                <w:sz w:val="19"/>
              </w:rPr>
              <w:t>Multi-Organization</w:t>
            </w:r>
          </w:p>
          <w:p>
            <w:pPr>
              <w:spacing w:after="0"/>
            </w:pPr>
            <w:r>
              <w:rPr>
                <w:color w:val="1F2937"/>
                <w:sz w:val="16"/>
              </w:rPr>
              <w:t>Organisasi, Posko, relawan, verifier, donor, pemerintah, dan command center dalam scope terkontrol.</w:t>
            </w:r>
          </w:p>
        </w:tc>
      </w:tr>
      <w:tr>
        <w:tc>
          <w:tcPr>
            <w:tcW w:type="dxa" w:w="3345"/>
            <w:tcMar>
              <w:top w:w="90" w:type="dxa"/>
              <w:start w:w="100" w:type="dxa"/>
              <w:bottom w:w="90" w:type="dxa"/>
              <w:end w:w="100" w:type="dxa"/>
            </w:tcMar>
            <w:shd w:fill="F3F6F8"/>
          </w:tcPr>
          <w:p>
            <w:r>
              <w:rPr>
                <w:b/>
                <w:color w:val="17365D"/>
                <w:sz w:val="19"/>
              </w:rPr>
              <w:t>Offline &amp; Resilient</w:t>
            </w:r>
          </w:p>
          <w:p>
            <w:pPr>
              <w:spacing w:after="0"/>
            </w:pPr>
            <w:r>
              <w:rPr>
                <w:color w:val="1F2937"/>
                <w:sz w:val="16"/>
              </w:rPr>
              <w:t>PWA/local queue, retry, conflict handling, dan operasi regional tetap dirancang untuk konektivitas tidak stabil.</w:t>
            </w:r>
          </w:p>
        </w:tc>
        <w:tc>
          <w:tcPr>
            <w:tcW w:type="dxa" w:w="3345"/>
            <w:tcMar>
              <w:top w:w="90" w:type="dxa"/>
              <w:start w:w="100" w:type="dxa"/>
              <w:bottom w:w="90" w:type="dxa"/>
              <w:end w:w="100" w:type="dxa"/>
            </w:tcMar>
            <w:shd w:fill="F3F6F8"/>
          </w:tcPr>
          <w:p>
            <w:r>
              <w:rPr>
                <w:b/>
                <w:color w:val="17365D"/>
                <w:sz w:val="19"/>
              </w:rPr>
              <w:t>AI with Human Authority</w:t>
            </w:r>
          </w:p>
          <w:p>
            <w:pPr>
              <w:spacing w:after="0"/>
            </w:pPr>
            <w:r>
              <w:rPr>
                <w:color w:val="1F2937"/>
                <w:sz w:val="16"/>
              </w:rPr>
              <w:t>AI membantu normalisasi, ringkasan, prioritas, dan pattern detection; keputusan kritis tetap manusia.</w:t>
            </w:r>
          </w:p>
        </w:tc>
        <w:tc>
          <w:tcPr>
            <w:tcW w:type="dxa" w:w="3345"/>
            <w:tcMar>
              <w:top w:w="90" w:type="dxa"/>
              <w:start w:w="100" w:type="dxa"/>
              <w:bottom w:w="90" w:type="dxa"/>
              <w:end w:w="100" w:type="dxa"/>
            </w:tcMar>
            <w:shd w:fill="F3F6F8"/>
          </w:tcPr>
          <w:p>
            <w:r>
              <w:rPr>
                <w:b/>
                <w:color w:val="17365D"/>
                <w:sz w:val="19"/>
              </w:rPr>
              <w:t>Evolutionary Architecture</w:t>
            </w:r>
          </w:p>
          <w:p>
            <w:pPr>
              <w:spacing w:after="0"/>
            </w:pPr>
            <w:r>
              <w:rPr>
                <w:color w:val="1F2937"/>
                <w:sz w:val="16"/>
              </w:rPr>
              <w:t>Modular, API-first, migration-safe; transisi FastAPI/PostgreSQL → Frappe dilakukan bertahap dengan UAT.</w:t>
            </w:r>
          </w:p>
        </w:tc>
      </w:tr>
    </w:tbl>
    <w:p>
      <w:pPr>
        <w:pStyle w:val="RNLead"/>
        <w:spacing w:after="60" w:line="259" w:lineRule="auto"/>
      </w:pPr>
      <w:r>
        <w:t>KEMAMPUAN INTI</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0E7490"/>
            <w:tcMar>
              <w:top w:w="80" w:type="dxa"/>
              <w:start w:w="100" w:type="dxa"/>
              <w:bottom w:w="80" w:type="dxa"/>
              <w:end w:w="100" w:type="dxa"/>
            </w:tcMar>
            <w:vAlign w:val="center"/>
          </w:tcPr>
          <w:p>
            <w:pPr>
              <w:jc w:val="center"/>
            </w:pPr>
            <w:r>
              <w:rPr>
                <w:b/>
                <w:color w:val="FFFFFF"/>
                <w:sz w:val="16"/>
              </w:rPr>
              <w:t>Capability Area</w:t>
            </w:r>
          </w:p>
        </w:tc>
        <w:tc>
          <w:tcPr>
            <w:tcW w:type="dxa" w:w="7370"/>
            <w:shd w:fill="0E7490"/>
            <w:tcMar>
              <w:top w:w="80" w:type="dxa"/>
              <w:start w:w="100" w:type="dxa"/>
              <w:bottom w:w="80" w:type="dxa"/>
              <w:end w:w="100" w:type="dxa"/>
            </w:tcMar>
            <w:vAlign w:val="center"/>
          </w:tcPr>
          <w:p>
            <w:pPr>
              <w:jc w:val="center"/>
            </w:pPr>
            <w:r>
              <w:rPr>
                <w:b/>
                <w:color w:val="FFFFFF"/>
                <w:sz w:val="16"/>
              </w:rPr>
              <w:t>Ringkasan</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Capture &amp; Trust</w:t>
            </w:r>
          </w:p>
        </w:tc>
        <w:tc>
          <w:tcPr>
            <w:tcW w:type="dxa" w:w="7370"/>
            <w:tcMar>
              <w:top w:w="80" w:type="dxa"/>
              <w:start w:w="100" w:type="dxa"/>
              <w:bottom w:w="80" w:type="dxa"/>
              <w:end w:w="100" w:type="dxa"/>
            </w:tcMar>
            <w:vAlign w:val="top"/>
          </w:tcPr>
          <w:p>
            <w:pPr>
              <w:spacing w:after="0" w:line="240" w:lineRule="auto"/>
            </w:pPr>
            <w:r>
              <w:rPr>
                <w:rFonts w:ascii="Arial" w:hAnsi="Arial"/>
                <w:b w:val="0"/>
                <w:color w:val="1F2937"/>
                <w:sz w:val="16"/>
              </w:rPr>
              <w:t>Laporan masyarakat, evidence, GPS, verifikasi, conflict/duplicate review</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Command &amp; Coordination</w:t>
            </w:r>
          </w:p>
        </w:tc>
        <w:tc>
          <w:tcPr>
            <w:tcW w:type="dxa" w:w="7370"/>
            <w:tcMar>
              <w:top w:w="80" w:type="dxa"/>
              <w:start w:w="100" w:type="dxa"/>
              <w:bottom w:w="80" w:type="dxa"/>
              <w:end w:w="100" w:type="dxa"/>
            </w:tcMar>
            <w:vAlign w:val="top"/>
            <w:shd w:fill="FAFBFC"/>
          </w:tcPr>
          <w:p>
            <w:pPr>
              <w:spacing w:after="0" w:line="240" w:lineRule="auto"/>
            </w:pPr>
            <w:r>
              <w:rPr>
                <w:rFonts w:ascii="Arial" w:hAnsi="Arial"/>
                <w:b w:val="0"/>
                <w:color w:val="1F2937"/>
                <w:sz w:val="16"/>
              </w:rPr>
              <w:t>War Room, Posko, organization scope, corrections, alerts, operational queues</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Logistics &amp; Distribution</w:t>
            </w:r>
          </w:p>
        </w:tc>
        <w:tc>
          <w:tcPr>
            <w:tcW w:type="dxa" w:w="7370"/>
            <w:tcMar>
              <w:top w:w="80" w:type="dxa"/>
              <w:start w:w="100" w:type="dxa"/>
              <w:bottom w:w="80" w:type="dxa"/>
              <w:end w:w="100" w:type="dxa"/>
            </w:tcMar>
            <w:vAlign w:val="top"/>
          </w:tcPr>
          <w:p>
            <w:pPr>
              <w:spacing w:after="0" w:line="240" w:lineRule="auto"/>
            </w:pPr>
            <w:r>
              <w:rPr>
                <w:rFonts w:ascii="Arial" w:hAnsi="Arial"/>
                <w:b w:val="0"/>
                <w:color w:val="1F2937"/>
                <w:sz w:val="16"/>
              </w:rPr>
              <w:t>Need, stock observation, aid offer, transport/distribution flow, configurable normalization</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Humanitarian Operations</w:t>
            </w:r>
          </w:p>
        </w:tc>
        <w:tc>
          <w:tcPr>
            <w:tcW w:type="dxa" w:w="7370"/>
            <w:tcMar>
              <w:top w:w="80" w:type="dxa"/>
              <w:start w:w="100" w:type="dxa"/>
              <w:bottom w:w="80" w:type="dxa"/>
              <w:end w:w="100" w:type="dxa"/>
            </w:tcMar>
            <w:vAlign w:val="top"/>
            <w:shd w:fill="FAFBFC"/>
          </w:tcPr>
          <w:p>
            <w:pPr>
              <w:spacing w:after="0" w:line="240" w:lineRule="auto"/>
            </w:pPr>
            <w:r>
              <w:rPr>
                <w:rFonts w:ascii="Arial" w:hAnsi="Arial"/>
                <w:b w:val="0"/>
                <w:color w:val="1F2937"/>
                <w:sz w:val="16"/>
              </w:rPr>
              <w:t>Medical, shelter, volunteer, kitchen, resources, Search &amp; Found, WhatsApp Posko</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Programs &amp; Recovery</w:t>
            </w:r>
          </w:p>
        </w:tc>
        <w:tc>
          <w:tcPr>
            <w:tcW w:type="dxa" w:w="7370"/>
            <w:tcMar>
              <w:top w:w="80" w:type="dxa"/>
              <w:start w:w="100" w:type="dxa"/>
              <w:bottom w:w="80" w:type="dxa"/>
              <w:end w:w="100" w:type="dxa"/>
            </w:tcMar>
            <w:vAlign w:val="top"/>
          </w:tcPr>
          <w:p>
            <w:pPr>
              <w:spacing w:after="0" w:line="240" w:lineRule="auto"/>
            </w:pPr>
            <w:r>
              <w:rPr>
                <w:rFonts w:ascii="Arial" w:hAnsi="Arial"/>
                <w:b w:val="0"/>
                <w:color w:val="1F2937"/>
                <w:sz w:val="16"/>
              </w:rPr>
              <w:t>Donor program backend, program khusus, recovery/reconstruction tracking</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Decision Intelligence</w:t>
            </w:r>
          </w:p>
        </w:tc>
        <w:tc>
          <w:tcPr>
            <w:tcW w:type="dxa" w:w="7370"/>
            <w:tcMar>
              <w:top w:w="80" w:type="dxa"/>
              <w:start w:w="100" w:type="dxa"/>
              <w:bottom w:w="80" w:type="dxa"/>
              <w:end w:w="100" w:type="dxa"/>
            </w:tcMar>
            <w:vAlign w:val="top"/>
            <w:shd w:fill="FAFBFC"/>
          </w:tcPr>
          <w:p>
            <w:pPr>
              <w:spacing w:after="0" w:line="240" w:lineRule="auto"/>
            </w:pPr>
            <w:r>
              <w:rPr>
                <w:rFonts w:ascii="Arial" w:hAnsi="Arial"/>
                <w:b w:val="0"/>
                <w:color w:val="1F2937"/>
                <w:sz w:val="16"/>
              </w:rPr>
              <w:t>Privacy-safe AI context, BYOK, recommendation support, future OCR/forecast/simulation architecture</w:t>
            </w:r>
          </w:p>
        </w:tc>
      </w:tr>
    </w:tbl>
    <w:p>
      <w:pPr>
        <w:spacing w:after="80" w:line="254" w:lineRule="auto"/>
      </w:pPr>
    </w:p>
    <w:p>
      <w:pPr>
        <w:pStyle w:val="RNLead"/>
        <w:spacing w:after="40" w:line="259" w:lineRule="auto"/>
      </w:pPr>
      <w:r>
        <w:t>KELEBIHAN STRATEGIS</w:t>
      </w:r>
    </w:p>
    <w:p>
      <w:pPr>
        <w:pStyle w:val="ListBullet"/>
        <w:spacing w:after="56" w:line="250" w:lineRule="auto"/>
        <w:ind w:left="255" w:hanging="125"/>
      </w:pPr>
      <w:r>
        <w:rPr>
          <w:rFonts w:ascii="Arial" w:hAnsi="Arial"/>
          <w:sz w:val="17"/>
        </w:rPr>
        <w:t>Menjaga provenance: sumber, waktu, lokasi, evidence, dan histori keputusan tetap dapat ditelusuri.</w:t>
      </w:r>
    </w:p>
    <w:p>
      <w:pPr>
        <w:pStyle w:val="ListBullet"/>
        <w:spacing w:after="56" w:line="250" w:lineRule="auto"/>
        <w:ind w:left="255" w:hanging="125"/>
      </w:pPr>
      <w:r>
        <w:rPr>
          <w:rFonts w:ascii="Arial" w:hAnsi="Arial"/>
          <w:sz w:val="17"/>
        </w:rPr>
        <w:t>Mencegah agregasi salah: overlap menggunakan MAX sebagai default; SUM hanya untuk scope penerima/area yang benar-benar berbeda.</w:t>
      </w:r>
    </w:p>
    <w:p>
      <w:pPr>
        <w:pStyle w:val="ListBullet"/>
        <w:spacing w:after="56" w:line="250" w:lineRule="auto"/>
        <w:ind w:left="255" w:hanging="125"/>
      </w:pPr>
      <w:r>
        <w:rPr>
          <w:rFonts w:ascii="Arial" w:hAnsi="Arial"/>
          <w:sz w:val="17"/>
        </w:rPr>
        <w:t>Memisahkan data publik, internal, restricted, confidential, dan secrets dengan prinsip minimum necessary.</w:t>
      </w:r>
    </w:p>
    <w:p>
      <w:pPr>
        <w:pStyle w:val="ListBullet"/>
        <w:spacing w:after="56" w:line="250" w:lineRule="auto"/>
        <w:ind w:left="255" w:hanging="125"/>
      </w:pPr>
      <w:r>
        <w:rPr>
          <w:rFonts w:ascii="Arial" w:hAnsi="Arial"/>
          <w:sz w:val="17"/>
        </w:rPr>
        <w:t>Mendukung scale-up bertahap dari Posko/kabupaten hingga federasi nasional tanpa menghapus local provenance.</w:t>
      </w:r>
    </w:p>
    <w:p>
      <w:pPr>
        <w:pStyle w:val="RNSmall"/>
        <w:spacing w:after="0" w:line="259" w:lineRule="auto"/>
      </w:pPr>
      <w:r>
        <w:t>Blueprint ini menggabungkan baseline arsitektur Rescue-Net, implementasi aktif, dan arah target Frappe. Status implementasi dijelaskan terpisah dari target desain agar tidak terjadi overclaim.</w:t>
      </w:r>
    </w:p>
    <w:p>
      <w:pPr>
        <w:spacing w:after="80" w:line="254" w:lineRule="auto"/>
      </w:pPr>
      <w:r>
        <w:br w:type="page"/>
      </w:r>
    </w:p>
    <w:p>
      <w:pPr>
        <w:pStyle w:val="Heading1"/>
      </w:pPr>
      <w:r>
        <w:t>Daftar Isi &amp; Cara Membaca</w:t>
      </w:r>
    </w:p>
    <w:p>
      <w:pPr>
        <w:pStyle w:val="RNSmall"/>
        <w:spacing w:after="140"/>
      </w:pPr>
      <w:r>
        <w:t>Halaman 2 dan seterusnya berisi detail arsitektur bisnis, data, aplikasi, teknis, keamanan, operasi, dan roadmap.</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907"/>
            <w:shd w:fill="17365D"/>
            <w:tcMar>
              <w:top w:w="80" w:type="dxa"/>
              <w:start w:w="100" w:type="dxa"/>
              <w:bottom w:w="80" w:type="dxa"/>
              <w:end w:w="100" w:type="dxa"/>
            </w:tcMar>
            <w:vAlign w:val="center"/>
          </w:tcPr>
          <w:p>
            <w:pPr>
              <w:jc w:val="center"/>
            </w:pPr>
            <w:r>
              <w:rPr>
                <w:b/>
                <w:color w:val="FFFFFF"/>
                <w:sz w:val="16"/>
              </w:rPr>
              <w:t>Bagian</w:t>
            </w:r>
          </w:p>
        </w:tc>
        <w:tc>
          <w:tcPr>
            <w:tcW w:type="dxa" w:w="8957"/>
            <w:shd w:fill="17365D"/>
            <w:tcMar>
              <w:top w:w="80" w:type="dxa"/>
              <w:start w:w="100" w:type="dxa"/>
              <w:bottom w:w="80" w:type="dxa"/>
              <w:end w:w="100" w:type="dxa"/>
            </w:tcMar>
            <w:vAlign w:val="center"/>
          </w:tcPr>
          <w:p>
            <w:pPr>
              <w:jc w:val="center"/>
            </w:pPr>
            <w:r>
              <w:rPr>
                <w:b/>
                <w:color w:val="FFFFFF"/>
                <w:sz w:val="16"/>
              </w:rPr>
              <w:t>Isi</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1</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Visi, Objective, dan Operating Model</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2</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Actors &amp; Disaster Lifecycle</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3</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Capability Map</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4</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Operational Truth &amp; Consolidation</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5</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Enterprise / C4 Architecture</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6</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Domain &amp; Service Boundaries</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7</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Data Architecture &amp; Core Entities</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8</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Logistics, Distribution &amp; Normalization</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9</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Humanitarian Operations Modules</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10</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AI Decision Support Architecture</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11</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API, Integration &amp; Offline Sync</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12</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Security, Privacy &amp; Authorization</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13</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Technical Programming Blueprint</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14</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Deployment, DevOps, Backup &amp; DR</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15</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Frappe Migration Architecture</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16</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Current Implementation Snapshot</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17</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National Scaling Architecture</w:t>
            </w:r>
          </w:p>
        </w:tc>
      </w:tr>
      <w:tr>
        <w:tc>
          <w:tcPr>
            <w:tcW w:type="dxa" w:w="907"/>
            <w:tcMar>
              <w:top w:w="80" w:type="dxa"/>
              <w:start w:w="100" w:type="dxa"/>
              <w:bottom w:w="80" w:type="dxa"/>
              <w:end w:w="100" w:type="dxa"/>
            </w:tcMar>
            <w:vAlign w:val="top"/>
            <w:shd w:fill="FAFBFC"/>
          </w:tcPr>
          <w:p>
            <w:pPr>
              <w:spacing w:after="0" w:line="240" w:lineRule="auto"/>
            </w:pPr>
            <w:r>
              <w:rPr>
                <w:rFonts w:ascii="Arial" w:hAnsi="Arial"/>
                <w:b/>
                <w:color w:val="1F2937"/>
                <w:sz w:val="16"/>
              </w:rPr>
              <w:t>18</w:t>
            </w:r>
          </w:p>
        </w:tc>
        <w:tc>
          <w:tcPr>
            <w:tcW w:type="dxa" w:w="8957"/>
            <w:tcMar>
              <w:top w:w="80" w:type="dxa"/>
              <w:start w:w="100" w:type="dxa"/>
              <w:bottom w:w="80" w:type="dxa"/>
              <w:end w:w="100" w:type="dxa"/>
            </w:tcMar>
            <w:vAlign w:val="top"/>
            <w:shd w:fill="FAFBFC"/>
          </w:tcPr>
          <w:p>
            <w:pPr>
              <w:spacing w:after="0" w:line="240" w:lineRule="auto"/>
            </w:pPr>
            <w:r>
              <w:rPr>
                <w:rFonts w:ascii="Arial" w:hAnsi="Arial"/>
                <w:b w:val="0"/>
                <w:color w:val="1F2937"/>
                <w:sz w:val="16"/>
              </w:rPr>
              <w:t>Quality Gates, KPIs &amp; Roadmap</w:t>
            </w:r>
          </w:p>
        </w:tc>
      </w:tr>
      <w:tr>
        <w:tc>
          <w:tcPr>
            <w:tcW w:type="dxa" w:w="907"/>
            <w:tcMar>
              <w:top w:w="80" w:type="dxa"/>
              <w:start w:w="100" w:type="dxa"/>
              <w:bottom w:w="80" w:type="dxa"/>
              <w:end w:w="100" w:type="dxa"/>
            </w:tcMar>
            <w:vAlign w:val="top"/>
          </w:tcPr>
          <w:p>
            <w:pPr>
              <w:spacing w:after="0" w:line="240" w:lineRule="auto"/>
            </w:pPr>
            <w:r>
              <w:rPr>
                <w:rFonts w:ascii="Arial" w:hAnsi="Arial"/>
                <w:b/>
                <w:color w:val="1F2937"/>
                <w:sz w:val="16"/>
              </w:rPr>
              <w:t>A</w:t>
            </w:r>
          </w:p>
        </w:tc>
        <w:tc>
          <w:tcPr>
            <w:tcW w:type="dxa" w:w="8957"/>
            <w:tcMar>
              <w:top w:w="80" w:type="dxa"/>
              <w:start w:w="100" w:type="dxa"/>
              <w:bottom w:w="80" w:type="dxa"/>
              <w:end w:w="100" w:type="dxa"/>
            </w:tcMar>
            <w:vAlign w:val="top"/>
          </w:tcPr>
          <w:p>
            <w:pPr>
              <w:spacing w:after="0" w:line="240" w:lineRule="auto"/>
            </w:pPr>
            <w:r>
              <w:rPr>
                <w:rFonts w:ascii="Arial" w:hAnsi="Arial"/>
                <w:b w:val="0"/>
                <w:color w:val="1F2937"/>
                <w:sz w:val="16"/>
              </w:rPr>
              <w:t>Source Basis &amp; Glossary</w:t>
            </w:r>
          </w:p>
        </w:tc>
      </w:tr>
    </w:tbl>
    <w:p>
      <w:pPr>
        <w:spacing w:after="80" w:line="254" w:lineRule="auto"/>
      </w:pPr>
    </w:p>
    <w:p>
      <w:pPr>
        <w:pStyle w:val="Heading2"/>
        <w:spacing w:after="80" w:line="259" w:lineRule="auto"/>
      </w:pPr>
      <w:r>
        <w:t>Status legend</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0E7490"/>
            <w:tcMar>
              <w:top w:w="80" w:type="dxa"/>
              <w:start w:w="100" w:type="dxa"/>
              <w:bottom w:w="80" w:type="dxa"/>
              <w:end w:w="100" w:type="dxa"/>
            </w:tcMar>
            <w:vAlign w:val="center"/>
          </w:tcPr>
          <w:p>
            <w:pPr>
              <w:jc w:val="center"/>
            </w:pPr>
            <w:r>
              <w:rPr>
                <w:b/>
                <w:color w:val="FFFFFF"/>
                <w:sz w:val="16"/>
              </w:rPr>
              <w:t>Label</w:t>
            </w:r>
          </w:p>
        </w:tc>
        <w:tc>
          <w:tcPr>
            <w:tcW w:type="dxa" w:w="7597"/>
            <w:shd w:fill="0E7490"/>
            <w:tcMar>
              <w:top w:w="80" w:type="dxa"/>
              <w:start w:w="100" w:type="dxa"/>
              <w:bottom w:w="80" w:type="dxa"/>
              <w:end w:w="100" w:type="dxa"/>
            </w:tcMar>
            <w:vAlign w:val="center"/>
          </w:tcPr>
          <w:p>
            <w:pPr>
              <w:jc w:val="center"/>
            </w:pPr>
            <w:r>
              <w:rPr>
                <w:b/>
                <w:color w:val="FFFFFF"/>
                <w:sz w:val="16"/>
              </w:rPr>
              <w:t>Arti</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Implemented / UAT</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Sudah dibangun di shadow/pilot dan memiliki UAT fungsional yang tercatat.</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Backend UAT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Backend semantics lulus; UI final dapat masih ditunda atau menunggu mockup.</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Compatibility bridge</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UI existing diarahkan ke endpoint Frappe tanpa redesign besar.</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Target / Blueprint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Arah arsitektur yang direncanakan; tidak otomatis berarti sudah production-cutover.</w:t>
            </w:r>
          </w:p>
        </w:tc>
      </w:tr>
    </w:tbl>
    <w:p>
      <w:pPr>
        <w:spacing w:after="80" w:line="254" w:lineRule="auto"/>
      </w:pPr>
    </w:p>
    <w:p>
      <w:pPr>
        <w:spacing w:after="80" w:line="254" w:lineRule="auto"/>
      </w:pPr>
      <w:r>
        <w:br w:type="page"/>
      </w:r>
    </w:p>
    <w:p>
      <w:pPr>
        <w:pStyle w:val="Heading1"/>
      </w:pPr>
      <w:r>
        <w:t>1. Visi, Objective, dan Operating Model</w:t>
      </w:r>
    </w:p>
    <w:p>
      <w:pPr>
        <w:spacing w:after="80" w:line="254" w:lineRule="auto"/>
      </w:pPr>
      <w:r>
        <w:t>Rescue-Net adalah platform koordinasi manajemen bencana yang berorientasi pada keputusan. Nilai utamanya bukan jumlah menu, melainkan kemampuan mengubah input lapangan yang tidak seragam menjadi operational picture yang dapat dipercaya, ditelusuri, dan ditindaklanjuti.</w:t>
      </w:r>
    </w:p>
    <w:p>
      <w:pPr>
        <w:pStyle w:val="Heading2"/>
        <w:spacing w:after="80" w:line="259" w:lineRule="auto"/>
      </w:pPr>
      <w:r>
        <w:t>1.1 Objectives</w:t>
      </w:r>
    </w:p>
    <w:p>
      <w:pPr>
        <w:pStyle w:val="ListBullet"/>
        <w:spacing w:after="56" w:line="250" w:lineRule="auto"/>
        <w:ind w:left="255" w:hanging="125"/>
      </w:pPr>
      <w:r>
        <w:rPr>
          <w:rFonts w:ascii="Arial" w:hAnsi="Arial"/>
          <w:sz w:val="18"/>
        </w:rPr>
        <w:t>Menghasilkan operational truth tanpa menghapus raw report dan evidence asli.</w:t>
      </w:r>
    </w:p>
    <w:p>
      <w:pPr>
        <w:pStyle w:val="ListBullet"/>
        <w:spacing w:after="56" w:line="250" w:lineRule="auto"/>
        <w:ind w:left="255" w:hanging="125"/>
      </w:pPr>
      <w:r>
        <w:rPr>
          <w:rFonts w:ascii="Arial" w:hAnsi="Arial"/>
          <w:sz w:val="18"/>
        </w:rPr>
        <w:t>Menghubungkan masyarakat, organisasi, Posko, verifier, operator, donor, relawan, tenaga medis, shelter, dan command center dalam satu model koordinasi.</w:t>
      </w:r>
    </w:p>
    <w:p>
      <w:pPr>
        <w:pStyle w:val="ListBullet"/>
        <w:spacing w:after="56" w:line="250" w:lineRule="auto"/>
        <w:ind w:left="255" w:hanging="125"/>
      </w:pPr>
      <w:r>
        <w:rPr>
          <w:rFonts w:ascii="Arial" w:hAnsi="Arial"/>
          <w:sz w:val="18"/>
        </w:rPr>
        <w:t>Mengurangi double counting, silent overwrite, dan keputusan distribusi berdasarkan data yang tidak terverifikasi.</w:t>
      </w:r>
    </w:p>
    <w:p>
      <w:pPr>
        <w:pStyle w:val="ListBullet"/>
        <w:spacing w:after="56" w:line="250" w:lineRule="auto"/>
        <w:ind w:left="255" w:hanging="125"/>
      </w:pPr>
      <w:r>
        <w:rPr>
          <w:rFonts w:ascii="Arial" w:hAnsi="Arial"/>
          <w:sz w:val="18"/>
        </w:rPr>
        <w:t>Mempertahankan operasi penting saat konektivitas terganggu melalui pola offline queue dan reconciliation.</w:t>
      </w:r>
    </w:p>
    <w:p>
      <w:pPr>
        <w:pStyle w:val="ListBullet"/>
        <w:spacing w:after="56" w:line="250" w:lineRule="auto"/>
        <w:ind w:left="255" w:hanging="125"/>
      </w:pPr>
      <w:r>
        <w:rPr>
          <w:rFonts w:ascii="Arial" w:hAnsi="Arial"/>
          <w:sz w:val="18"/>
        </w:rPr>
        <w:t>Menggunakan AI untuk mempercepat analisis dan normalisasi tanpa menggantikan human authority.</w:t>
      </w:r>
    </w:p>
    <w:p>
      <w:pPr>
        <w:pStyle w:val="ListBullet"/>
        <w:spacing w:after="56" w:line="250" w:lineRule="auto"/>
        <w:ind w:left="255" w:hanging="125"/>
      </w:pPr>
      <w:r>
        <w:rPr>
          <w:rFonts w:ascii="Arial" w:hAnsi="Arial"/>
          <w:sz w:val="18"/>
        </w:rPr>
        <w:t>Menyediakan jalur scale-up dari operasi lokal menuju multi-region dan national coordination layer.</w:t>
      </w:r>
    </w:p>
    <w:p>
      <w:pPr>
        <w:pStyle w:val="Heading2"/>
        <w:spacing w:after="80" w:line="259" w:lineRule="auto"/>
      </w:pPr>
      <w:r>
        <w:t>1.2 Operating principles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0E7490"/>
            <w:tcMar>
              <w:top w:w="80" w:type="dxa"/>
              <w:start w:w="100" w:type="dxa"/>
              <w:bottom w:w="80" w:type="dxa"/>
              <w:end w:w="100" w:type="dxa"/>
            </w:tcMar>
            <w:vAlign w:val="center"/>
          </w:tcPr>
          <w:p>
            <w:pPr>
              <w:jc w:val="center"/>
            </w:pPr>
            <w:r>
              <w:rPr>
                <w:b/>
                <w:color w:val="FFFFFF"/>
                <w:sz w:val="16"/>
              </w:rPr>
              <w:t>Prinsip</w:t>
            </w:r>
          </w:p>
        </w:tc>
        <w:tc>
          <w:tcPr>
            <w:tcW w:type="dxa" w:w="7597"/>
            <w:shd w:fill="0E7490"/>
            <w:tcMar>
              <w:top w:w="80" w:type="dxa"/>
              <w:start w:w="100" w:type="dxa"/>
              <w:bottom w:w="80" w:type="dxa"/>
              <w:end w:w="100" w:type="dxa"/>
            </w:tcMar>
            <w:vAlign w:val="center"/>
          </w:tcPr>
          <w:p>
            <w:pPr>
              <w:jc w:val="center"/>
            </w:pPr>
            <w:r>
              <w:rPr>
                <w:b/>
                <w:color w:val="FFFFFF"/>
                <w:sz w:val="16"/>
              </w:rPr>
              <w:t>Implikasi Sistem</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Decision-centric</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Fitur dinilai dari dampaknya pada keputusan, bukan sekadar jumlah form/dashboard.</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Immutable raw input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Original payload/text/unit/evidence tidak ditimpa oleh normalisasi atau koreksi.</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Human authority</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Rule engine/AI menghasilkan candidate atau recommendation; keputusan kritis disetujui manusia.</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Traceability</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Merge, split, correction, approval, distribution, dan review memiliki jejak.</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Offline-first</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Fungsi lapangan kritis tidak diasumsikan selalu online.</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API-first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Web, PWA, admin, dan mitra menggunakan kontrak business rule yang konsisten.</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Modular evolution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Modular monolith/service modules sebelum memecah microservices.</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Security by design</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Scope akses, PII, evidence, secrets, audit, dan retention dibangun sejak awal.</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No destructive migration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Perubahan schema/backends dilakukan additive, reversible, dan diuji.</w:t>
            </w:r>
          </w:p>
        </w:tc>
      </w:tr>
    </w:tbl>
    <w:p>
      <w:pPr>
        <w:spacing w:after="80" w:line="254" w:lineRule="auto"/>
      </w:pPr>
    </w:p>
    <w:p>
      <w:pPr>
        <w:spacing w:after="80" w:line="254" w:lineRule="auto"/>
      </w:pPr>
      <w:r>
        <w:br w:type="page"/>
      </w:r>
    </w:p>
    <w:p>
      <w:pPr>
        <w:pStyle w:val="Heading1"/>
      </w:pPr>
      <w:r>
        <w:t>2. Actors &amp; Disaster Lifecycle</w:t>
      </w:r>
    </w:p>
    <w:p>
      <w:pPr>
        <w:spacing w:after="80" w:line="254" w:lineRule="auto"/>
        <w:jc w:val="center"/>
      </w:pPr>
      <w:r>
        <w:drawing>
          <wp:inline xmlns:a="http://schemas.openxmlformats.org/drawingml/2006/main" xmlns:pic="http://schemas.openxmlformats.org/drawingml/2006/picture">
            <wp:extent cx="6192000" cy="3563203"/>
            <wp:docPr id="1" name="Picture 1"/>
            <wp:cNvGraphicFramePr>
              <a:graphicFrameLocks noChangeAspect="1"/>
            </wp:cNvGraphicFramePr>
            <a:graphic>
              <a:graphicData uri="http://schemas.openxmlformats.org/drawingml/2006/picture">
                <pic:pic>
                  <pic:nvPicPr>
                    <pic:cNvPr id="0" name="architecture_context.png"/>
                    <pic:cNvPicPr/>
                  </pic:nvPicPr>
                  <pic:blipFill>
                    <a:blip r:embed="rId11"/>
                    <a:stretch>
                      <a:fillRect/>
                    </a:stretch>
                  </pic:blipFill>
                  <pic:spPr>
                    <a:xfrm>
                      <a:off x="0" y="0"/>
                      <a:ext cx="6192000" cy="3563203"/>
                    </a:xfrm>
                    <a:prstGeom prst="rect"/>
                  </pic:spPr>
                </pic:pic>
              </a:graphicData>
            </a:graphic>
          </wp:inline>
        </w:drawing>
      </w:r>
    </w:p>
    <w:p>
      <w:pPr>
        <w:pStyle w:val="RNSmall"/>
        <w:spacing w:after="100"/>
        <w:jc w:val="center"/>
      </w:pPr>
      <w:r>
        <w:t>System context: actors, operational platform, and core design principles.</w:t>
      </w:r>
    </w:p>
    <w:p>
      <w:pPr>
        <w:pStyle w:val="Heading2"/>
        <w:spacing w:after="80" w:line="259" w:lineRule="auto"/>
      </w:pPr>
      <w:r>
        <w:t>2.1 Actors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71"/>
            <w:shd w:fill="17365D"/>
            <w:tcMar>
              <w:top w:w="80" w:type="dxa"/>
              <w:start w:w="100" w:type="dxa"/>
              <w:bottom w:w="80" w:type="dxa"/>
              <w:end w:w="100" w:type="dxa"/>
            </w:tcMar>
            <w:vAlign w:val="center"/>
          </w:tcPr>
          <w:p>
            <w:pPr>
              <w:jc w:val="center"/>
            </w:pPr>
            <w:r>
              <w:rPr>
                <w:b/>
                <w:color w:val="FFFFFF"/>
                <w:sz w:val="15"/>
              </w:rPr>
              <w:t>Actor</w:t>
            </w:r>
          </w:p>
        </w:tc>
        <w:tc>
          <w:tcPr>
            <w:tcW w:type="dxa" w:w="4706"/>
            <w:shd w:fill="17365D"/>
            <w:tcMar>
              <w:top w:w="80" w:type="dxa"/>
              <w:start w:w="100" w:type="dxa"/>
              <w:bottom w:w="80" w:type="dxa"/>
              <w:end w:w="100" w:type="dxa"/>
            </w:tcMar>
            <w:vAlign w:val="center"/>
          </w:tcPr>
          <w:p>
            <w:pPr>
              <w:jc w:val="center"/>
            </w:pPr>
            <w:r>
              <w:rPr>
                <w:b/>
                <w:color w:val="FFFFFF"/>
                <w:sz w:val="15"/>
              </w:rPr>
              <w:t>Peran Utama</w:t>
            </w:r>
          </w:p>
        </w:tc>
        <w:tc>
          <w:tcPr>
            <w:tcW w:type="dxa" w:w="3288"/>
            <w:shd w:fill="17365D"/>
            <w:tcMar>
              <w:top w:w="80" w:type="dxa"/>
              <w:start w:w="100" w:type="dxa"/>
              <w:bottom w:w="80" w:type="dxa"/>
              <w:end w:w="100" w:type="dxa"/>
            </w:tcMar>
            <w:vAlign w:val="center"/>
          </w:tcPr>
          <w:p>
            <w:pPr>
              <w:jc w:val="center"/>
            </w:pPr>
            <w:r>
              <w:rPr>
                <w:b/>
                <w:color w:val="FFFFFF"/>
                <w:sz w:val="15"/>
              </w:rPr>
              <w:t>Scope</w:t>
            </w:r>
          </w:p>
        </w:tc>
      </w:tr>
      <w:tr>
        <w:tc>
          <w:tcPr>
            <w:tcW w:type="dxa" w:w="1871"/>
            <w:tcMar>
              <w:top w:w="80" w:type="dxa"/>
              <w:start w:w="100" w:type="dxa"/>
              <w:bottom w:w="80" w:type="dxa"/>
              <w:end w:w="100" w:type="dxa"/>
            </w:tcMar>
            <w:vAlign w:val="top"/>
          </w:tcPr>
          <w:p>
            <w:pPr>
              <w:spacing w:after="0" w:line="240" w:lineRule="auto"/>
            </w:pPr>
            <w:r>
              <w:rPr>
                <w:rFonts w:ascii="Arial" w:hAnsi="Arial"/>
                <w:b/>
                <w:color w:val="1F2937"/>
                <w:sz w:val="15"/>
              </w:rPr>
              <w:t>Masyarakat / Reporter</w:t>
            </w:r>
          </w:p>
        </w:tc>
        <w:tc>
          <w:tcPr>
            <w:tcW w:type="dxa" w:w="4706"/>
            <w:tcMar>
              <w:top w:w="80" w:type="dxa"/>
              <w:start w:w="100" w:type="dxa"/>
              <w:bottom w:w="80" w:type="dxa"/>
              <w:end w:w="100" w:type="dxa"/>
            </w:tcMar>
            <w:vAlign w:val="top"/>
          </w:tcPr>
          <w:p>
            <w:pPr>
              <w:spacing w:after="0" w:line="240" w:lineRule="auto"/>
            </w:pPr>
            <w:r>
              <w:rPr>
                <w:rFonts w:ascii="Arial" w:hAnsi="Arial"/>
                <w:b w:val="0"/>
                <w:color w:val="1F2937"/>
                <w:sz w:val="15"/>
              </w:rPr>
              <w:t>Laporan kondisi, kebutuhan, evidence, lokasi</w:t>
            </w:r>
          </w:p>
        </w:tc>
        <w:tc>
          <w:tcPr>
            <w:tcW w:type="dxa" w:w="3288"/>
            <w:tcMar>
              <w:top w:w="80" w:type="dxa"/>
              <w:start w:w="100" w:type="dxa"/>
              <w:bottom w:w="80" w:type="dxa"/>
              <w:end w:w="100" w:type="dxa"/>
            </w:tcMar>
            <w:vAlign w:val="top"/>
          </w:tcPr>
          <w:p>
            <w:pPr>
              <w:spacing w:after="0" w:line="240" w:lineRule="auto"/>
            </w:pPr>
            <w:r>
              <w:rPr>
                <w:rFonts w:ascii="Arial" w:hAnsi="Arial"/>
                <w:b w:val="0"/>
                <w:color w:val="1F2937"/>
                <w:sz w:val="15"/>
              </w:rPr>
              <w:t>Public / self-service</w:t>
            </w:r>
          </w:p>
        </w:tc>
      </w:tr>
      <w:tr>
        <w:tc>
          <w:tcPr>
            <w:tcW w:type="dxa" w:w="1871"/>
            <w:tcMar>
              <w:top w:w="80" w:type="dxa"/>
              <w:start w:w="100" w:type="dxa"/>
              <w:bottom w:w="80" w:type="dxa"/>
              <w:end w:w="100" w:type="dxa"/>
            </w:tcMar>
            <w:vAlign w:val="top"/>
            <w:shd w:fill="FAFBFC"/>
          </w:tcPr>
          <w:p>
            <w:pPr>
              <w:spacing w:after="0" w:line="240" w:lineRule="auto"/>
            </w:pPr>
            <w:r>
              <w:rPr>
                <w:rFonts w:ascii="Arial" w:hAnsi="Arial"/>
                <w:b/>
                <w:color w:val="1F2937"/>
                <w:sz w:val="15"/>
              </w:rPr>
              <w:t>Organisasi / Kelompok</w:t>
            </w:r>
          </w:p>
        </w:tc>
        <w:tc>
          <w:tcPr>
            <w:tcW w:type="dxa" w:w="4706"/>
            <w:tcMar>
              <w:top w:w="80" w:type="dxa"/>
              <w:start w:w="100" w:type="dxa"/>
              <w:bottom w:w="80" w:type="dxa"/>
              <w:end w:w="100" w:type="dxa"/>
            </w:tcMar>
            <w:vAlign w:val="top"/>
            <w:shd w:fill="FAFBFC"/>
          </w:tcPr>
          <w:p>
            <w:pPr>
              <w:spacing w:after="0" w:line="240" w:lineRule="auto"/>
            </w:pPr>
            <w:r>
              <w:rPr>
                <w:rFonts w:ascii="Arial" w:hAnsi="Arial"/>
                <w:b w:val="0"/>
                <w:color w:val="1F2937"/>
                <w:sz w:val="15"/>
              </w:rPr>
              <w:t>Kontribusi, resource, keanggotaan, Posko</w:t>
            </w:r>
          </w:p>
        </w:tc>
        <w:tc>
          <w:tcPr>
            <w:tcW w:type="dxa" w:w="3288"/>
            <w:tcMar>
              <w:top w:w="80" w:type="dxa"/>
              <w:start w:w="100" w:type="dxa"/>
              <w:bottom w:w="80" w:type="dxa"/>
              <w:end w:w="100" w:type="dxa"/>
            </w:tcMar>
            <w:vAlign w:val="top"/>
            <w:shd w:fill="FAFBFC"/>
          </w:tcPr>
          <w:p>
            <w:pPr>
              <w:spacing w:after="0" w:line="240" w:lineRule="auto"/>
            </w:pPr>
            <w:r>
              <w:rPr>
                <w:rFonts w:ascii="Arial" w:hAnsi="Arial"/>
                <w:b w:val="0"/>
                <w:color w:val="1F2937"/>
                <w:sz w:val="15"/>
              </w:rPr>
              <w:t>Organization-scoped</w:t>
            </w:r>
          </w:p>
        </w:tc>
      </w:tr>
      <w:tr>
        <w:tc>
          <w:tcPr>
            <w:tcW w:type="dxa" w:w="1871"/>
            <w:tcMar>
              <w:top w:w="80" w:type="dxa"/>
              <w:start w:w="100" w:type="dxa"/>
              <w:bottom w:w="80" w:type="dxa"/>
              <w:end w:w="100" w:type="dxa"/>
            </w:tcMar>
            <w:vAlign w:val="top"/>
          </w:tcPr>
          <w:p>
            <w:pPr>
              <w:spacing w:after="0" w:line="240" w:lineRule="auto"/>
            </w:pPr>
            <w:r>
              <w:rPr>
                <w:rFonts w:ascii="Arial" w:hAnsi="Arial"/>
                <w:b/>
                <w:color w:val="1F2937"/>
                <w:sz w:val="15"/>
              </w:rPr>
              <w:t>Posko Operator</w:t>
            </w:r>
          </w:p>
        </w:tc>
        <w:tc>
          <w:tcPr>
            <w:tcW w:type="dxa" w:w="4706"/>
            <w:tcMar>
              <w:top w:w="80" w:type="dxa"/>
              <w:start w:w="100" w:type="dxa"/>
              <w:bottom w:w="80" w:type="dxa"/>
              <w:end w:w="100" w:type="dxa"/>
            </w:tcMar>
            <w:vAlign w:val="top"/>
          </w:tcPr>
          <w:p>
            <w:pPr>
              <w:spacing w:after="0" w:line="240" w:lineRule="auto"/>
            </w:pPr>
            <w:r>
              <w:rPr>
                <w:rFonts w:ascii="Arial" w:hAnsi="Arial"/>
                <w:b w:val="0"/>
                <w:color w:val="1F2937"/>
                <w:sz w:val="15"/>
              </w:rPr>
              <w:t>Kebutuhan, stok, distribusi, shelter/medis, evidence</w:t>
            </w:r>
          </w:p>
        </w:tc>
        <w:tc>
          <w:tcPr>
            <w:tcW w:type="dxa" w:w="3288"/>
            <w:tcMar>
              <w:top w:w="80" w:type="dxa"/>
              <w:start w:w="100" w:type="dxa"/>
              <w:bottom w:w="80" w:type="dxa"/>
              <w:end w:w="100" w:type="dxa"/>
            </w:tcMar>
            <w:vAlign w:val="top"/>
          </w:tcPr>
          <w:p>
            <w:pPr>
              <w:spacing w:after="0" w:line="240" w:lineRule="auto"/>
            </w:pPr>
            <w:r>
              <w:rPr>
                <w:rFonts w:ascii="Arial" w:hAnsi="Arial"/>
                <w:b w:val="0"/>
                <w:color w:val="1F2937"/>
                <w:sz w:val="15"/>
              </w:rPr>
              <w:t>Posko-scoped</w:t>
            </w:r>
          </w:p>
        </w:tc>
      </w:tr>
      <w:tr>
        <w:tc>
          <w:tcPr>
            <w:tcW w:type="dxa" w:w="1871"/>
            <w:tcMar>
              <w:top w:w="80" w:type="dxa"/>
              <w:start w:w="100" w:type="dxa"/>
              <w:bottom w:w="80" w:type="dxa"/>
              <w:end w:w="100" w:type="dxa"/>
            </w:tcMar>
            <w:vAlign w:val="top"/>
            <w:shd w:fill="FAFBFC"/>
          </w:tcPr>
          <w:p>
            <w:pPr>
              <w:spacing w:after="0" w:line="240" w:lineRule="auto"/>
            </w:pPr>
            <w:r>
              <w:rPr>
                <w:rFonts w:ascii="Arial" w:hAnsi="Arial"/>
                <w:b/>
                <w:color w:val="1F2937"/>
                <w:sz w:val="15"/>
              </w:rPr>
              <w:t>Trusted Verifier</w:t>
            </w:r>
          </w:p>
        </w:tc>
        <w:tc>
          <w:tcPr>
            <w:tcW w:type="dxa" w:w="4706"/>
            <w:tcMar>
              <w:top w:w="80" w:type="dxa"/>
              <w:start w:w="100" w:type="dxa"/>
              <w:bottom w:w="80" w:type="dxa"/>
              <w:end w:w="100" w:type="dxa"/>
            </w:tcMar>
            <w:vAlign w:val="top"/>
            <w:shd w:fill="FAFBFC"/>
          </w:tcPr>
          <w:p>
            <w:pPr>
              <w:spacing w:after="0" w:line="240" w:lineRule="auto"/>
            </w:pPr>
            <w:r>
              <w:rPr>
                <w:rFonts w:ascii="Arial" w:hAnsi="Arial"/>
                <w:b w:val="0"/>
                <w:color w:val="1F2937"/>
                <w:sz w:val="15"/>
              </w:rPr>
              <w:t>Verifikasi identity/location/organization/need/evidence</w:t>
            </w:r>
          </w:p>
        </w:tc>
        <w:tc>
          <w:tcPr>
            <w:tcW w:type="dxa" w:w="3288"/>
            <w:tcMar>
              <w:top w:w="80" w:type="dxa"/>
              <w:start w:w="100" w:type="dxa"/>
              <w:bottom w:w="80" w:type="dxa"/>
              <w:end w:w="100" w:type="dxa"/>
            </w:tcMar>
            <w:vAlign w:val="top"/>
            <w:shd w:fill="FAFBFC"/>
          </w:tcPr>
          <w:p>
            <w:pPr>
              <w:spacing w:after="0" w:line="240" w:lineRule="auto"/>
            </w:pPr>
            <w:r>
              <w:rPr>
                <w:rFonts w:ascii="Arial" w:hAnsi="Arial"/>
                <w:b w:val="0"/>
                <w:color w:val="1F2937"/>
                <w:sz w:val="15"/>
              </w:rPr>
              <w:t>Authorized verification scope</w:t>
            </w:r>
          </w:p>
        </w:tc>
      </w:tr>
      <w:tr>
        <w:tc>
          <w:tcPr>
            <w:tcW w:type="dxa" w:w="1871"/>
            <w:tcMar>
              <w:top w:w="80" w:type="dxa"/>
              <w:start w:w="100" w:type="dxa"/>
              <w:bottom w:w="80" w:type="dxa"/>
              <w:end w:w="100" w:type="dxa"/>
            </w:tcMar>
            <w:vAlign w:val="top"/>
          </w:tcPr>
          <w:p>
            <w:pPr>
              <w:spacing w:after="0" w:line="240" w:lineRule="auto"/>
            </w:pPr>
            <w:r>
              <w:rPr>
                <w:rFonts w:ascii="Arial" w:hAnsi="Arial"/>
                <w:b/>
                <w:color w:val="1F2937"/>
                <w:sz w:val="15"/>
              </w:rPr>
              <w:t>Command Center</w:t>
            </w:r>
          </w:p>
        </w:tc>
        <w:tc>
          <w:tcPr>
            <w:tcW w:type="dxa" w:w="4706"/>
            <w:tcMar>
              <w:top w:w="80" w:type="dxa"/>
              <w:start w:w="100" w:type="dxa"/>
              <w:bottom w:w="80" w:type="dxa"/>
              <w:end w:w="100" w:type="dxa"/>
            </w:tcMar>
            <w:vAlign w:val="top"/>
          </w:tcPr>
          <w:p>
            <w:pPr>
              <w:spacing w:after="0" w:line="240" w:lineRule="auto"/>
            </w:pPr>
            <w:r>
              <w:rPr>
                <w:rFonts w:ascii="Arial" w:hAnsi="Arial"/>
                <w:b w:val="0"/>
                <w:color w:val="1F2937"/>
                <w:sz w:val="15"/>
              </w:rPr>
              <w:t>Operational correction, prioritization, cross-Posko coordination</w:t>
            </w:r>
          </w:p>
        </w:tc>
        <w:tc>
          <w:tcPr>
            <w:tcW w:type="dxa" w:w="3288"/>
            <w:tcMar>
              <w:top w:w="80" w:type="dxa"/>
              <w:start w:w="100" w:type="dxa"/>
              <w:bottom w:w="80" w:type="dxa"/>
              <w:end w:w="100" w:type="dxa"/>
            </w:tcMar>
            <w:vAlign w:val="top"/>
          </w:tcPr>
          <w:p>
            <w:pPr>
              <w:spacing w:after="0" w:line="240" w:lineRule="auto"/>
            </w:pPr>
            <w:r>
              <w:rPr>
                <w:rFonts w:ascii="Arial" w:hAnsi="Arial"/>
                <w:b w:val="0"/>
                <w:color w:val="1F2937"/>
                <w:sz w:val="15"/>
              </w:rPr>
              <w:t>Event / region / command scope</w:t>
            </w:r>
          </w:p>
        </w:tc>
      </w:tr>
      <w:tr>
        <w:tc>
          <w:tcPr>
            <w:tcW w:type="dxa" w:w="1871"/>
            <w:tcMar>
              <w:top w:w="80" w:type="dxa"/>
              <w:start w:w="100" w:type="dxa"/>
              <w:bottom w:w="80" w:type="dxa"/>
              <w:end w:w="100" w:type="dxa"/>
            </w:tcMar>
            <w:vAlign w:val="top"/>
            <w:shd w:fill="FAFBFC"/>
          </w:tcPr>
          <w:p>
            <w:pPr>
              <w:spacing w:after="0" w:line="240" w:lineRule="auto"/>
            </w:pPr>
            <w:r>
              <w:rPr>
                <w:rFonts w:ascii="Arial" w:hAnsi="Arial"/>
                <w:b/>
                <w:color w:val="1F2937"/>
                <w:sz w:val="15"/>
              </w:rPr>
              <w:t>Relawan</w:t>
            </w:r>
          </w:p>
        </w:tc>
        <w:tc>
          <w:tcPr>
            <w:tcW w:type="dxa" w:w="4706"/>
            <w:tcMar>
              <w:top w:w="80" w:type="dxa"/>
              <w:start w:w="100" w:type="dxa"/>
              <w:bottom w:w="80" w:type="dxa"/>
              <w:end w:w="100" w:type="dxa"/>
            </w:tcMar>
            <w:vAlign w:val="top"/>
            <w:shd w:fill="FAFBFC"/>
          </w:tcPr>
          <w:p>
            <w:pPr>
              <w:spacing w:after="0" w:line="240" w:lineRule="auto"/>
            </w:pPr>
            <w:r>
              <w:rPr>
                <w:rFonts w:ascii="Arial" w:hAnsi="Arial"/>
                <w:b w:val="0"/>
                <w:color w:val="1F2937"/>
                <w:sz w:val="15"/>
              </w:rPr>
              <w:t>Skill, availability, assignment</w:t>
            </w:r>
          </w:p>
        </w:tc>
        <w:tc>
          <w:tcPr>
            <w:tcW w:type="dxa" w:w="3288"/>
            <w:tcMar>
              <w:top w:w="80" w:type="dxa"/>
              <w:start w:w="100" w:type="dxa"/>
              <w:bottom w:w="80" w:type="dxa"/>
              <w:end w:w="100" w:type="dxa"/>
            </w:tcMar>
            <w:vAlign w:val="top"/>
            <w:shd w:fill="FAFBFC"/>
          </w:tcPr>
          <w:p>
            <w:pPr>
              <w:spacing w:after="0" w:line="240" w:lineRule="auto"/>
            </w:pPr>
            <w:r>
              <w:rPr>
                <w:rFonts w:ascii="Arial" w:hAnsi="Arial"/>
                <w:b w:val="0"/>
                <w:color w:val="1F2937"/>
                <w:sz w:val="15"/>
              </w:rPr>
              <w:t>Assignment-scoped</w:t>
            </w:r>
          </w:p>
        </w:tc>
      </w:tr>
      <w:tr>
        <w:tc>
          <w:tcPr>
            <w:tcW w:type="dxa" w:w="1871"/>
            <w:tcMar>
              <w:top w:w="80" w:type="dxa"/>
              <w:start w:w="100" w:type="dxa"/>
              <w:bottom w:w="80" w:type="dxa"/>
              <w:end w:w="100" w:type="dxa"/>
            </w:tcMar>
            <w:vAlign w:val="top"/>
          </w:tcPr>
          <w:p>
            <w:pPr>
              <w:spacing w:after="0" w:line="240" w:lineRule="auto"/>
            </w:pPr>
            <w:r>
              <w:rPr>
                <w:rFonts w:ascii="Arial" w:hAnsi="Arial"/>
                <w:b/>
                <w:color w:val="1F2937"/>
                <w:sz w:val="15"/>
              </w:rPr>
              <w:t>Donor / Resource Owner</w:t>
            </w:r>
          </w:p>
        </w:tc>
        <w:tc>
          <w:tcPr>
            <w:tcW w:type="dxa" w:w="4706"/>
            <w:tcMar>
              <w:top w:w="80" w:type="dxa"/>
              <w:start w:w="100" w:type="dxa"/>
              <w:bottom w:w="80" w:type="dxa"/>
              <w:end w:w="100" w:type="dxa"/>
            </w:tcMar>
            <w:vAlign w:val="top"/>
          </w:tcPr>
          <w:p>
            <w:pPr>
              <w:spacing w:after="0" w:line="240" w:lineRule="auto"/>
            </w:pPr>
            <w:r>
              <w:rPr>
                <w:rFonts w:ascii="Arial" w:hAnsi="Arial"/>
                <w:b w:val="0"/>
                <w:color w:val="1F2937"/>
                <w:sz w:val="15"/>
              </w:rPr>
              <w:t>Aid offers, resources, program contribution</w:t>
            </w:r>
          </w:p>
        </w:tc>
        <w:tc>
          <w:tcPr>
            <w:tcW w:type="dxa" w:w="3288"/>
            <w:tcMar>
              <w:top w:w="80" w:type="dxa"/>
              <w:start w:w="100" w:type="dxa"/>
              <w:bottom w:w="80" w:type="dxa"/>
              <w:end w:w="100" w:type="dxa"/>
            </w:tcMar>
            <w:vAlign w:val="top"/>
          </w:tcPr>
          <w:p>
            <w:pPr>
              <w:spacing w:after="0" w:line="240" w:lineRule="auto"/>
            </w:pPr>
            <w:r>
              <w:rPr>
                <w:rFonts w:ascii="Arial" w:hAnsi="Arial"/>
                <w:b w:val="0"/>
                <w:color w:val="1F2937"/>
                <w:sz w:val="15"/>
              </w:rPr>
              <w:t>Offer/program scope</w:t>
            </w:r>
          </w:p>
        </w:tc>
      </w:tr>
      <w:tr>
        <w:tc>
          <w:tcPr>
            <w:tcW w:type="dxa" w:w="1871"/>
            <w:tcMar>
              <w:top w:w="80" w:type="dxa"/>
              <w:start w:w="100" w:type="dxa"/>
              <w:bottom w:w="80" w:type="dxa"/>
              <w:end w:w="100" w:type="dxa"/>
            </w:tcMar>
            <w:vAlign w:val="top"/>
            <w:shd w:fill="FAFBFC"/>
          </w:tcPr>
          <w:p>
            <w:pPr>
              <w:spacing w:after="0" w:line="240" w:lineRule="auto"/>
            </w:pPr>
            <w:r>
              <w:rPr>
                <w:rFonts w:ascii="Arial" w:hAnsi="Arial"/>
                <w:b/>
                <w:color w:val="1F2937"/>
                <w:sz w:val="15"/>
              </w:rPr>
              <w:t>Medical / Shelter Team</w:t>
            </w:r>
          </w:p>
        </w:tc>
        <w:tc>
          <w:tcPr>
            <w:tcW w:type="dxa" w:w="4706"/>
            <w:tcMar>
              <w:top w:w="80" w:type="dxa"/>
              <w:start w:w="100" w:type="dxa"/>
              <w:bottom w:w="80" w:type="dxa"/>
              <w:end w:w="100" w:type="dxa"/>
            </w:tcMar>
            <w:vAlign w:val="top"/>
            <w:shd w:fill="FAFBFC"/>
          </w:tcPr>
          <w:p>
            <w:pPr>
              <w:spacing w:after="0" w:line="240" w:lineRule="auto"/>
            </w:pPr>
            <w:r>
              <w:rPr>
                <w:rFonts w:ascii="Arial" w:hAnsi="Arial"/>
                <w:b w:val="0"/>
                <w:color w:val="1F2937"/>
                <w:sz w:val="15"/>
              </w:rPr>
              <w:t>Case/capacity/need reporting sesuai privacy policy</w:t>
            </w:r>
          </w:p>
        </w:tc>
        <w:tc>
          <w:tcPr>
            <w:tcW w:type="dxa" w:w="3288"/>
            <w:tcMar>
              <w:top w:w="80" w:type="dxa"/>
              <w:start w:w="100" w:type="dxa"/>
              <w:bottom w:w="80" w:type="dxa"/>
              <w:end w:w="100" w:type="dxa"/>
            </w:tcMar>
            <w:vAlign w:val="top"/>
            <w:shd w:fill="FAFBFC"/>
          </w:tcPr>
          <w:p>
            <w:pPr>
              <w:spacing w:after="0" w:line="240" w:lineRule="auto"/>
            </w:pPr>
            <w:r>
              <w:rPr>
                <w:rFonts w:ascii="Arial" w:hAnsi="Arial"/>
                <w:b w:val="0"/>
                <w:color w:val="1F2937"/>
                <w:sz w:val="15"/>
              </w:rPr>
              <w:t>Restricted operational scope</w:t>
            </w:r>
          </w:p>
        </w:tc>
      </w:tr>
      <w:tr>
        <w:tc>
          <w:tcPr>
            <w:tcW w:type="dxa" w:w="1871"/>
            <w:tcMar>
              <w:top w:w="80" w:type="dxa"/>
              <w:start w:w="100" w:type="dxa"/>
              <w:bottom w:w="80" w:type="dxa"/>
              <w:end w:w="100" w:type="dxa"/>
            </w:tcMar>
            <w:vAlign w:val="top"/>
          </w:tcPr>
          <w:p>
            <w:pPr>
              <w:spacing w:after="0" w:line="240" w:lineRule="auto"/>
            </w:pPr>
            <w:r>
              <w:rPr>
                <w:rFonts w:ascii="Arial" w:hAnsi="Arial"/>
                <w:b/>
                <w:color w:val="1F2937"/>
                <w:sz w:val="15"/>
              </w:rPr>
              <w:t>Government / Partner</w:t>
            </w:r>
          </w:p>
        </w:tc>
        <w:tc>
          <w:tcPr>
            <w:tcW w:type="dxa" w:w="4706"/>
            <w:tcMar>
              <w:top w:w="80" w:type="dxa"/>
              <w:start w:w="100" w:type="dxa"/>
              <w:bottom w:w="80" w:type="dxa"/>
              <w:end w:w="100" w:type="dxa"/>
            </w:tcMar>
            <w:vAlign w:val="top"/>
          </w:tcPr>
          <w:p>
            <w:pPr>
              <w:spacing w:after="0" w:line="240" w:lineRule="auto"/>
            </w:pPr>
            <w:r>
              <w:rPr>
                <w:rFonts w:ascii="Arial" w:hAnsi="Arial"/>
                <w:b w:val="0"/>
                <w:color w:val="1F2937"/>
                <w:sz w:val="15"/>
              </w:rPr>
              <w:t>Standards, coordination, controlled data exchange</w:t>
            </w:r>
          </w:p>
        </w:tc>
        <w:tc>
          <w:tcPr>
            <w:tcW w:type="dxa" w:w="3288"/>
            <w:tcMar>
              <w:top w:w="80" w:type="dxa"/>
              <w:start w:w="100" w:type="dxa"/>
              <w:bottom w:w="80" w:type="dxa"/>
              <w:end w:w="100" w:type="dxa"/>
            </w:tcMar>
            <w:vAlign w:val="top"/>
          </w:tcPr>
          <w:p>
            <w:pPr>
              <w:spacing w:after="0" w:line="240" w:lineRule="auto"/>
            </w:pPr>
            <w:r>
              <w:rPr>
                <w:rFonts w:ascii="Arial" w:hAnsi="Arial"/>
                <w:b w:val="0"/>
                <w:color w:val="1F2937"/>
                <w:sz w:val="15"/>
              </w:rPr>
              <w:t>Region / governance scope</w:t>
            </w:r>
          </w:p>
        </w:tc>
      </w:tr>
    </w:tbl>
    <w:p>
      <w:pPr>
        <w:spacing w:after="80" w:line="254" w:lineRule="auto"/>
      </w:pPr>
    </w:p>
    <w:p>
      <w:pPr>
        <w:spacing w:after="80" w:line="254" w:lineRule="auto"/>
      </w:pPr>
      <w:r>
        <w:br w:type="page"/>
      </w:r>
    </w:p>
    <w:p>
      <w:pPr>
        <w:pStyle w:val="Heading2"/>
        <w:spacing w:after="80" w:line="259" w:lineRule="auto"/>
      </w:pPr>
      <w:r>
        <w:t>2.2 Disaster lifecycle coverage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14"/>
            <w:shd w:fill="0E7490"/>
            <w:tcMar>
              <w:top w:w="80" w:type="dxa"/>
              <w:start w:w="100" w:type="dxa"/>
              <w:bottom w:w="80" w:type="dxa"/>
              <w:end w:w="100" w:type="dxa"/>
            </w:tcMar>
            <w:vAlign w:val="center"/>
          </w:tcPr>
          <w:p>
            <w:pPr>
              <w:jc w:val="center"/>
            </w:pPr>
            <w:r>
              <w:rPr>
                <w:b/>
                <w:color w:val="FFFFFF"/>
                <w:sz w:val="15"/>
              </w:rPr>
              <w:t>Fase</w:t>
            </w:r>
          </w:p>
        </w:tc>
        <w:tc>
          <w:tcPr>
            <w:tcW w:type="dxa" w:w="5386"/>
            <w:shd w:fill="0E7490"/>
            <w:tcMar>
              <w:top w:w="80" w:type="dxa"/>
              <w:start w:w="100" w:type="dxa"/>
              <w:bottom w:w="80" w:type="dxa"/>
              <w:end w:w="100" w:type="dxa"/>
            </w:tcMar>
            <w:vAlign w:val="center"/>
          </w:tcPr>
          <w:p>
            <w:pPr>
              <w:jc w:val="center"/>
            </w:pPr>
            <w:r>
              <w:rPr>
                <w:b/>
                <w:color w:val="FFFFFF"/>
                <w:sz w:val="15"/>
              </w:rPr>
              <w:t>Rescue-Net Capability</w:t>
            </w:r>
          </w:p>
        </w:tc>
        <w:tc>
          <w:tcPr>
            <w:tcW w:type="dxa" w:w="2665"/>
            <w:shd w:fill="0E7490"/>
            <w:tcMar>
              <w:top w:w="80" w:type="dxa"/>
              <w:start w:w="100" w:type="dxa"/>
              <w:bottom w:w="80" w:type="dxa"/>
              <w:end w:w="100" w:type="dxa"/>
            </w:tcMar>
            <w:vAlign w:val="center"/>
          </w:tcPr>
          <w:p>
            <w:pPr>
              <w:jc w:val="center"/>
            </w:pPr>
            <w:r>
              <w:rPr>
                <w:b/>
                <w:color w:val="FFFFFF"/>
                <w:sz w:val="15"/>
              </w:rPr>
              <w:t>Catatan</w:t>
            </w:r>
          </w:p>
        </w:tc>
      </w:tr>
      <w:tr>
        <w:tc>
          <w:tcPr>
            <w:tcW w:type="dxa" w:w="1814"/>
            <w:tcMar>
              <w:top w:w="80" w:type="dxa"/>
              <w:start w:w="100" w:type="dxa"/>
              <w:bottom w:w="80" w:type="dxa"/>
              <w:end w:w="100" w:type="dxa"/>
            </w:tcMar>
            <w:vAlign w:val="top"/>
          </w:tcPr>
          <w:p>
            <w:pPr>
              <w:spacing w:after="0" w:line="240" w:lineRule="auto"/>
            </w:pPr>
            <w:r>
              <w:rPr>
                <w:rFonts w:ascii="Arial" w:hAnsi="Arial"/>
                <w:b/>
                <w:color w:val="1F2937"/>
                <w:sz w:val="15"/>
              </w:rPr>
              <w:t>Preparedness / Readiness</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Organization, Posko, resource profile, contact directory, role &amp; policy, baseline normalization</w:t>
            </w:r>
          </w:p>
        </w:tc>
        <w:tc>
          <w:tcPr>
            <w:tcW w:type="dxa" w:w="2665"/>
            <w:tcMar>
              <w:top w:w="80" w:type="dxa"/>
              <w:start w:w="100" w:type="dxa"/>
              <w:bottom w:w="80" w:type="dxa"/>
              <w:end w:w="100" w:type="dxa"/>
            </w:tcMar>
            <w:vAlign w:val="top"/>
          </w:tcPr>
          <w:p>
            <w:pPr>
              <w:spacing w:after="0" w:line="240" w:lineRule="auto"/>
            </w:pPr>
            <w:r>
              <w:rPr>
                <w:rFonts w:ascii="Arial" w:hAnsi="Arial"/>
                <w:b w:val="0"/>
                <w:color w:val="1F2937"/>
                <w:sz w:val="15"/>
              </w:rPr>
              <w:t>Early-warning modelling bukan fokus implementasi inti saat ini.</w:t>
            </w:r>
          </w:p>
        </w:tc>
      </w:tr>
      <w:tr>
        <w:tc>
          <w:tcPr>
            <w:tcW w:type="dxa" w:w="1814"/>
            <w:tcMar>
              <w:top w:w="80" w:type="dxa"/>
              <w:start w:w="100" w:type="dxa"/>
              <w:bottom w:w="80" w:type="dxa"/>
              <w:end w:w="100" w:type="dxa"/>
            </w:tcMar>
            <w:vAlign w:val="top"/>
            <w:shd w:fill="FAFBFC"/>
          </w:tcPr>
          <w:p>
            <w:pPr>
              <w:spacing w:after="0" w:line="240" w:lineRule="auto"/>
            </w:pPr>
            <w:r>
              <w:rPr>
                <w:rFonts w:ascii="Arial" w:hAnsi="Arial"/>
                <w:b/>
                <w:color w:val="1F2937"/>
                <w:sz w:val="15"/>
              </w:rPr>
              <w:t>Impact &amp; Reporting</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Community reporting, evidence, GPS/manual location, incident context</w:t>
            </w:r>
          </w:p>
        </w:tc>
        <w:tc>
          <w:tcPr>
            <w:tcW w:type="dxa" w:w="2665"/>
            <w:tcMar>
              <w:top w:w="80" w:type="dxa"/>
              <w:start w:w="100" w:type="dxa"/>
              <w:bottom w:w="80" w:type="dxa"/>
              <w:end w:w="100" w:type="dxa"/>
            </w:tcMar>
            <w:vAlign w:val="top"/>
            <w:shd w:fill="FAFBFC"/>
          </w:tcPr>
          <w:p>
            <w:pPr>
              <w:spacing w:after="0" w:line="240" w:lineRule="auto"/>
            </w:pPr>
            <w:r>
              <w:rPr>
                <w:rFonts w:ascii="Arial" w:hAnsi="Arial"/>
                <w:b w:val="0"/>
                <w:color w:val="1F2937"/>
                <w:sz w:val="15"/>
              </w:rPr>
              <w:t>Raw report disimpan sebagai source, bukan truth final.</w:t>
            </w:r>
          </w:p>
        </w:tc>
      </w:tr>
      <w:tr>
        <w:tc>
          <w:tcPr>
            <w:tcW w:type="dxa" w:w="1814"/>
            <w:tcMar>
              <w:top w:w="80" w:type="dxa"/>
              <w:start w:w="100" w:type="dxa"/>
              <w:bottom w:w="80" w:type="dxa"/>
              <w:end w:w="100" w:type="dxa"/>
            </w:tcMar>
            <w:vAlign w:val="top"/>
          </w:tcPr>
          <w:p>
            <w:pPr>
              <w:spacing w:after="0" w:line="240" w:lineRule="auto"/>
            </w:pPr>
            <w:r>
              <w:rPr>
                <w:rFonts w:ascii="Arial" w:hAnsi="Arial"/>
                <w:b/>
                <w:color w:val="1F2937"/>
                <w:sz w:val="15"/>
              </w:rPr>
              <w:t>Verification &amp; Consolidation</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Layered verification, duplicate/overlap candidate, consolidation, command correction</w:t>
            </w:r>
          </w:p>
        </w:tc>
        <w:tc>
          <w:tcPr>
            <w:tcW w:type="dxa" w:w="2665"/>
            <w:tcMar>
              <w:top w:w="80" w:type="dxa"/>
              <w:start w:w="100" w:type="dxa"/>
              <w:bottom w:w="80" w:type="dxa"/>
              <w:end w:w="100" w:type="dxa"/>
            </w:tcMar>
            <w:vAlign w:val="top"/>
          </w:tcPr>
          <w:p>
            <w:pPr>
              <w:spacing w:after="0" w:line="240" w:lineRule="auto"/>
            </w:pPr>
            <w:r>
              <w:rPr>
                <w:rFonts w:ascii="Arial" w:hAnsi="Arial"/>
                <w:b w:val="0"/>
                <w:color w:val="1F2937"/>
                <w:sz w:val="15"/>
              </w:rPr>
              <w:t>Human review menjadi authority.</w:t>
            </w:r>
          </w:p>
        </w:tc>
      </w:tr>
      <w:tr>
        <w:tc>
          <w:tcPr>
            <w:tcW w:type="dxa" w:w="1814"/>
            <w:tcMar>
              <w:top w:w="80" w:type="dxa"/>
              <w:start w:w="100" w:type="dxa"/>
              <w:bottom w:w="80" w:type="dxa"/>
              <w:end w:w="100" w:type="dxa"/>
            </w:tcMar>
            <w:vAlign w:val="top"/>
            <w:shd w:fill="FAFBFC"/>
          </w:tcPr>
          <w:p>
            <w:pPr>
              <w:spacing w:after="0" w:line="240" w:lineRule="auto"/>
            </w:pPr>
            <w:r>
              <w:rPr>
                <w:rFonts w:ascii="Arial" w:hAnsi="Arial"/>
                <w:b/>
                <w:color w:val="1F2937"/>
                <w:sz w:val="15"/>
              </w:rPr>
              <w:t>Response Operations</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Logistics, stock, aid, distribution, medical, shelter, volunteers, kitchen, Search &amp; Found</w:t>
            </w:r>
          </w:p>
        </w:tc>
        <w:tc>
          <w:tcPr>
            <w:tcW w:type="dxa" w:w="2665"/>
            <w:tcMar>
              <w:top w:w="80" w:type="dxa"/>
              <w:start w:w="100" w:type="dxa"/>
              <w:bottom w:w="80" w:type="dxa"/>
              <w:end w:w="100" w:type="dxa"/>
            </w:tcMar>
            <w:vAlign w:val="top"/>
            <w:shd w:fill="FAFBFC"/>
          </w:tcPr>
          <w:p>
            <w:pPr>
              <w:spacing w:after="0" w:line="240" w:lineRule="auto"/>
            </w:pPr>
            <w:r>
              <w:rPr>
                <w:rFonts w:ascii="Arial" w:hAnsi="Arial"/>
                <w:b w:val="0"/>
                <w:color w:val="1F2937"/>
                <w:sz w:val="15"/>
              </w:rPr>
              <w:t>Fokus operasional utama.</w:t>
            </w:r>
          </w:p>
        </w:tc>
      </w:tr>
      <w:tr>
        <w:tc>
          <w:tcPr>
            <w:tcW w:type="dxa" w:w="1814"/>
            <w:tcMar>
              <w:top w:w="80" w:type="dxa"/>
              <w:start w:w="100" w:type="dxa"/>
              <w:bottom w:w="80" w:type="dxa"/>
              <w:end w:w="100" w:type="dxa"/>
            </w:tcMar>
            <w:vAlign w:val="top"/>
          </w:tcPr>
          <w:p>
            <w:pPr>
              <w:spacing w:after="0" w:line="240" w:lineRule="auto"/>
            </w:pPr>
            <w:r>
              <w:rPr>
                <w:rFonts w:ascii="Arial" w:hAnsi="Arial"/>
                <w:b/>
                <w:color w:val="1F2937"/>
                <w:sz w:val="15"/>
              </w:rPr>
              <w:t>Recovery</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Program khusus, donor/recovery project tracking, progress and spending semantics</w:t>
            </w:r>
          </w:p>
        </w:tc>
        <w:tc>
          <w:tcPr>
            <w:tcW w:type="dxa" w:w="2665"/>
            <w:tcMar>
              <w:top w:w="80" w:type="dxa"/>
              <w:start w:w="100" w:type="dxa"/>
              <w:bottom w:w="80" w:type="dxa"/>
              <w:end w:w="100" w:type="dxa"/>
            </w:tcMar>
            <w:vAlign w:val="top"/>
          </w:tcPr>
          <w:p>
            <w:pPr>
              <w:spacing w:after="0" w:line="240" w:lineRule="auto"/>
            </w:pPr>
            <w:r>
              <w:rPr>
                <w:rFonts w:ascii="Arial" w:hAnsi="Arial"/>
                <w:b w:val="0"/>
                <w:color w:val="1F2937"/>
                <w:sz w:val="15"/>
              </w:rPr>
              <w:t>Memisahkan response stock/flow dari recovery project accounting.</w:t>
            </w:r>
          </w:p>
        </w:tc>
      </w:tr>
      <w:tr>
        <w:tc>
          <w:tcPr>
            <w:tcW w:type="dxa" w:w="1814"/>
            <w:tcMar>
              <w:top w:w="80" w:type="dxa"/>
              <w:start w:w="100" w:type="dxa"/>
              <w:bottom w:w="80" w:type="dxa"/>
              <w:end w:w="100" w:type="dxa"/>
            </w:tcMar>
            <w:vAlign w:val="top"/>
            <w:shd w:fill="FAFBFC"/>
          </w:tcPr>
          <w:p>
            <w:pPr>
              <w:spacing w:after="0" w:line="240" w:lineRule="auto"/>
            </w:pPr>
            <w:r>
              <w:rPr>
                <w:rFonts w:ascii="Arial" w:hAnsi="Arial"/>
                <w:b/>
                <w:color w:val="1F2937"/>
                <w:sz w:val="15"/>
              </w:rPr>
              <w:t>Learning &amp; Scaling</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Audit, provenance, KPIs, AI evaluation, national roll-up roadmap</w:t>
            </w:r>
          </w:p>
        </w:tc>
        <w:tc>
          <w:tcPr>
            <w:tcW w:type="dxa" w:w="2665"/>
            <w:tcMar>
              <w:top w:w="80" w:type="dxa"/>
              <w:start w:w="100" w:type="dxa"/>
              <w:bottom w:w="80" w:type="dxa"/>
              <w:end w:w="100" w:type="dxa"/>
            </w:tcMar>
            <w:vAlign w:val="top"/>
            <w:shd w:fill="FAFBFC"/>
          </w:tcPr>
          <w:p>
            <w:pPr>
              <w:spacing w:after="0" w:line="240" w:lineRule="auto"/>
            </w:pPr>
            <w:r>
              <w:rPr>
                <w:rFonts w:ascii="Arial" w:hAnsi="Arial"/>
                <w:b w:val="0"/>
                <w:color w:val="1F2937"/>
                <w:sz w:val="15"/>
              </w:rPr>
              <w:t>Target jangka menengah/panjang.</w:t>
            </w:r>
          </w:p>
        </w:tc>
      </w:tr>
    </w:tbl>
    <w:p>
      <w:pPr>
        <w:spacing w:after="80" w:line="254" w:lineRule="auto"/>
      </w:pPr>
    </w:p>
    <w:p>
      <w:pPr>
        <w:spacing w:after="80" w:line="254" w:lineRule="auto"/>
      </w:pPr>
      <w:r>
        <w:br w:type="page"/>
      </w:r>
    </w:p>
    <w:p>
      <w:pPr>
        <w:pStyle w:val="Heading1"/>
      </w:pPr>
      <w:r>
        <w:t>3. Capability Map</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65D"/>
            <w:tcMar>
              <w:top w:w="80" w:type="dxa"/>
              <w:start w:w="100" w:type="dxa"/>
              <w:bottom w:w="80" w:type="dxa"/>
              <w:end w:w="100" w:type="dxa"/>
            </w:tcMar>
            <w:vAlign w:val="center"/>
          </w:tcPr>
          <w:p>
            <w:pPr>
              <w:jc w:val="center"/>
            </w:pPr>
            <w:r>
              <w:rPr>
                <w:b/>
                <w:color w:val="FFFFFF"/>
                <w:sz w:val="16"/>
              </w:rPr>
              <w:t>Capability</w:t>
            </w:r>
          </w:p>
        </w:tc>
        <w:tc>
          <w:tcPr>
            <w:tcW w:type="dxa" w:w="7483"/>
            <w:shd w:fill="17365D"/>
            <w:tcMar>
              <w:top w:w="80" w:type="dxa"/>
              <w:start w:w="100" w:type="dxa"/>
              <w:bottom w:w="80" w:type="dxa"/>
              <w:end w:w="100" w:type="dxa"/>
            </w:tcMar>
            <w:vAlign w:val="center"/>
          </w:tcPr>
          <w:p>
            <w:pPr>
              <w:jc w:val="center"/>
            </w:pPr>
            <w:r>
              <w:rPr>
                <w:b/>
                <w:color w:val="FFFFFF"/>
                <w:sz w:val="16"/>
              </w:rPr>
              <w:t>Design / Scope</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Community Reporting</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Input publik; reporter identity; GPS/manual location; evidence; event linkage.</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Organization &amp; Posko</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Kelompok/organisasi, membership, Posko, assignment, public participation policy.</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Verification &amp; Privacy</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Layered verification; access scope; evidence handling; freshness; public masking.</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War Room / Consolidation</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Open needs, alerts, conflicts, operational read model, drill-down, corrections.</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Logistics Need</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Raw need text, quantity modes, urgency, category/group/item normalization.</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Stock Observation</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Snapshot stock state; bukan accounting ledger; observed/source timestamps.</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Aid Offer &amp; Distribution</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Offer → reserve/dispatch/arrival/receipt; destination/source Posko; evidence.</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Transport / Resource</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Vehicle/tools/resource profile/capacity; tidak dicampur dengan stock.</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Medical</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Case coordination, restricted evidence, evacuation workflow terpisah dari stock distribution.</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Shelter</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Occupancy snapshots, needs, registered households dibedakan.</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Volunteer</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Skill, availability, assignment, anti-double-booking principle.</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Search &amp; Found</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Missing/found reports, privacy-safe dashboard, restricted identity evidence.</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Kitchen</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Meal production/consumption events; stock observation tetap snapshot.</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Donor &amp; Special Program</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Program accounting semantics; special program budget-spent berbeda dari donor current_amount.</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Recovery</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Project updates, progress non-regression, spent amount accumulation, soft lifecycle.</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AI Decision Support</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BYOK, privacy-safe context, summary/recommendation; AI never overwrites raw.</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Normalization Registry</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Admin-configurable logistics category/group/item rules with fallback classifier.</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Offline / Sync</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Queue, retry, conflict, reconciliation; Sync Console/Log berada di P2 roadmap/current next cluster.</w:t>
            </w:r>
          </w:p>
        </w:tc>
      </w:tr>
    </w:tbl>
    <w:p>
      <w:pPr>
        <w:spacing w:after="80" w:line="254" w:lineRule="auto"/>
      </w:pPr>
    </w:p>
    <w:p>
      <w:pPr>
        <w:spacing w:after="80" w:line="254" w:lineRule="auto"/>
      </w:pPr>
      <w:r>
        <w:br w:type="page"/>
      </w:r>
    </w:p>
    <w:p>
      <w:pPr>
        <w:pStyle w:val="Heading1"/>
      </w:pPr>
      <w:r>
        <w:t>4. Operational Truth &amp; Consolidation</w:t>
      </w:r>
    </w:p>
    <w:p>
      <w:pPr>
        <w:spacing w:after="80" w:line="254" w:lineRule="auto"/>
        <w:jc w:val="center"/>
      </w:pPr>
      <w:r>
        <w:drawing>
          <wp:inline xmlns:a="http://schemas.openxmlformats.org/drawingml/2006/main" xmlns:pic="http://schemas.openxmlformats.org/drawingml/2006/picture">
            <wp:extent cx="6192000" cy="3563203"/>
            <wp:docPr id="2" name="Picture 2"/>
            <wp:cNvGraphicFramePr>
              <a:graphicFrameLocks noChangeAspect="1"/>
            </wp:cNvGraphicFramePr>
            <a:graphic>
              <a:graphicData uri="http://schemas.openxmlformats.org/drawingml/2006/picture">
                <pic:pic>
                  <pic:nvPicPr>
                    <pic:cNvPr id="0" name="operational_truth_pipeline.png"/>
                    <pic:cNvPicPr/>
                  </pic:nvPicPr>
                  <pic:blipFill>
                    <a:blip r:embed="rId12"/>
                    <a:stretch>
                      <a:fillRect/>
                    </a:stretch>
                  </pic:blipFill>
                  <pic:spPr>
                    <a:xfrm>
                      <a:off x="0" y="0"/>
                      <a:ext cx="6192000" cy="3563203"/>
                    </a:xfrm>
                    <a:prstGeom prst="rect"/>
                  </pic:spPr>
                </pic:pic>
              </a:graphicData>
            </a:graphic>
          </wp:inline>
        </w:drawing>
      </w:r>
    </w:p>
    <w:p>
      <w:pPr>
        <w:pStyle w:val="RNSmall"/>
        <w:spacing w:after="100"/>
        <w:jc w:val="center"/>
      </w:pPr>
      <w:r>
        <w:t>Operational Truth is derived and reviewable; it never silently replaces raw sources.</w:t>
      </w:r>
    </w:p>
    <w:p>
      <w:pPr>
        <w:pStyle w:val="Heading2"/>
        <w:spacing w:after="80" w:line="259" w:lineRule="auto"/>
      </w:pPr>
      <w:r>
        <w:t>4.1 Why Raw Report ≠ Operational Truth</w:t>
      </w:r>
    </w:p>
    <w:p>
      <w:pPr>
        <w:spacing w:after="80" w:line="254" w:lineRule="auto"/>
      </w:pPr>
      <w:r>
        <w:t>Laporan lapangan dapat overlap, berbeda satuan, berasal dari periode yang berbeda, atau memiliki cakupan penerima yang sama. Karena itu sistem memisahkan sumber mentah, hasil normalisasi, verification signals, consolidation group, command correction, dan read model War Room.</w:t>
      </w:r>
    </w:p>
    <w:p>
      <w:pPr>
        <w:pStyle w:val="Heading2"/>
        <w:spacing w:after="80" w:line="259" w:lineRule="auto"/>
      </w:pPr>
      <w:r>
        <w:t>4.2 Quantity model</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701"/>
            <w:shd w:fill="0E7490"/>
            <w:tcMar>
              <w:top w:w="80" w:type="dxa"/>
              <w:start w:w="100" w:type="dxa"/>
              <w:bottom w:w="80" w:type="dxa"/>
              <w:end w:w="100" w:type="dxa"/>
            </w:tcMar>
            <w:vAlign w:val="center"/>
          </w:tcPr>
          <w:p>
            <w:pPr>
              <w:jc w:val="center"/>
            </w:pPr>
            <w:r>
              <w:rPr>
                <w:b/>
                <w:color w:val="FFFFFF"/>
                <w:sz w:val="16"/>
              </w:rPr>
              <w:t>Mode</w:t>
            </w:r>
          </w:p>
        </w:tc>
        <w:tc>
          <w:tcPr>
            <w:tcW w:type="dxa" w:w="3969"/>
            <w:shd w:fill="0E7490"/>
            <w:tcMar>
              <w:top w:w="80" w:type="dxa"/>
              <w:start w:w="100" w:type="dxa"/>
              <w:bottom w:w="80" w:type="dxa"/>
              <w:end w:w="100" w:type="dxa"/>
            </w:tcMar>
            <w:vAlign w:val="center"/>
          </w:tcPr>
          <w:p>
            <w:pPr>
              <w:jc w:val="center"/>
            </w:pPr>
            <w:r>
              <w:rPr>
                <w:b/>
                <w:color w:val="FFFFFF"/>
                <w:sz w:val="16"/>
              </w:rPr>
              <w:t>Makna</w:t>
            </w:r>
          </w:p>
        </w:tc>
        <w:tc>
          <w:tcPr>
            <w:tcW w:type="dxa" w:w="4195"/>
            <w:shd w:fill="0E7490"/>
            <w:tcMar>
              <w:top w:w="80" w:type="dxa"/>
              <w:start w:w="100" w:type="dxa"/>
              <w:bottom w:w="80" w:type="dxa"/>
              <w:end w:w="100" w:type="dxa"/>
            </w:tcMar>
            <w:vAlign w:val="center"/>
          </w:tcPr>
          <w:p>
            <w:pPr>
              <w:jc w:val="center"/>
            </w:pPr>
            <w:r>
              <w:rPr>
                <w:b/>
                <w:color w:val="FFFFFF"/>
                <w:sz w:val="16"/>
              </w:rPr>
              <w:t>Contoh</w:t>
            </w:r>
          </w:p>
        </w:tc>
      </w:tr>
      <w:tr>
        <w:tc>
          <w:tcPr>
            <w:tcW w:type="dxa" w:w="1701"/>
            <w:tcMar>
              <w:top w:w="80" w:type="dxa"/>
              <w:start w:w="100" w:type="dxa"/>
              <w:bottom w:w="80" w:type="dxa"/>
              <w:end w:w="100" w:type="dxa"/>
            </w:tcMar>
            <w:vAlign w:val="top"/>
          </w:tcPr>
          <w:p>
            <w:pPr>
              <w:spacing w:after="0" w:line="240" w:lineRule="auto"/>
            </w:pPr>
            <w:r>
              <w:rPr>
                <w:rFonts w:ascii="Arial" w:hAnsi="Arial"/>
                <w:b/>
                <w:color w:val="1F2937"/>
                <w:sz w:val="16"/>
              </w:rPr>
              <w:t>exact</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6"/>
              </w:rPr>
              <w:t>Angka cukup pasti</w:t>
            </w:r>
          </w:p>
        </w:tc>
        <w:tc>
          <w:tcPr>
            <w:tcW w:type="dxa" w:w="4195"/>
            <w:tcMar>
              <w:top w:w="80" w:type="dxa"/>
              <w:start w:w="100" w:type="dxa"/>
              <w:bottom w:w="80" w:type="dxa"/>
              <w:end w:w="100" w:type="dxa"/>
            </w:tcMar>
            <w:vAlign w:val="top"/>
          </w:tcPr>
          <w:p>
            <w:pPr>
              <w:spacing w:after="0" w:line="240" w:lineRule="auto"/>
            </w:pPr>
            <w:r>
              <w:rPr>
                <w:rFonts w:ascii="Arial" w:hAnsi="Arial"/>
                <w:b w:val="0"/>
                <w:color w:val="1F2937"/>
                <w:sz w:val="16"/>
              </w:rPr>
              <w:t>120 botol</w:t>
            </w:r>
          </w:p>
        </w:tc>
      </w:tr>
      <w:tr>
        <w:tc>
          <w:tcPr>
            <w:tcW w:type="dxa" w:w="1701"/>
            <w:tcMar>
              <w:top w:w="80" w:type="dxa"/>
              <w:start w:w="100" w:type="dxa"/>
              <w:bottom w:w="80" w:type="dxa"/>
              <w:end w:w="100" w:type="dxa"/>
            </w:tcMar>
            <w:vAlign w:val="top"/>
            <w:shd w:fill="FAFBFC"/>
          </w:tcPr>
          <w:p>
            <w:pPr>
              <w:spacing w:after="0" w:line="240" w:lineRule="auto"/>
            </w:pPr>
            <w:r>
              <w:rPr>
                <w:rFonts w:ascii="Arial" w:hAnsi="Arial"/>
                <w:b/>
                <w:color w:val="1F2937"/>
                <w:sz w:val="16"/>
              </w:rPr>
              <w:t>estimated</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6"/>
              </w:rPr>
              <w:t>Perkiraan tunggal</w:t>
            </w:r>
          </w:p>
        </w:tc>
        <w:tc>
          <w:tcPr>
            <w:tcW w:type="dxa" w:w="4195"/>
            <w:tcMar>
              <w:top w:w="80" w:type="dxa"/>
              <w:start w:w="100" w:type="dxa"/>
              <w:bottom w:w="80" w:type="dxa"/>
              <w:end w:w="100" w:type="dxa"/>
            </w:tcMar>
            <w:vAlign w:val="top"/>
            <w:shd w:fill="FAFBFC"/>
          </w:tcPr>
          <w:p>
            <w:pPr>
              <w:spacing w:after="0" w:line="240" w:lineRule="auto"/>
            </w:pPr>
            <w:r>
              <w:rPr>
                <w:rFonts w:ascii="Arial" w:hAnsi="Arial"/>
                <w:b w:val="0"/>
                <w:color w:val="1F2937"/>
                <w:sz w:val="16"/>
              </w:rPr>
              <w:t>sekitar 200 orang</w:t>
            </w:r>
          </w:p>
        </w:tc>
      </w:tr>
      <w:tr>
        <w:tc>
          <w:tcPr>
            <w:tcW w:type="dxa" w:w="1701"/>
            <w:tcMar>
              <w:top w:w="80" w:type="dxa"/>
              <w:start w:w="100" w:type="dxa"/>
              <w:bottom w:w="80" w:type="dxa"/>
              <w:end w:w="100" w:type="dxa"/>
            </w:tcMar>
            <w:vAlign w:val="top"/>
          </w:tcPr>
          <w:p>
            <w:pPr>
              <w:spacing w:after="0" w:line="240" w:lineRule="auto"/>
            </w:pPr>
            <w:r>
              <w:rPr>
                <w:rFonts w:ascii="Arial" w:hAnsi="Arial"/>
                <w:b/>
                <w:color w:val="1F2937"/>
                <w:sz w:val="16"/>
              </w:rPr>
              <w:t>range</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6"/>
              </w:rPr>
              <w:t>Rentang</w:t>
            </w:r>
          </w:p>
        </w:tc>
        <w:tc>
          <w:tcPr>
            <w:tcW w:type="dxa" w:w="4195"/>
            <w:tcMar>
              <w:top w:w="80" w:type="dxa"/>
              <w:start w:w="100" w:type="dxa"/>
              <w:bottom w:w="80" w:type="dxa"/>
              <w:end w:w="100" w:type="dxa"/>
            </w:tcMar>
            <w:vAlign w:val="top"/>
          </w:tcPr>
          <w:p>
            <w:pPr>
              <w:spacing w:after="0" w:line="240" w:lineRule="auto"/>
            </w:pPr>
            <w:r>
              <w:rPr>
                <w:rFonts w:ascii="Arial" w:hAnsi="Arial"/>
                <w:b w:val="0"/>
                <w:color w:val="1F2937"/>
                <w:sz w:val="16"/>
              </w:rPr>
              <w:t>50–80 paket</w:t>
            </w:r>
          </w:p>
        </w:tc>
      </w:tr>
      <w:tr>
        <w:tc>
          <w:tcPr>
            <w:tcW w:type="dxa" w:w="1701"/>
            <w:tcMar>
              <w:top w:w="80" w:type="dxa"/>
              <w:start w:w="100" w:type="dxa"/>
              <w:bottom w:w="80" w:type="dxa"/>
              <w:end w:w="100" w:type="dxa"/>
            </w:tcMar>
            <w:vAlign w:val="top"/>
            <w:shd w:fill="FAFBFC"/>
          </w:tcPr>
          <w:p>
            <w:pPr>
              <w:spacing w:after="0" w:line="240" w:lineRule="auto"/>
            </w:pPr>
            <w:r>
              <w:rPr>
                <w:rFonts w:ascii="Arial" w:hAnsi="Arial"/>
                <w:b/>
                <w:color w:val="1F2937"/>
                <w:sz w:val="16"/>
              </w:rPr>
              <w:t>unknown</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6"/>
              </w:rPr>
              <w:t>Belum dapat dikuantifikasi</w:t>
            </w:r>
          </w:p>
        </w:tc>
        <w:tc>
          <w:tcPr>
            <w:tcW w:type="dxa" w:w="4195"/>
            <w:tcMar>
              <w:top w:w="80" w:type="dxa"/>
              <w:start w:w="100" w:type="dxa"/>
              <w:bottom w:w="80" w:type="dxa"/>
              <w:end w:w="100" w:type="dxa"/>
            </w:tcMar>
            <w:vAlign w:val="top"/>
            <w:shd w:fill="FAFBFC"/>
          </w:tcPr>
          <w:p>
            <w:pPr>
              <w:spacing w:after="0" w:line="240" w:lineRule="auto"/>
            </w:pPr>
            <w:r>
              <w:rPr>
                <w:rFonts w:ascii="Arial" w:hAnsi="Arial"/>
                <w:b w:val="0"/>
                <w:color w:val="1F2937"/>
                <w:sz w:val="16"/>
              </w:rPr>
              <w:t>butuh air bersih segera</w:t>
            </w:r>
          </w:p>
        </w:tc>
      </w:tr>
    </w:tbl>
    <w:p>
      <w:pPr>
        <w:spacing w:after="80" w:line="254" w:lineRule="auto"/>
      </w:pPr>
    </w:p>
    <w:p>
      <w:pPr>
        <w:pStyle w:val="Heading2"/>
        <w:spacing w:after="80" w:line="259" w:lineRule="auto"/>
      </w:pPr>
      <w:r>
        <w:t>4.3 Overlap rule</w:t>
      </w:r>
    </w:p>
    <w:p>
      <w:pPr>
        <w:pStyle w:val="RNCallout"/>
        <w:spacing w:after="80" w:line="259" w:lineRule="auto"/>
      </w:pPr>
      <w:r>
        <w:t>Untuk lokasi + kebutuhan + waktu + beneficiary yang sama, default konsolidasi adalah MAX, bukan SUM. SUM hanya dilakukan setelah scope penerima/area yang berbeda dikonfirmasi. Aturan ini melindungi War Room dari double counting dan over-allocation.</w:t>
      </w:r>
    </w:p>
    <w:p>
      <w:pPr>
        <w:pStyle w:val="Heading2"/>
        <w:spacing w:after="80" w:line="259" w:lineRule="auto"/>
      </w:pPr>
      <w:r>
        <w:t>4.4 Freshness &amp; evidence</w:t>
      </w:r>
    </w:p>
    <w:p>
      <w:pPr>
        <w:pStyle w:val="ListBullet"/>
        <w:spacing w:after="56" w:line="250" w:lineRule="auto"/>
        <w:ind w:left="255" w:hanging="125"/>
      </w:pPr>
      <w:r>
        <w:rPr>
          <w:rFonts w:ascii="Arial" w:hAnsi="Arial"/>
          <w:sz w:val="18"/>
        </w:rPr>
        <w:t>Observed time, source-updated time, server modified time, dan freshness policy tidak dianggap sebagai hal yang sama.</w:t>
      </w:r>
    </w:p>
    <w:p>
      <w:pPr>
        <w:pStyle w:val="ListBullet"/>
        <w:spacing w:after="56" w:line="250" w:lineRule="auto"/>
        <w:ind w:left="255" w:hanging="125"/>
      </w:pPr>
      <w:r>
        <w:rPr>
          <w:rFonts w:ascii="Arial" w:hAnsi="Arial"/>
          <w:sz w:val="18"/>
        </w:rPr>
        <w:t>Verification report tidak otomatis memverifikasi seluruh downstream need; status tiap domain tetap terpisah.</w:t>
      </w:r>
    </w:p>
    <w:p>
      <w:pPr>
        <w:pStyle w:val="ListBullet"/>
        <w:spacing w:after="56" w:line="250" w:lineRule="auto"/>
        <w:ind w:left="255" w:hanging="125"/>
      </w:pPr>
      <w:r>
        <w:rPr>
          <w:rFonts w:ascii="Arial" w:hAnsi="Arial"/>
          <w:sz w:val="18"/>
        </w:rPr>
        <w:t>Command correction bersifat traceable dan tidak menghapus source report.</w:t>
      </w:r>
    </w:p>
    <w:p>
      <w:pPr>
        <w:pStyle w:val="ListBullet"/>
        <w:spacing w:after="56" w:line="250" w:lineRule="auto"/>
        <w:ind w:left="255" w:hanging="125"/>
      </w:pPr>
      <w:r>
        <w:rPr>
          <w:rFonts w:ascii="Arial" w:hAnsi="Arial"/>
          <w:sz w:val="18"/>
        </w:rPr>
        <w:t>Evidence memiliki metadata, checksum/integrity, visibility class, dan retention policy.</w:t>
      </w:r>
    </w:p>
    <w:p>
      <w:pPr>
        <w:spacing w:after="80" w:line="254" w:lineRule="auto"/>
      </w:pPr>
      <w:r>
        <w:br w:type="page"/>
      </w:r>
    </w:p>
    <w:p>
      <w:pPr>
        <w:pStyle w:val="Heading1"/>
      </w:pPr>
      <w:r>
        <w:t>5. Enterprise / C4 Architecture</w:t>
      </w:r>
    </w:p>
    <w:p>
      <w:pPr>
        <w:pStyle w:val="Heading2"/>
        <w:spacing w:after="80" w:line="259" w:lineRule="auto"/>
      </w:pPr>
      <w:r>
        <w:t>5.1 Logical layers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14"/>
            <w:shd w:fill="17365D"/>
            <w:tcMar>
              <w:top w:w="80" w:type="dxa"/>
              <w:start w:w="100" w:type="dxa"/>
              <w:bottom w:w="80" w:type="dxa"/>
              <w:end w:w="100" w:type="dxa"/>
            </w:tcMar>
            <w:vAlign w:val="center"/>
          </w:tcPr>
          <w:p>
            <w:pPr>
              <w:jc w:val="center"/>
            </w:pPr>
            <w:r>
              <w:rPr>
                <w:b/>
                <w:color w:val="FFFFFF"/>
                <w:sz w:val="16"/>
              </w:rPr>
              <w:t>Layer</w:t>
            </w:r>
          </w:p>
        </w:tc>
        <w:tc>
          <w:tcPr>
            <w:tcW w:type="dxa" w:w="4082"/>
            <w:shd w:fill="17365D"/>
            <w:tcMar>
              <w:top w:w="80" w:type="dxa"/>
              <w:start w:w="100" w:type="dxa"/>
              <w:bottom w:w="80" w:type="dxa"/>
              <w:end w:w="100" w:type="dxa"/>
            </w:tcMar>
            <w:vAlign w:val="center"/>
          </w:tcPr>
          <w:p>
            <w:pPr>
              <w:jc w:val="center"/>
            </w:pPr>
            <w:r>
              <w:rPr>
                <w:b/>
                <w:color w:val="FFFFFF"/>
                <w:sz w:val="16"/>
              </w:rPr>
              <w:t>Components</w:t>
            </w:r>
          </w:p>
        </w:tc>
        <w:tc>
          <w:tcPr>
            <w:tcW w:type="dxa" w:w="3969"/>
            <w:shd w:fill="17365D"/>
            <w:tcMar>
              <w:top w:w="80" w:type="dxa"/>
              <w:start w:w="100" w:type="dxa"/>
              <w:bottom w:w="80" w:type="dxa"/>
              <w:end w:w="100" w:type="dxa"/>
            </w:tcMar>
            <w:vAlign w:val="center"/>
          </w:tcPr>
          <w:p>
            <w:pPr>
              <w:jc w:val="center"/>
            </w:pPr>
            <w:r>
              <w:rPr>
                <w:b/>
                <w:color w:val="FFFFFF"/>
                <w:sz w:val="16"/>
              </w:rPr>
              <w:t>Rule</w:t>
            </w:r>
          </w:p>
        </w:tc>
      </w:tr>
      <w:tr>
        <w:tc>
          <w:tcPr>
            <w:tcW w:type="dxa" w:w="1814"/>
            <w:tcMar>
              <w:top w:w="80" w:type="dxa"/>
              <w:start w:w="100" w:type="dxa"/>
              <w:bottom w:w="80" w:type="dxa"/>
              <w:end w:w="100" w:type="dxa"/>
            </w:tcMar>
            <w:vAlign w:val="top"/>
          </w:tcPr>
          <w:p>
            <w:pPr>
              <w:spacing w:after="0" w:line="240" w:lineRule="auto"/>
            </w:pPr>
            <w:r>
              <w:rPr>
                <w:rFonts w:ascii="Arial" w:hAnsi="Arial"/>
                <w:b/>
                <w:color w:val="1F2937"/>
                <w:sz w:val="16"/>
              </w:rPr>
              <w:t>Experience</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6"/>
              </w:rPr>
              <w:t>Public Web, PWA, War Room, Admin/Frappe Desk</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6"/>
              </w:rPr>
              <w:t>Frontend tidak menghitung Operational Truth sendiri.</w:t>
            </w:r>
          </w:p>
        </w:tc>
      </w:tr>
      <w:tr>
        <w:tc>
          <w:tcPr>
            <w:tcW w:type="dxa" w:w="1814"/>
            <w:tcMar>
              <w:top w:w="80" w:type="dxa"/>
              <w:start w:w="100" w:type="dxa"/>
              <w:bottom w:w="80" w:type="dxa"/>
              <w:end w:w="100" w:type="dxa"/>
            </w:tcMar>
            <w:vAlign w:val="top"/>
            <w:shd w:fill="FAFBFC"/>
          </w:tcPr>
          <w:p>
            <w:pPr>
              <w:spacing w:after="0" w:line="240" w:lineRule="auto"/>
            </w:pPr>
            <w:r>
              <w:rPr>
                <w:rFonts w:ascii="Arial" w:hAnsi="Arial"/>
                <w:b/>
                <w:color w:val="1F2937"/>
                <w:sz w:val="16"/>
              </w:rPr>
              <w:t>API / Application</w:t>
            </w:r>
          </w:p>
        </w:tc>
        <w:tc>
          <w:tcPr>
            <w:tcW w:type="dxa" w:w="4082"/>
            <w:tcMar>
              <w:top w:w="80" w:type="dxa"/>
              <w:start w:w="100" w:type="dxa"/>
              <w:bottom w:w="80" w:type="dxa"/>
              <w:end w:w="100" w:type="dxa"/>
            </w:tcMar>
            <w:vAlign w:val="top"/>
            <w:shd w:fill="FAFBFC"/>
          </w:tcPr>
          <w:p>
            <w:pPr>
              <w:spacing w:after="0" w:line="240" w:lineRule="auto"/>
            </w:pPr>
            <w:r>
              <w:rPr>
                <w:rFonts w:ascii="Arial" w:hAnsi="Arial"/>
                <w:b w:val="0"/>
                <w:color w:val="1F2937"/>
                <w:sz w:val="16"/>
              </w:rPr>
              <w:t>Use-case orchestration, auth, workflows, transactions</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6"/>
              </w:rPr>
              <w:t>Thin transport handlers; clear transaction boundary.</w:t>
            </w:r>
          </w:p>
        </w:tc>
      </w:tr>
      <w:tr>
        <w:tc>
          <w:tcPr>
            <w:tcW w:type="dxa" w:w="1814"/>
            <w:tcMar>
              <w:top w:w="80" w:type="dxa"/>
              <w:start w:w="100" w:type="dxa"/>
              <w:bottom w:w="80" w:type="dxa"/>
              <w:end w:w="100" w:type="dxa"/>
            </w:tcMar>
            <w:vAlign w:val="top"/>
          </w:tcPr>
          <w:p>
            <w:pPr>
              <w:spacing w:after="0" w:line="240" w:lineRule="auto"/>
            </w:pPr>
            <w:r>
              <w:rPr>
                <w:rFonts w:ascii="Arial" w:hAnsi="Arial"/>
                <w:b/>
                <w:color w:val="1F2937"/>
                <w:sz w:val="16"/>
              </w:rPr>
              <w:t>Domain</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6"/>
              </w:rPr>
              <w:t>Policies, state transitions, normalization, MAX/SUM, verification distinction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6"/>
              </w:rPr>
              <w:t>Domain rules tidak disebar ke UI/infrastructure.</w:t>
            </w:r>
          </w:p>
        </w:tc>
      </w:tr>
      <w:tr>
        <w:tc>
          <w:tcPr>
            <w:tcW w:type="dxa" w:w="1814"/>
            <w:tcMar>
              <w:top w:w="80" w:type="dxa"/>
              <w:start w:w="100" w:type="dxa"/>
              <w:bottom w:w="80" w:type="dxa"/>
              <w:end w:w="100" w:type="dxa"/>
            </w:tcMar>
            <w:vAlign w:val="top"/>
            <w:shd w:fill="FAFBFC"/>
          </w:tcPr>
          <w:p>
            <w:pPr>
              <w:spacing w:after="0" w:line="240" w:lineRule="auto"/>
            </w:pPr>
            <w:r>
              <w:rPr>
                <w:rFonts w:ascii="Arial" w:hAnsi="Arial"/>
                <w:b/>
                <w:color w:val="1F2937"/>
                <w:sz w:val="16"/>
              </w:rPr>
              <w:t>Infrastructure</w:t>
            </w:r>
          </w:p>
        </w:tc>
        <w:tc>
          <w:tcPr>
            <w:tcW w:type="dxa" w:w="4082"/>
            <w:tcMar>
              <w:top w:w="80" w:type="dxa"/>
              <w:start w:w="100" w:type="dxa"/>
              <w:bottom w:w="80" w:type="dxa"/>
              <w:end w:w="100" w:type="dxa"/>
            </w:tcMar>
            <w:vAlign w:val="top"/>
            <w:shd w:fill="FAFBFC"/>
          </w:tcPr>
          <w:p>
            <w:pPr>
              <w:spacing w:after="0" w:line="240" w:lineRule="auto"/>
            </w:pPr>
            <w:r>
              <w:rPr>
                <w:rFonts w:ascii="Arial" w:hAnsi="Arial"/>
                <w:b w:val="0"/>
                <w:color w:val="1F2937"/>
                <w:sz w:val="16"/>
              </w:rPr>
              <w:t>DB, storage, messaging, GIS, external AI adapters</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6"/>
              </w:rPr>
              <w:t>Infrastructure tidak menentukan keputusan domain.</w:t>
            </w:r>
          </w:p>
        </w:tc>
      </w:tr>
      <w:tr>
        <w:tc>
          <w:tcPr>
            <w:tcW w:type="dxa" w:w="1814"/>
            <w:tcMar>
              <w:top w:w="80" w:type="dxa"/>
              <w:start w:w="100" w:type="dxa"/>
              <w:bottom w:w="80" w:type="dxa"/>
              <w:end w:w="100" w:type="dxa"/>
            </w:tcMar>
            <w:vAlign w:val="top"/>
          </w:tcPr>
          <w:p>
            <w:pPr>
              <w:spacing w:after="0" w:line="240" w:lineRule="auto"/>
            </w:pPr>
            <w:r>
              <w:rPr>
                <w:rFonts w:ascii="Arial" w:hAnsi="Arial"/>
                <w:b/>
                <w:color w:val="1F2937"/>
                <w:sz w:val="16"/>
              </w:rPr>
              <w:t>Data / Analytics</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6"/>
              </w:rPr>
              <w:t>Read models, rollups, alerts, scenario/summary</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6"/>
              </w:rPr>
              <w:t>Dapat dibangun ulang dari source + audit trail.</w:t>
            </w:r>
          </w:p>
        </w:tc>
      </w:tr>
    </w:tbl>
    <w:p>
      <w:pPr>
        <w:spacing w:after="80" w:line="254" w:lineRule="auto"/>
      </w:pPr>
    </w:p>
    <w:p>
      <w:pPr>
        <w:pStyle w:val="Heading2"/>
        <w:spacing w:after="80" w:line="259" w:lineRule="auto"/>
      </w:pPr>
      <w:r>
        <w:t>5.2 Near-term architecture choice</w:t>
      </w:r>
    </w:p>
    <w:p>
      <w:pPr>
        <w:spacing w:after="80" w:line="254" w:lineRule="auto"/>
      </w:pPr>
      <w:r>
        <w:t>Blueprint mempertahankan modular monolith/service modules sebagai tahap aman. Pemisahan microservice hanya dilakukan jika ada alasan operasional yang nyata—misalnya kebutuhan scaling independen, isolation, compliance boundary, atau failure domain yang jelas.</w:t>
      </w:r>
    </w:p>
    <w:p>
      <w:pPr>
        <w:pStyle w:val="Heading2"/>
        <w:spacing w:after="80" w:line="259" w:lineRule="auto"/>
      </w:pPr>
      <w:r>
        <w:t>5.3 Read / write separation</w:t>
      </w:r>
    </w:p>
    <w:p>
      <w:pPr>
        <w:spacing w:after="80" w:line="254" w:lineRule="auto"/>
      </w:pPr>
      <w:r>
        <w:t>Writes menyimpan source, evidence, verification, state change, distribution event, dan command action. War Room menggunakan read model/summary yang dioptimalkan agar query analitik tidak mengganggu capture lapangan.</w:t>
      </w:r>
    </w:p>
    <w:p>
      <w:pPr>
        <w:spacing w:after="80" w:line="254" w:lineRule="auto"/>
      </w:pPr>
      <w:r>
        <w:br w:type="page"/>
      </w:r>
    </w:p>
    <w:p>
      <w:pPr>
        <w:pStyle w:val="Heading1"/>
      </w:pPr>
      <w:r>
        <w:t>6. Domain &amp; Service Boundaries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928"/>
            <w:shd w:fill="0E7490"/>
            <w:tcMar>
              <w:top w:w="80" w:type="dxa"/>
              <w:start w:w="100" w:type="dxa"/>
              <w:bottom w:w="80" w:type="dxa"/>
              <w:end w:w="100" w:type="dxa"/>
            </w:tcMar>
            <w:vAlign w:val="center"/>
          </w:tcPr>
          <w:p>
            <w:pPr>
              <w:jc w:val="center"/>
            </w:pPr>
            <w:r>
              <w:rPr>
                <w:b/>
                <w:color w:val="FFFFFF"/>
                <w:sz w:val="15"/>
              </w:rPr>
              <w:t>Domain</w:t>
            </w:r>
          </w:p>
        </w:tc>
        <w:tc>
          <w:tcPr>
            <w:tcW w:type="dxa" w:w="3969"/>
            <w:shd w:fill="0E7490"/>
            <w:tcMar>
              <w:top w:w="80" w:type="dxa"/>
              <w:start w:w="100" w:type="dxa"/>
              <w:bottom w:w="80" w:type="dxa"/>
              <w:end w:w="100" w:type="dxa"/>
            </w:tcMar>
            <w:vAlign w:val="center"/>
          </w:tcPr>
          <w:p>
            <w:pPr>
              <w:jc w:val="center"/>
            </w:pPr>
            <w:r>
              <w:rPr>
                <w:b/>
                <w:color w:val="FFFFFF"/>
                <w:sz w:val="15"/>
              </w:rPr>
              <w:t>Owns</w:t>
            </w:r>
          </w:p>
        </w:tc>
        <w:tc>
          <w:tcPr>
            <w:tcW w:type="dxa" w:w="3969"/>
            <w:shd w:fill="0E7490"/>
            <w:tcMar>
              <w:top w:w="80" w:type="dxa"/>
              <w:start w:w="100" w:type="dxa"/>
              <w:bottom w:w="80" w:type="dxa"/>
              <w:end w:w="100" w:type="dxa"/>
            </w:tcMar>
            <w:vAlign w:val="center"/>
          </w:tcPr>
          <w:p>
            <w:pPr>
              <w:jc w:val="center"/>
            </w:pPr>
            <w:r>
              <w:rPr>
                <w:b/>
                <w:color w:val="FFFFFF"/>
                <w:sz w:val="15"/>
              </w:rPr>
              <w:t>Must Not Own</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Disaster Event</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Lifecycle kejadian, area, active status</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Validitas individual report</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Reporting</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Raw report, source, time, location claim</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Operational truth final</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Evidence</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Media, metadata, checksum, chain of custody</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Consolidation decision</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Verification</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Identity/location/org/need/evidence review</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Universal “verified everything” badge</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Consolidation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Duplicate/overlap, merge/split, provenance</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Authentication</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Command</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Manual correction, assignment, decision record</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Mutation of raw report</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Resources</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Stock/resource/vehicle/volunteer capability</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Truth decision for reports</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Distribution</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Plan, dispatch, transport, arrival, receipt</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Deletion of source need</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Medical</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Case coordination, medical risk, evacuation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General logistics stock ledger</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Shelter</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Capacity, occupancy snapshot, shelter needs</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Identity exposure on public view</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Search &amp; Found</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Missing/found/match coordination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Public PII disclosure</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Recovery</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Recovery projects, progress, spending</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Response stock semantics</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5"/>
              </w:rPr>
              <w:t>Offline Sync</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Queue, retry, conflict, reconciliation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Silent last-write-wins</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5"/>
              </w:rPr>
              <w:t>AI</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Derived recommendation/candidate/context</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Final operational authority</w:t>
            </w:r>
          </w:p>
        </w:tc>
      </w:tr>
    </w:tbl>
    <w:p>
      <w:pPr>
        <w:spacing w:after="80" w:line="254" w:lineRule="auto"/>
      </w:pPr>
    </w:p>
    <w:p>
      <w:pPr>
        <w:spacing w:after="80" w:line="254" w:lineRule="auto"/>
      </w:pPr>
      <w:r>
        <w:br w:type="page"/>
      </w:r>
    </w:p>
    <w:p>
      <w:pPr>
        <w:pStyle w:val="Heading1"/>
      </w:pPr>
      <w:r>
        <w:t>7. Data Architecture &amp; Core Entities</w:t>
      </w:r>
    </w:p>
    <w:p>
      <w:pPr>
        <w:pStyle w:val="Heading2"/>
        <w:spacing w:after="80" w:line="259" w:lineRule="auto"/>
      </w:pPr>
      <w:r>
        <w:t>7.1 Conceptual data model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948"/>
            <w:shd w:fill="17365D"/>
            <w:tcMar>
              <w:top w:w="80" w:type="dxa"/>
              <w:start w:w="100" w:type="dxa"/>
              <w:bottom w:w="80" w:type="dxa"/>
              <w:end w:w="100" w:type="dxa"/>
            </w:tcMar>
            <w:vAlign w:val="center"/>
          </w:tcPr>
          <w:p>
            <w:pPr>
              <w:jc w:val="center"/>
            </w:pPr>
            <w:r>
              <w:rPr>
                <w:b/>
                <w:color w:val="FFFFFF"/>
                <w:sz w:val="15"/>
              </w:rPr>
              <w:t>Entity / DocType Concept</w:t>
            </w:r>
          </w:p>
        </w:tc>
        <w:tc>
          <w:tcPr>
            <w:tcW w:type="dxa" w:w="6917"/>
            <w:shd w:fill="17365D"/>
            <w:tcMar>
              <w:top w:w="80" w:type="dxa"/>
              <w:start w:w="100" w:type="dxa"/>
              <w:bottom w:w="80" w:type="dxa"/>
              <w:end w:w="100" w:type="dxa"/>
            </w:tcMar>
            <w:vAlign w:val="center"/>
          </w:tcPr>
          <w:p>
            <w:pPr>
              <w:jc w:val="center"/>
            </w:pPr>
            <w:r>
              <w:rPr>
                <w:b/>
                <w:color w:val="FFFFFF"/>
                <w:sz w:val="15"/>
              </w:rPr>
              <w:t>Key Relationships / Purpose</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Disaster Event</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Parent context for incident, reporting, Posko, operations, recovery.</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Organization</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Government/NGO/community/company/verifier identity; parent/child where required.</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Posko</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Operational node linked to event + organization/personal scope.</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Community Report / Raw Report</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Original report text/payload, source, device, time, location, reporter context.</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Operational Evidence</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Media/document/GPS references, metadata, checksum, visibility, verification status.</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Verification Request / Action</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Layered verification state and audit trail.</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Logistic Need</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Raw need + quantity mode + canonical category/group/item + urgency/status.</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Stock Observation</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Observed snapshot: quantity, state, timestamp, Posko; not mutable stock truth.</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Aid Offer</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Donor/resource contribution pipeline with target Posko.</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Distribution Flow</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Movement source→destination; dispatch/arrival/receipt semantics.</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Medical / Shelter / Search-Found</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Domain-specific operational entities with privacy policy.</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Volunteer / Resource Profile</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Capability and assignment, separate from inventory stock.</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Donor/Special/Recovery Program</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Program/recovery financial and progress semantics.</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AI User Setting / AI Result</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BYOK secret handling + derived decision-support outputs.</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5"/>
              </w:rPr>
              <w:t>Normalization Rule</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5"/>
              </w:rPr>
              <w:t>Admin-configured mapping from aliases to canonical logistics taxonomy.</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5"/>
              </w:rPr>
              <w:t>Sync Log / Queue</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5"/>
              </w:rPr>
              <w:t>P2 reconciliation/audit target for offline/mobile synchronization.</w:t>
            </w:r>
          </w:p>
        </w:tc>
      </w:tr>
    </w:tbl>
    <w:p>
      <w:pPr>
        <w:spacing w:after="80" w:line="254" w:lineRule="auto"/>
      </w:pPr>
    </w:p>
    <w:p>
      <w:pPr>
        <w:pStyle w:val="Heading2"/>
        <w:spacing w:after="80" w:line="259" w:lineRule="auto"/>
      </w:pPr>
      <w:r>
        <w:t>7.2 Data classes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928"/>
            <w:shd w:fill="0E7490"/>
            <w:tcMar>
              <w:top w:w="80" w:type="dxa"/>
              <w:start w:w="100" w:type="dxa"/>
              <w:bottom w:w="80" w:type="dxa"/>
              <w:end w:w="100" w:type="dxa"/>
            </w:tcMar>
            <w:vAlign w:val="center"/>
          </w:tcPr>
          <w:p>
            <w:pPr>
              <w:jc w:val="center"/>
            </w:pPr>
            <w:r>
              <w:rPr>
                <w:b/>
                <w:color w:val="FFFFFF"/>
                <w:sz w:val="16"/>
              </w:rPr>
              <w:t>Class</w:t>
            </w:r>
          </w:p>
        </w:tc>
        <w:tc>
          <w:tcPr>
            <w:tcW w:type="dxa" w:w="4025"/>
            <w:shd w:fill="0E7490"/>
            <w:tcMar>
              <w:top w:w="80" w:type="dxa"/>
              <w:start w:w="100" w:type="dxa"/>
              <w:bottom w:w="80" w:type="dxa"/>
              <w:end w:w="100" w:type="dxa"/>
            </w:tcMar>
            <w:vAlign w:val="center"/>
          </w:tcPr>
          <w:p>
            <w:pPr>
              <w:jc w:val="center"/>
            </w:pPr>
            <w:r>
              <w:rPr>
                <w:b/>
                <w:color w:val="FFFFFF"/>
                <w:sz w:val="16"/>
              </w:rPr>
              <w:t>Examples</w:t>
            </w:r>
          </w:p>
        </w:tc>
        <w:tc>
          <w:tcPr>
            <w:tcW w:type="dxa" w:w="3912"/>
            <w:shd w:fill="0E7490"/>
            <w:tcMar>
              <w:top w:w="80" w:type="dxa"/>
              <w:start w:w="100" w:type="dxa"/>
              <w:bottom w:w="80" w:type="dxa"/>
              <w:end w:w="100" w:type="dxa"/>
            </w:tcMar>
            <w:vAlign w:val="center"/>
          </w:tcPr>
          <w:p>
            <w:pPr>
              <w:jc w:val="center"/>
            </w:pPr>
            <w:r>
              <w:rPr>
                <w:b/>
                <w:color w:val="FFFFFF"/>
                <w:sz w:val="16"/>
              </w:rPr>
              <w:t>Control</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6"/>
              </w:rPr>
              <w:t>Public</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6"/>
              </w:rPr>
              <w:t>Safe disaster summary, aggregate need</w:t>
            </w:r>
          </w:p>
        </w:tc>
        <w:tc>
          <w:tcPr>
            <w:tcW w:type="dxa" w:w="3912"/>
            <w:tcMar>
              <w:top w:w="80" w:type="dxa"/>
              <w:start w:w="100" w:type="dxa"/>
              <w:bottom w:w="80" w:type="dxa"/>
              <w:end w:w="100" w:type="dxa"/>
            </w:tcMar>
            <w:vAlign w:val="top"/>
          </w:tcPr>
          <w:p>
            <w:pPr>
              <w:spacing w:after="0" w:line="240" w:lineRule="auto"/>
            </w:pPr>
            <w:r>
              <w:rPr>
                <w:rFonts w:ascii="Arial" w:hAnsi="Arial"/>
                <w:b w:val="0"/>
                <w:color w:val="1F2937"/>
                <w:sz w:val="16"/>
              </w:rPr>
              <w:t>No unnecessary personal data</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6"/>
              </w:rPr>
              <w:t>Internal</w:t>
            </w:r>
          </w:p>
        </w:tc>
        <w:tc>
          <w:tcPr>
            <w:tcW w:type="dxa" w:w="4025"/>
            <w:tcMar>
              <w:top w:w="80" w:type="dxa"/>
              <w:start w:w="100" w:type="dxa"/>
              <w:bottom w:w="80" w:type="dxa"/>
              <w:end w:w="100" w:type="dxa"/>
            </w:tcMar>
            <w:vAlign w:val="top"/>
            <w:shd w:fill="FAFBFC"/>
          </w:tcPr>
          <w:p>
            <w:pPr>
              <w:spacing w:after="0" w:line="240" w:lineRule="auto"/>
            </w:pPr>
            <w:r>
              <w:rPr>
                <w:rFonts w:ascii="Arial" w:hAnsi="Arial"/>
                <w:b w:val="0"/>
                <w:color w:val="1F2937"/>
                <w:sz w:val="16"/>
              </w:rPr>
              <w:t>Verification queue, conflict queue, resource status</w:t>
            </w:r>
          </w:p>
        </w:tc>
        <w:tc>
          <w:tcPr>
            <w:tcW w:type="dxa" w:w="3912"/>
            <w:tcMar>
              <w:top w:w="80" w:type="dxa"/>
              <w:start w:w="100" w:type="dxa"/>
              <w:bottom w:w="80" w:type="dxa"/>
              <w:end w:w="100" w:type="dxa"/>
            </w:tcMar>
            <w:vAlign w:val="top"/>
            <w:shd w:fill="FAFBFC"/>
          </w:tcPr>
          <w:p>
            <w:pPr>
              <w:spacing w:after="0" w:line="240" w:lineRule="auto"/>
            </w:pPr>
            <w:r>
              <w:rPr>
                <w:rFonts w:ascii="Arial" w:hAnsi="Arial"/>
                <w:b w:val="0"/>
                <w:color w:val="1F2937"/>
                <w:sz w:val="16"/>
              </w:rPr>
              <w:t>Operator/organization access</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6"/>
              </w:rPr>
              <w:t>Restricted</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6"/>
              </w:rPr>
              <w:t>Detailed Posko, stock, assignment, medical/shelter operational detail</w:t>
            </w:r>
          </w:p>
        </w:tc>
        <w:tc>
          <w:tcPr>
            <w:tcW w:type="dxa" w:w="3912"/>
            <w:tcMar>
              <w:top w:w="80" w:type="dxa"/>
              <w:start w:w="100" w:type="dxa"/>
              <w:bottom w:w="80" w:type="dxa"/>
              <w:end w:w="100" w:type="dxa"/>
            </w:tcMar>
            <w:vAlign w:val="top"/>
          </w:tcPr>
          <w:p>
            <w:pPr>
              <w:spacing w:after="0" w:line="240" w:lineRule="auto"/>
            </w:pPr>
            <w:r>
              <w:rPr>
                <w:rFonts w:ascii="Arial" w:hAnsi="Arial"/>
                <w:b w:val="0"/>
                <w:color w:val="1F2937"/>
                <w:sz w:val="16"/>
              </w:rPr>
              <w:t>Event/region/org/Posko scope</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6"/>
              </w:rPr>
              <w:t>Confidential</w:t>
            </w:r>
          </w:p>
        </w:tc>
        <w:tc>
          <w:tcPr>
            <w:tcW w:type="dxa" w:w="4025"/>
            <w:tcMar>
              <w:top w:w="80" w:type="dxa"/>
              <w:start w:w="100" w:type="dxa"/>
              <w:bottom w:w="80" w:type="dxa"/>
              <w:end w:w="100" w:type="dxa"/>
            </w:tcMar>
            <w:vAlign w:val="top"/>
            <w:shd w:fill="FAFBFC"/>
          </w:tcPr>
          <w:p>
            <w:pPr>
              <w:spacing w:after="0" w:line="240" w:lineRule="auto"/>
            </w:pPr>
            <w:r>
              <w:rPr>
                <w:rFonts w:ascii="Arial" w:hAnsi="Arial"/>
                <w:b w:val="0"/>
                <w:color w:val="1F2937"/>
                <w:sz w:val="16"/>
              </w:rPr>
              <w:t>Reporter/victim identity, verifier contact</w:t>
            </w:r>
          </w:p>
        </w:tc>
        <w:tc>
          <w:tcPr>
            <w:tcW w:type="dxa" w:w="3912"/>
            <w:tcMar>
              <w:top w:w="80" w:type="dxa"/>
              <w:start w:w="100" w:type="dxa"/>
              <w:bottom w:w="80" w:type="dxa"/>
              <w:end w:w="100" w:type="dxa"/>
            </w:tcMar>
            <w:vAlign w:val="top"/>
            <w:shd w:fill="FAFBFC"/>
          </w:tcPr>
          <w:p>
            <w:pPr>
              <w:spacing w:after="0" w:line="240" w:lineRule="auto"/>
            </w:pPr>
            <w:r>
              <w:rPr>
                <w:rFonts w:ascii="Arial" w:hAnsi="Arial"/>
                <w:b w:val="0"/>
                <w:color w:val="1F2937"/>
                <w:sz w:val="16"/>
              </w:rPr>
              <w:t>Masking, retention, audited access</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6"/>
              </w:rPr>
              <w:t>Highly confidential</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6"/>
              </w:rPr>
              <w:t>Credential, token, API key</w:t>
            </w:r>
          </w:p>
        </w:tc>
        <w:tc>
          <w:tcPr>
            <w:tcW w:type="dxa" w:w="3912"/>
            <w:tcMar>
              <w:top w:w="80" w:type="dxa"/>
              <w:start w:w="100" w:type="dxa"/>
              <w:bottom w:w="80" w:type="dxa"/>
              <w:end w:w="100" w:type="dxa"/>
            </w:tcMar>
            <w:vAlign w:val="top"/>
          </w:tcPr>
          <w:p>
            <w:pPr>
              <w:spacing w:after="0" w:line="240" w:lineRule="auto"/>
            </w:pPr>
            <w:r>
              <w:rPr>
                <w:rFonts w:ascii="Arial" w:hAnsi="Arial"/>
                <w:b w:val="0"/>
                <w:color w:val="1F2937"/>
                <w:sz w:val="16"/>
              </w:rPr>
              <w:t>Never Git/log; backend secret storage</w:t>
            </w:r>
          </w:p>
        </w:tc>
      </w:tr>
    </w:tbl>
    <w:p>
      <w:pPr>
        <w:spacing w:after="80" w:line="254" w:lineRule="auto"/>
      </w:pPr>
    </w:p>
    <w:p>
      <w:pPr>
        <w:spacing w:after="80" w:line="254" w:lineRule="auto"/>
      </w:pPr>
      <w:r>
        <w:br w:type="page"/>
      </w:r>
    </w:p>
    <w:p>
      <w:pPr>
        <w:pStyle w:val="Heading1"/>
      </w:pPr>
      <w:r>
        <w:t>8. Logistics, Distribution &amp; Normalization</w:t>
      </w:r>
    </w:p>
    <w:p>
      <w:pPr>
        <w:pStyle w:val="Heading2"/>
        <w:spacing w:after="80" w:line="259" w:lineRule="auto"/>
      </w:pPr>
      <w:r>
        <w:t>8.1 Operational states are separate</w:t>
      </w:r>
    </w:p>
    <w:p>
      <w:pPr>
        <w:spacing w:after="80" w:line="254" w:lineRule="auto"/>
      </w:pPr>
      <w:r>
        <w:t>Rescue-Net membedakan offered, reserved, dispatched, arrived, received, available stock, distributed, dan consumed. Status ini tidak boleh disederhanakan menjadi satu angka stok karena akan menyebabkan overcommit atau kehilangan provenance.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24"/>
            <w:shd w:fill="17365D"/>
            <w:tcMar>
              <w:top w:w="80" w:type="dxa"/>
              <w:start w:w="100" w:type="dxa"/>
              <w:bottom w:w="80" w:type="dxa"/>
              <w:end w:w="100" w:type="dxa"/>
            </w:tcMar>
            <w:vAlign w:val="center"/>
          </w:tcPr>
          <w:p>
            <w:pPr>
              <w:jc w:val="center"/>
            </w:pPr>
            <w:r>
              <w:rPr>
                <w:b/>
                <w:color w:val="FFFFFF"/>
                <w:sz w:val="16"/>
              </w:rPr>
              <w:t>Object</w:t>
            </w:r>
          </w:p>
        </w:tc>
        <w:tc>
          <w:tcPr>
            <w:tcW w:type="dxa" w:w="3912"/>
            <w:shd w:fill="17365D"/>
            <w:tcMar>
              <w:top w:w="80" w:type="dxa"/>
              <w:start w:w="100" w:type="dxa"/>
              <w:bottom w:w="80" w:type="dxa"/>
              <w:end w:w="100" w:type="dxa"/>
            </w:tcMar>
            <w:vAlign w:val="center"/>
          </w:tcPr>
          <w:p>
            <w:pPr>
              <w:jc w:val="center"/>
            </w:pPr>
            <w:r>
              <w:rPr>
                <w:b/>
                <w:color w:val="FFFFFF"/>
                <w:sz w:val="16"/>
              </w:rPr>
              <w:t>Meaning</w:t>
            </w:r>
          </w:p>
        </w:tc>
        <w:tc>
          <w:tcPr>
            <w:tcW w:type="dxa" w:w="3628"/>
            <w:shd w:fill="17365D"/>
            <w:tcMar>
              <w:top w:w="80" w:type="dxa"/>
              <w:start w:w="100" w:type="dxa"/>
              <w:bottom w:w="80" w:type="dxa"/>
              <w:end w:w="100" w:type="dxa"/>
            </w:tcMar>
            <w:vAlign w:val="center"/>
          </w:tcPr>
          <w:p>
            <w:pPr>
              <w:jc w:val="center"/>
            </w:pPr>
            <w:r>
              <w:rPr>
                <w:b/>
                <w:color w:val="FFFFFF"/>
                <w:sz w:val="16"/>
              </w:rPr>
              <w:t>Example Guardrail</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6"/>
              </w:rPr>
              <w:t>Need</w:t>
            </w:r>
          </w:p>
        </w:tc>
        <w:tc>
          <w:tcPr>
            <w:tcW w:type="dxa" w:w="3912"/>
            <w:tcMar>
              <w:top w:w="80" w:type="dxa"/>
              <w:start w:w="100" w:type="dxa"/>
              <w:bottom w:w="80" w:type="dxa"/>
              <w:end w:w="100" w:type="dxa"/>
            </w:tcMar>
            <w:vAlign w:val="top"/>
          </w:tcPr>
          <w:p>
            <w:pPr>
              <w:spacing w:after="0" w:line="240" w:lineRule="auto"/>
            </w:pPr>
            <w:r>
              <w:rPr>
                <w:rFonts w:ascii="Arial" w:hAnsi="Arial"/>
                <w:b w:val="0"/>
                <w:color w:val="1F2937"/>
                <w:sz w:val="16"/>
              </w:rPr>
              <w:t>Apa yang dibutuhkan Posko/operasi</w:t>
            </w:r>
          </w:p>
        </w:tc>
        <w:tc>
          <w:tcPr>
            <w:tcW w:type="dxa" w:w="3628"/>
            <w:tcMar>
              <w:top w:w="80" w:type="dxa"/>
              <w:start w:w="100" w:type="dxa"/>
              <w:bottom w:w="80" w:type="dxa"/>
              <w:end w:w="100" w:type="dxa"/>
            </w:tcMar>
            <w:vAlign w:val="top"/>
          </w:tcPr>
          <w:p>
            <w:pPr>
              <w:spacing w:after="0" w:line="240" w:lineRule="auto"/>
            </w:pPr>
            <w:r>
              <w:rPr>
                <w:rFonts w:ascii="Arial" w:hAnsi="Arial"/>
                <w:b w:val="0"/>
                <w:color w:val="1F2937"/>
                <w:sz w:val="16"/>
              </w:rPr>
              <w:t>Tidak harus exact quantity; narrative/estimated/range valid.</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6"/>
              </w:rPr>
              <w:t>Stock Observation</w:t>
            </w:r>
          </w:p>
        </w:tc>
        <w:tc>
          <w:tcPr>
            <w:tcW w:type="dxa" w:w="3912"/>
            <w:tcMar>
              <w:top w:w="80" w:type="dxa"/>
              <w:start w:w="100" w:type="dxa"/>
              <w:bottom w:w="80" w:type="dxa"/>
              <w:end w:w="100" w:type="dxa"/>
            </w:tcMar>
            <w:vAlign w:val="top"/>
            <w:shd w:fill="FAFBFC"/>
          </w:tcPr>
          <w:p>
            <w:pPr>
              <w:spacing w:after="0" w:line="240" w:lineRule="auto"/>
            </w:pPr>
            <w:r>
              <w:rPr>
                <w:rFonts w:ascii="Arial" w:hAnsi="Arial"/>
                <w:b w:val="0"/>
                <w:color w:val="1F2937"/>
                <w:sz w:val="16"/>
              </w:rPr>
              <w:t>Snapshot yang terlihat pada waktu tertentu</w:t>
            </w:r>
          </w:p>
        </w:tc>
        <w:tc>
          <w:tcPr>
            <w:tcW w:type="dxa" w:w="3628"/>
            <w:tcMar>
              <w:top w:w="80" w:type="dxa"/>
              <w:start w:w="100" w:type="dxa"/>
              <w:bottom w:w="80" w:type="dxa"/>
              <w:end w:w="100" w:type="dxa"/>
            </w:tcMar>
            <w:vAlign w:val="top"/>
            <w:shd w:fill="FAFBFC"/>
          </w:tcPr>
          <w:p>
            <w:pPr>
              <w:spacing w:after="0" w:line="240" w:lineRule="auto"/>
            </w:pPr>
            <w:r>
              <w:rPr>
                <w:rFonts w:ascii="Arial" w:hAnsi="Arial"/>
                <w:b w:val="0"/>
                <w:color w:val="1F2937"/>
                <w:sz w:val="16"/>
              </w:rPr>
              <w:t>Bukan accounting ledger permanen.</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6"/>
              </w:rPr>
              <w:t>Aid Offer</w:t>
            </w:r>
          </w:p>
        </w:tc>
        <w:tc>
          <w:tcPr>
            <w:tcW w:type="dxa" w:w="3912"/>
            <w:tcMar>
              <w:top w:w="80" w:type="dxa"/>
              <w:start w:w="100" w:type="dxa"/>
              <w:bottom w:w="80" w:type="dxa"/>
              <w:end w:w="100" w:type="dxa"/>
            </w:tcMar>
            <w:vAlign w:val="top"/>
          </w:tcPr>
          <w:p>
            <w:pPr>
              <w:spacing w:after="0" w:line="240" w:lineRule="auto"/>
            </w:pPr>
            <w:r>
              <w:rPr>
                <w:rFonts w:ascii="Arial" w:hAnsi="Arial"/>
                <w:b w:val="0"/>
                <w:color w:val="1F2937"/>
                <w:sz w:val="16"/>
              </w:rPr>
              <w:t>Barang/resource yang ditawarkan</w:t>
            </w:r>
          </w:p>
        </w:tc>
        <w:tc>
          <w:tcPr>
            <w:tcW w:type="dxa" w:w="3628"/>
            <w:tcMar>
              <w:top w:w="80" w:type="dxa"/>
              <w:start w:w="100" w:type="dxa"/>
              <w:bottom w:w="80" w:type="dxa"/>
              <w:end w:w="100" w:type="dxa"/>
            </w:tcMar>
            <w:vAlign w:val="top"/>
          </w:tcPr>
          <w:p>
            <w:pPr>
              <w:spacing w:after="0" w:line="240" w:lineRule="auto"/>
            </w:pPr>
            <w:r>
              <w:rPr>
                <w:rFonts w:ascii="Arial" w:hAnsi="Arial"/>
                <w:b w:val="0"/>
                <w:color w:val="1F2937"/>
                <w:sz w:val="16"/>
              </w:rPr>
              <w:t>Offer ≠ reserved ≠ delivered.</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6"/>
              </w:rPr>
              <w:t>Distribution Flow</w:t>
            </w:r>
          </w:p>
        </w:tc>
        <w:tc>
          <w:tcPr>
            <w:tcW w:type="dxa" w:w="3912"/>
            <w:tcMar>
              <w:top w:w="80" w:type="dxa"/>
              <w:start w:w="100" w:type="dxa"/>
              <w:bottom w:w="80" w:type="dxa"/>
              <w:end w:w="100" w:type="dxa"/>
            </w:tcMar>
            <w:vAlign w:val="top"/>
            <w:shd w:fill="FAFBFC"/>
          </w:tcPr>
          <w:p>
            <w:pPr>
              <w:spacing w:after="0" w:line="240" w:lineRule="auto"/>
            </w:pPr>
            <w:r>
              <w:rPr>
                <w:rFonts w:ascii="Arial" w:hAnsi="Arial"/>
                <w:b w:val="0"/>
                <w:color w:val="1F2937"/>
                <w:sz w:val="16"/>
              </w:rPr>
              <w:t>Pergerakan dari source ke destination</w:t>
            </w:r>
          </w:p>
        </w:tc>
        <w:tc>
          <w:tcPr>
            <w:tcW w:type="dxa" w:w="3628"/>
            <w:tcMar>
              <w:top w:w="80" w:type="dxa"/>
              <w:start w:w="100" w:type="dxa"/>
              <w:bottom w:w="80" w:type="dxa"/>
              <w:end w:w="100" w:type="dxa"/>
            </w:tcMar>
            <w:vAlign w:val="top"/>
            <w:shd w:fill="FAFBFC"/>
          </w:tcPr>
          <w:p>
            <w:pPr>
              <w:spacing w:after="0" w:line="240" w:lineRule="auto"/>
            </w:pPr>
            <w:r>
              <w:rPr>
                <w:rFonts w:ascii="Arial" w:hAnsi="Arial"/>
                <w:b w:val="0"/>
                <w:color w:val="1F2937"/>
                <w:sz w:val="16"/>
              </w:rPr>
              <w:t>Capture ETA, dispatch, arrival, receipt.</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6"/>
              </w:rPr>
              <w:t>Kitchen Consumption</w:t>
            </w:r>
          </w:p>
        </w:tc>
        <w:tc>
          <w:tcPr>
            <w:tcW w:type="dxa" w:w="3912"/>
            <w:tcMar>
              <w:top w:w="80" w:type="dxa"/>
              <w:start w:w="100" w:type="dxa"/>
              <w:bottom w:w="80" w:type="dxa"/>
              <w:end w:w="100" w:type="dxa"/>
            </w:tcMar>
            <w:vAlign w:val="top"/>
          </w:tcPr>
          <w:p>
            <w:pPr>
              <w:spacing w:after="0" w:line="240" w:lineRule="auto"/>
            </w:pPr>
            <w:r>
              <w:rPr>
                <w:rFonts w:ascii="Arial" w:hAnsi="Arial"/>
                <w:b w:val="0"/>
                <w:color w:val="1F2937"/>
                <w:sz w:val="16"/>
              </w:rPr>
              <w:t>Event konsumsi/produksi</w:t>
            </w:r>
          </w:p>
        </w:tc>
        <w:tc>
          <w:tcPr>
            <w:tcW w:type="dxa" w:w="3628"/>
            <w:tcMar>
              <w:top w:w="80" w:type="dxa"/>
              <w:start w:w="100" w:type="dxa"/>
              <w:bottom w:w="80" w:type="dxa"/>
              <w:end w:w="100" w:type="dxa"/>
            </w:tcMar>
            <w:vAlign w:val="top"/>
          </w:tcPr>
          <w:p>
            <w:pPr>
              <w:spacing w:after="0" w:line="240" w:lineRule="auto"/>
            </w:pPr>
            <w:r>
              <w:rPr>
                <w:rFonts w:ascii="Arial" w:hAnsi="Arial"/>
                <w:b w:val="0"/>
                <w:color w:val="1F2937"/>
                <w:sz w:val="16"/>
              </w:rPr>
              <w:t>Tidak otomatis mengubah historical stock observation.</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6"/>
              </w:rPr>
              <w:t>Medical Evacuation</w:t>
            </w:r>
          </w:p>
        </w:tc>
        <w:tc>
          <w:tcPr>
            <w:tcW w:type="dxa" w:w="3912"/>
            <w:tcMar>
              <w:top w:w="80" w:type="dxa"/>
              <w:start w:w="100" w:type="dxa"/>
              <w:bottom w:w="80" w:type="dxa"/>
              <w:end w:w="100" w:type="dxa"/>
            </w:tcMar>
            <w:vAlign w:val="top"/>
            <w:shd w:fill="FAFBFC"/>
          </w:tcPr>
          <w:p>
            <w:pPr>
              <w:spacing w:after="0" w:line="240" w:lineRule="auto"/>
            </w:pPr>
            <w:r>
              <w:rPr>
                <w:rFonts w:ascii="Arial" w:hAnsi="Arial"/>
                <w:b w:val="0"/>
                <w:color w:val="1F2937"/>
                <w:sz w:val="16"/>
              </w:rPr>
              <w:t>Movement pasien/case</w:t>
            </w:r>
          </w:p>
        </w:tc>
        <w:tc>
          <w:tcPr>
            <w:tcW w:type="dxa" w:w="3628"/>
            <w:tcMar>
              <w:top w:w="80" w:type="dxa"/>
              <w:start w:w="100" w:type="dxa"/>
              <w:bottom w:w="80" w:type="dxa"/>
              <w:end w:w="100" w:type="dxa"/>
            </w:tcMar>
            <w:vAlign w:val="top"/>
            <w:shd w:fill="FAFBFC"/>
          </w:tcPr>
          <w:p>
            <w:pPr>
              <w:spacing w:after="0" w:line="240" w:lineRule="auto"/>
            </w:pPr>
            <w:r>
              <w:rPr>
                <w:rFonts w:ascii="Arial" w:hAnsi="Arial"/>
                <w:b w:val="0"/>
                <w:color w:val="1F2937"/>
                <w:sz w:val="16"/>
              </w:rPr>
              <w:t>Terpisah dari aid distribution.</w:t>
            </w:r>
          </w:p>
        </w:tc>
      </w:tr>
    </w:tbl>
    <w:p>
      <w:pPr>
        <w:spacing w:after="80" w:line="254" w:lineRule="auto"/>
      </w:pPr>
    </w:p>
    <w:p>
      <w:pPr>
        <w:pStyle w:val="Heading2"/>
        <w:spacing w:after="80" w:line="259" w:lineRule="auto"/>
      </w:pPr>
      <w:r>
        <w:t>8.2 Configurable logistics normalization</w:t>
      </w:r>
    </w:p>
    <w:p>
      <w:pPr>
        <w:spacing w:after="80" w:line="254" w:lineRule="auto"/>
      </w:pPr>
      <w:r>
        <w:t>Normalization registry memungkinkan admin Frappe mengatur Category → Group → Item berdasarkan alias lapangan. Rule aktif diprioritaskan; jika tidak cocok, classifier built-in tetap menjadi fallback. Raw item text tetap disimpan.</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81"/>
            <w:shd w:fill="0E7490"/>
            <w:tcMar>
              <w:top w:w="80" w:type="dxa"/>
              <w:start w:w="100" w:type="dxa"/>
              <w:bottom w:w="80" w:type="dxa"/>
              <w:end w:w="100" w:type="dxa"/>
            </w:tcMar>
            <w:vAlign w:val="center"/>
          </w:tcPr>
          <w:p>
            <w:pPr>
              <w:jc w:val="center"/>
            </w:pPr>
            <w:r>
              <w:rPr>
                <w:b/>
                <w:color w:val="FFFFFF"/>
                <w:sz w:val="15"/>
              </w:rPr>
              <w:t>Baseline Category</w:t>
            </w:r>
          </w:p>
        </w:tc>
        <w:tc>
          <w:tcPr>
            <w:tcW w:type="dxa" w:w="3969"/>
            <w:shd w:fill="0E7490"/>
            <w:tcMar>
              <w:top w:w="80" w:type="dxa"/>
              <w:start w:w="100" w:type="dxa"/>
              <w:bottom w:w="80" w:type="dxa"/>
              <w:end w:w="100" w:type="dxa"/>
            </w:tcMar>
            <w:vAlign w:val="center"/>
          </w:tcPr>
          <w:p>
            <w:pPr>
              <w:jc w:val="center"/>
            </w:pPr>
            <w:r>
              <w:rPr>
                <w:b/>
                <w:color w:val="FFFFFF"/>
                <w:sz w:val="15"/>
              </w:rPr>
              <w:t>Representative Group / Item</w:t>
            </w:r>
          </w:p>
        </w:tc>
        <w:tc>
          <w:tcPr>
            <w:tcW w:type="dxa" w:w="3515"/>
            <w:shd w:fill="0E7490"/>
            <w:tcMar>
              <w:top w:w="80" w:type="dxa"/>
              <w:start w:w="100" w:type="dxa"/>
              <w:bottom w:w="80" w:type="dxa"/>
              <w:end w:w="100" w:type="dxa"/>
            </w:tcMar>
            <w:vAlign w:val="center"/>
          </w:tcPr>
          <w:p>
            <w:pPr>
              <w:jc w:val="center"/>
            </w:pPr>
            <w:r>
              <w:rPr>
                <w:b/>
                <w:color w:val="FFFFFF"/>
                <w:sz w:val="15"/>
              </w:rPr>
              <w:t>Examples of aliases</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Pangan &amp; Air</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Air Minum / Air Minum Kemasan</w:t>
            </w:r>
          </w:p>
        </w:tc>
        <w:tc>
          <w:tcPr>
            <w:tcW w:type="dxa" w:w="3515"/>
            <w:tcMar>
              <w:top w:w="80" w:type="dxa"/>
              <w:start w:w="100" w:type="dxa"/>
              <w:bottom w:w="80" w:type="dxa"/>
              <w:end w:w="100" w:type="dxa"/>
            </w:tcMar>
            <w:vAlign w:val="top"/>
          </w:tcPr>
          <w:p>
            <w:pPr>
              <w:spacing w:after="0" w:line="240" w:lineRule="auto"/>
            </w:pPr>
            <w:r>
              <w:rPr>
                <w:rFonts w:ascii="Arial" w:hAnsi="Arial"/>
                <w:b w:val="0"/>
                <w:color w:val="1F2937"/>
                <w:sz w:val="15"/>
              </w:rPr>
              <w:t>air mineral, aqua, air botol</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Pangan &amp; Air</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Air Bersih / Air Bersih</w:t>
            </w:r>
          </w:p>
        </w:tc>
        <w:tc>
          <w:tcPr>
            <w:tcW w:type="dxa" w:w="3515"/>
            <w:tcMar>
              <w:top w:w="80" w:type="dxa"/>
              <w:start w:w="100" w:type="dxa"/>
              <w:bottom w:w="80" w:type="dxa"/>
              <w:end w:w="100" w:type="dxa"/>
            </w:tcMar>
            <w:vAlign w:val="top"/>
            <w:shd w:fill="FAFBFC"/>
          </w:tcPr>
          <w:p>
            <w:pPr>
              <w:spacing w:after="0" w:line="240" w:lineRule="auto"/>
            </w:pPr>
            <w:r>
              <w:rPr>
                <w:rFonts w:ascii="Arial" w:hAnsi="Arial"/>
                <w:b w:val="0"/>
                <w:color w:val="1F2937"/>
                <w:sz w:val="15"/>
              </w:rPr>
              <w:t>air bersih, air mandi, air sanitasi</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Pangan &amp; Air</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Bahan Pangan / Beras</w:t>
            </w:r>
          </w:p>
        </w:tc>
        <w:tc>
          <w:tcPr>
            <w:tcW w:type="dxa" w:w="3515"/>
            <w:tcMar>
              <w:top w:w="80" w:type="dxa"/>
              <w:start w:w="100" w:type="dxa"/>
              <w:bottom w:w="80" w:type="dxa"/>
              <w:end w:w="100" w:type="dxa"/>
            </w:tcMar>
            <w:vAlign w:val="top"/>
          </w:tcPr>
          <w:p>
            <w:pPr>
              <w:spacing w:after="0" w:line="240" w:lineRule="auto"/>
            </w:pPr>
            <w:r>
              <w:rPr>
                <w:rFonts w:ascii="Arial" w:hAnsi="Arial"/>
                <w:b w:val="0"/>
                <w:color w:val="1F2937"/>
                <w:sz w:val="15"/>
              </w:rPr>
              <w:t>beras, beras medium/premium</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Medis &amp; Kesehatan</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Obat &amp; Perbekalan / Paracetamol</w:t>
            </w:r>
          </w:p>
        </w:tc>
        <w:tc>
          <w:tcPr>
            <w:tcW w:type="dxa" w:w="3515"/>
            <w:tcMar>
              <w:top w:w="80" w:type="dxa"/>
              <w:start w:w="100" w:type="dxa"/>
              <w:bottom w:w="80" w:type="dxa"/>
              <w:end w:w="100" w:type="dxa"/>
            </w:tcMar>
            <w:vAlign w:val="top"/>
            <w:shd w:fill="FAFBFC"/>
          </w:tcPr>
          <w:p>
            <w:pPr>
              <w:spacing w:after="0" w:line="240" w:lineRule="auto"/>
            </w:pPr>
            <w:r>
              <w:rPr>
                <w:rFonts w:ascii="Arial" w:hAnsi="Arial"/>
                <w:b w:val="0"/>
                <w:color w:val="1F2937"/>
                <w:sz w:val="15"/>
              </w:rPr>
              <w:t>paracetamol, parasetamol</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Medis &amp; Kesehatan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APD &amp; Perlindungan / Masker</w:t>
            </w:r>
          </w:p>
        </w:tc>
        <w:tc>
          <w:tcPr>
            <w:tcW w:type="dxa" w:w="3515"/>
            <w:tcMar>
              <w:top w:w="80" w:type="dxa"/>
              <w:start w:w="100" w:type="dxa"/>
              <w:bottom w:w="80" w:type="dxa"/>
              <w:end w:w="100" w:type="dxa"/>
            </w:tcMar>
            <w:vAlign w:val="top"/>
          </w:tcPr>
          <w:p>
            <w:pPr>
              <w:spacing w:after="0" w:line="240" w:lineRule="auto"/>
            </w:pPr>
            <w:r>
              <w:rPr>
                <w:rFonts w:ascii="Arial" w:hAnsi="Arial"/>
                <w:b w:val="0"/>
                <w:color w:val="1F2937"/>
                <w:sz w:val="15"/>
              </w:rPr>
              <w:t>masker medis, surgical mask, N95</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Sanitasi &amp; Hygiene</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Hygiene / Hygiene Kit</w:t>
            </w:r>
          </w:p>
        </w:tc>
        <w:tc>
          <w:tcPr>
            <w:tcW w:type="dxa" w:w="3515"/>
            <w:tcMar>
              <w:top w:w="80" w:type="dxa"/>
              <w:start w:w="100" w:type="dxa"/>
              <w:bottom w:w="80" w:type="dxa"/>
              <w:end w:w="100" w:type="dxa"/>
            </w:tcMar>
            <w:vAlign w:val="top"/>
            <w:shd w:fill="FAFBFC"/>
          </w:tcPr>
          <w:p>
            <w:pPr>
              <w:spacing w:after="0" w:line="240" w:lineRule="auto"/>
            </w:pPr>
            <w:r>
              <w:rPr>
                <w:rFonts w:ascii="Arial" w:hAnsi="Arial"/>
                <w:b w:val="0"/>
                <w:color w:val="1F2937"/>
                <w:sz w:val="15"/>
              </w:rPr>
              <w:t>sabun, pembalut, sikat gigi</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Shelter &amp; Hunian</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Perlengkapan Pengungsian</w:t>
            </w:r>
          </w:p>
        </w:tc>
        <w:tc>
          <w:tcPr>
            <w:tcW w:type="dxa" w:w="3515"/>
            <w:tcMar>
              <w:top w:w="80" w:type="dxa"/>
              <w:start w:w="100" w:type="dxa"/>
              <w:bottom w:w="80" w:type="dxa"/>
              <w:end w:w="100" w:type="dxa"/>
            </w:tcMar>
            <w:vAlign w:val="top"/>
          </w:tcPr>
          <w:p>
            <w:pPr>
              <w:spacing w:after="0" w:line="240" w:lineRule="auto"/>
            </w:pPr>
            <w:r>
              <w:rPr>
                <w:rFonts w:ascii="Arial" w:hAnsi="Arial"/>
                <w:b w:val="0"/>
                <w:color w:val="1F2937"/>
                <w:sz w:val="15"/>
              </w:rPr>
              <w:t>tenda, selimut, matras, terpal</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Energi &amp; Bahan Bakar</w:t>
            </w:r>
          </w:p>
        </w:tc>
        <w:tc>
          <w:tcPr>
            <w:tcW w:type="dxa" w:w="3969"/>
            <w:tcMar>
              <w:top w:w="80" w:type="dxa"/>
              <w:start w:w="100" w:type="dxa"/>
              <w:bottom w:w="80" w:type="dxa"/>
              <w:end w:w="100" w:type="dxa"/>
            </w:tcMar>
            <w:vAlign w:val="top"/>
            <w:shd w:fill="FAFBFC"/>
          </w:tcPr>
          <w:p>
            <w:pPr>
              <w:spacing w:after="0" w:line="240" w:lineRule="auto"/>
            </w:pPr>
            <w:r>
              <w:rPr>
                <w:rFonts w:ascii="Arial" w:hAnsi="Arial"/>
                <w:b w:val="0"/>
                <w:color w:val="1F2937"/>
                <w:sz w:val="15"/>
              </w:rPr>
              <w:t>Bahan Bakar / BBM</w:t>
            </w:r>
          </w:p>
        </w:tc>
        <w:tc>
          <w:tcPr>
            <w:tcW w:type="dxa" w:w="3515"/>
            <w:tcMar>
              <w:top w:w="80" w:type="dxa"/>
              <w:start w:w="100" w:type="dxa"/>
              <w:bottom w:w="80" w:type="dxa"/>
              <w:end w:w="100" w:type="dxa"/>
            </w:tcMar>
            <w:vAlign w:val="top"/>
            <w:shd w:fill="FAFBFC"/>
          </w:tcPr>
          <w:p>
            <w:pPr>
              <w:spacing w:after="0" w:line="240" w:lineRule="auto"/>
            </w:pPr>
            <w:r>
              <w:rPr>
                <w:rFonts w:ascii="Arial" w:hAnsi="Arial"/>
                <w:b w:val="0"/>
                <w:color w:val="1F2937"/>
                <w:sz w:val="15"/>
              </w:rPr>
              <w:t>bensin, solar, pertalite</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Energi &amp; Bahan Bakar</w:t>
            </w:r>
          </w:p>
        </w:tc>
        <w:tc>
          <w:tcPr>
            <w:tcW w:type="dxa" w:w="3969"/>
            <w:tcMar>
              <w:top w:w="80" w:type="dxa"/>
              <w:start w:w="100" w:type="dxa"/>
              <w:bottom w:w="80" w:type="dxa"/>
              <w:end w:w="100" w:type="dxa"/>
            </w:tcMar>
            <w:vAlign w:val="top"/>
          </w:tcPr>
          <w:p>
            <w:pPr>
              <w:spacing w:after="0" w:line="240" w:lineRule="auto"/>
            </w:pPr>
            <w:r>
              <w:rPr>
                <w:rFonts w:ascii="Arial" w:hAnsi="Arial"/>
                <w:b w:val="0"/>
                <w:color w:val="1F2937"/>
                <w:sz w:val="15"/>
              </w:rPr>
              <w:t>Peralatan Energi / Genset</w:t>
            </w:r>
          </w:p>
        </w:tc>
        <w:tc>
          <w:tcPr>
            <w:tcW w:type="dxa" w:w="3515"/>
            <w:tcMar>
              <w:top w:w="80" w:type="dxa"/>
              <w:start w:w="100" w:type="dxa"/>
              <w:bottom w:w="80" w:type="dxa"/>
              <w:end w:w="100" w:type="dxa"/>
            </w:tcMar>
            <w:vAlign w:val="top"/>
          </w:tcPr>
          <w:p>
            <w:pPr>
              <w:spacing w:after="0" w:line="240" w:lineRule="auto"/>
            </w:pPr>
            <w:r>
              <w:rPr>
                <w:rFonts w:ascii="Arial" w:hAnsi="Arial"/>
                <w:b w:val="0"/>
                <w:color w:val="1F2937"/>
                <w:sz w:val="15"/>
              </w:rPr>
              <w:t>genset, generator listrik</w:t>
            </w:r>
          </w:p>
        </w:tc>
      </w:tr>
    </w:tbl>
    <w:p>
      <w:pPr>
        <w:spacing w:after="80" w:line="254" w:lineRule="auto"/>
      </w:pPr>
    </w:p>
    <w:p>
      <w:pPr>
        <w:pStyle w:val="RNSmall"/>
        <w:spacing w:after="80" w:line="259" w:lineRule="auto"/>
      </w:pPr>
      <w:r>
        <w:t>Baseline 11 normalization rules telah di-seed secara idempotent; perubahan admin tidak di-overwrite oleh installer default.</w:t>
      </w:r>
    </w:p>
    <w:p>
      <w:pPr>
        <w:spacing w:after="80" w:line="254" w:lineRule="auto"/>
      </w:pPr>
      <w:r>
        <w:br w:type="page"/>
      </w:r>
    </w:p>
    <w:p>
      <w:pPr>
        <w:pStyle w:val="Heading1"/>
      </w:pPr>
      <w:r>
        <w:t>9. Humanitarian Operations Modules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984"/>
            <w:shd w:fill="17365D"/>
            <w:tcMar>
              <w:top w:w="80" w:type="dxa"/>
              <w:start w:w="100" w:type="dxa"/>
              <w:bottom w:w="80" w:type="dxa"/>
              <w:end w:w="100" w:type="dxa"/>
            </w:tcMar>
            <w:vAlign w:val="center"/>
          </w:tcPr>
          <w:p>
            <w:pPr>
              <w:jc w:val="center"/>
            </w:pPr>
            <w:r>
              <w:rPr>
                <w:b/>
                <w:color w:val="FFFFFF"/>
                <w:sz w:val="15"/>
              </w:rPr>
              <w:t>Module</w:t>
            </w:r>
          </w:p>
        </w:tc>
        <w:tc>
          <w:tcPr>
            <w:tcW w:type="dxa" w:w="4422"/>
            <w:shd w:fill="17365D"/>
            <w:tcMar>
              <w:top w:w="80" w:type="dxa"/>
              <w:start w:w="100" w:type="dxa"/>
              <w:bottom w:w="80" w:type="dxa"/>
              <w:end w:w="100" w:type="dxa"/>
            </w:tcMar>
            <w:vAlign w:val="center"/>
          </w:tcPr>
          <w:p>
            <w:pPr>
              <w:jc w:val="center"/>
            </w:pPr>
            <w:r>
              <w:rPr>
                <w:b/>
                <w:color w:val="FFFFFF"/>
                <w:sz w:val="15"/>
              </w:rPr>
              <w:t>Operational Model</w:t>
            </w:r>
          </w:p>
        </w:tc>
        <w:tc>
          <w:tcPr>
            <w:tcW w:type="dxa" w:w="3458"/>
            <w:shd w:fill="17365D"/>
            <w:tcMar>
              <w:top w:w="80" w:type="dxa"/>
              <w:start w:w="100" w:type="dxa"/>
              <w:bottom w:w="80" w:type="dxa"/>
              <w:end w:w="100" w:type="dxa"/>
            </w:tcMar>
            <w:vAlign w:val="center"/>
          </w:tcPr>
          <w:p>
            <w:pPr>
              <w:jc w:val="center"/>
            </w:pPr>
            <w:r>
              <w:rPr>
                <w:b/>
                <w:color w:val="FFFFFF"/>
                <w:sz w:val="15"/>
              </w:rPr>
              <w:t>Important Separation / Privacy</w:t>
            </w:r>
          </w:p>
        </w:tc>
      </w:tr>
      <w:tr>
        <w:tc>
          <w:tcPr>
            <w:tcW w:type="dxa" w:w="1984"/>
            <w:tcMar>
              <w:top w:w="80" w:type="dxa"/>
              <w:start w:w="100" w:type="dxa"/>
              <w:bottom w:w="80" w:type="dxa"/>
              <w:end w:w="100" w:type="dxa"/>
            </w:tcMar>
            <w:vAlign w:val="top"/>
          </w:tcPr>
          <w:p>
            <w:pPr>
              <w:spacing w:after="0" w:line="240" w:lineRule="auto"/>
            </w:pPr>
            <w:r>
              <w:rPr>
                <w:rFonts w:ascii="Arial" w:hAnsi="Arial"/>
                <w:b/>
                <w:color w:val="1F2937"/>
                <w:sz w:val="15"/>
              </w:rPr>
              <w:t>Medical</w:t>
            </w:r>
          </w:p>
        </w:tc>
        <w:tc>
          <w:tcPr>
            <w:tcW w:type="dxa" w:w="4422"/>
            <w:tcMar>
              <w:top w:w="80" w:type="dxa"/>
              <w:start w:w="100" w:type="dxa"/>
              <w:bottom w:w="80" w:type="dxa"/>
              <w:end w:w="100" w:type="dxa"/>
            </w:tcMar>
            <w:vAlign w:val="top"/>
          </w:tcPr>
          <w:p>
            <w:pPr>
              <w:spacing w:after="0" w:line="240" w:lineRule="auto"/>
            </w:pPr>
            <w:r>
              <w:rPr>
                <w:rFonts w:ascii="Arial" w:hAnsi="Arial"/>
                <w:b w:val="0"/>
                <w:color w:val="1F2937"/>
                <w:sz w:val="15"/>
              </w:rPr>
              <w:t>Case/capacity/risk/evidence; evacuation workflow</w:t>
            </w:r>
          </w:p>
        </w:tc>
        <w:tc>
          <w:tcPr>
            <w:tcW w:type="dxa" w:w="3458"/>
            <w:tcMar>
              <w:top w:w="80" w:type="dxa"/>
              <w:start w:w="100" w:type="dxa"/>
              <w:bottom w:w="80" w:type="dxa"/>
              <w:end w:w="100" w:type="dxa"/>
            </w:tcMar>
            <w:vAlign w:val="top"/>
          </w:tcPr>
          <w:p>
            <w:pPr>
              <w:spacing w:after="0" w:line="240" w:lineRule="auto"/>
            </w:pPr>
            <w:r>
              <w:rPr>
                <w:rFonts w:ascii="Arial" w:hAnsi="Arial"/>
                <w:b w:val="0"/>
                <w:color w:val="1F2937"/>
                <w:sz w:val="15"/>
              </w:rPr>
              <w:t>Patient code/private evidence; public output minimized.</w:t>
            </w:r>
          </w:p>
        </w:tc>
      </w:tr>
      <w:tr>
        <w:tc>
          <w:tcPr>
            <w:tcW w:type="dxa" w:w="1984"/>
            <w:tcMar>
              <w:top w:w="80" w:type="dxa"/>
              <w:start w:w="100" w:type="dxa"/>
              <w:bottom w:w="80" w:type="dxa"/>
              <w:end w:w="100" w:type="dxa"/>
            </w:tcMar>
            <w:vAlign w:val="top"/>
            <w:shd w:fill="FAFBFC"/>
          </w:tcPr>
          <w:p>
            <w:pPr>
              <w:spacing w:after="0" w:line="240" w:lineRule="auto"/>
            </w:pPr>
            <w:r>
              <w:rPr>
                <w:rFonts w:ascii="Arial" w:hAnsi="Arial"/>
                <w:b/>
                <w:color w:val="1F2937"/>
                <w:sz w:val="15"/>
              </w:rPr>
              <w:t>Shelter</w:t>
            </w:r>
          </w:p>
        </w:tc>
        <w:tc>
          <w:tcPr>
            <w:tcW w:type="dxa" w:w="4422"/>
            <w:tcMar>
              <w:top w:w="80" w:type="dxa"/>
              <w:start w:w="100" w:type="dxa"/>
              <w:bottom w:w="80" w:type="dxa"/>
              <w:end w:w="100" w:type="dxa"/>
            </w:tcMar>
            <w:vAlign w:val="top"/>
            <w:shd w:fill="FAFBFC"/>
          </w:tcPr>
          <w:p>
            <w:pPr>
              <w:spacing w:after="0" w:line="240" w:lineRule="auto"/>
            </w:pPr>
            <w:r>
              <w:rPr>
                <w:rFonts w:ascii="Arial" w:hAnsi="Arial"/>
                <w:b w:val="0"/>
                <w:color w:val="1F2937"/>
                <w:sz w:val="15"/>
              </w:rPr>
              <w:t>Occupancy snapshot, need, capacity, facility context</w:t>
            </w:r>
          </w:p>
        </w:tc>
        <w:tc>
          <w:tcPr>
            <w:tcW w:type="dxa" w:w="3458"/>
            <w:tcMar>
              <w:top w:w="80" w:type="dxa"/>
              <w:start w:w="100" w:type="dxa"/>
              <w:bottom w:w="80" w:type="dxa"/>
              <w:end w:w="100" w:type="dxa"/>
            </w:tcMar>
            <w:vAlign w:val="top"/>
            <w:shd w:fill="FAFBFC"/>
          </w:tcPr>
          <w:p>
            <w:pPr>
              <w:spacing w:after="0" w:line="240" w:lineRule="auto"/>
            </w:pPr>
            <w:r>
              <w:rPr>
                <w:rFonts w:ascii="Arial" w:hAnsi="Arial"/>
                <w:b w:val="0"/>
                <w:color w:val="1F2937"/>
                <w:sz w:val="15"/>
              </w:rPr>
              <w:t>Occupancy snapshot ≠ registered households.</w:t>
            </w:r>
          </w:p>
        </w:tc>
      </w:tr>
      <w:tr>
        <w:tc>
          <w:tcPr>
            <w:tcW w:type="dxa" w:w="1984"/>
            <w:tcMar>
              <w:top w:w="80" w:type="dxa"/>
              <w:start w:w="100" w:type="dxa"/>
              <w:bottom w:w="80" w:type="dxa"/>
              <w:end w:w="100" w:type="dxa"/>
            </w:tcMar>
            <w:vAlign w:val="top"/>
          </w:tcPr>
          <w:p>
            <w:pPr>
              <w:spacing w:after="0" w:line="240" w:lineRule="auto"/>
            </w:pPr>
            <w:r>
              <w:rPr>
                <w:rFonts w:ascii="Arial" w:hAnsi="Arial"/>
                <w:b/>
                <w:color w:val="1F2937"/>
                <w:sz w:val="15"/>
              </w:rPr>
              <w:t>Volunteer</w:t>
            </w:r>
          </w:p>
        </w:tc>
        <w:tc>
          <w:tcPr>
            <w:tcW w:type="dxa" w:w="4422"/>
            <w:tcMar>
              <w:top w:w="80" w:type="dxa"/>
              <w:start w:w="100" w:type="dxa"/>
              <w:bottom w:w="80" w:type="dxa"/>
              <w:end w:w="100" w:type="dxa"/>
            </w:tcMar>
            <w:vAlign w:val="top"/>
          </w:tcPr>
          <w:p>
            <w:pPr>
              <w:spacing w:after="0" w:line="240" w:lineRule="auto"/>
            </w:pPr>
            <w:r>
              <w:rPr>
                <w:rFonts w:ascii="Arial" w:hAnsi="Arial"/>
                <w:b w:val="0"/>
                <w:color w:val="1F2937"/>
                <w:sz w:val="15"/>
              </w:rPr>
              <w:t>Skill, availability, assignment</w:t>
            </w:r>
          </w:p>
        </w:tc>
        <w:tc>
          <w:tcPr>
            <w:tcW w:type="dxa" w:w="3458"/>
            <w:tcMar>
              <w:top w:w="80" w:type="dxa"/>
              <w:start w:w="100" w:type="dxa"/>
              <w:bottom w:w="80" w:type="dxa"/>
              <w:end w:w="100" w:type="dxa"/>
            </w:tcMar>
            <w:vAlign w:val="top"/>
          </w:tcPr>
          <w:p>
            <w:pPr>
              <w:spacing w:after="0" w:line="240" w:lineRule="auto"/>
            </w:pPr>
            <w:r>
              <w:rPr>
                <w:rFonts w:ascii="Arial" w:hAnsi="Arial"/>
                <w:b w:val="0"/>
                <w:color w:val="1F2937"/>
                <w:sz w:val="15"/>
              </w:rPr>
              <w:t>Anti-double-booking; assignment has actor/time.</w:t>
            </w:r>
          </w:p>
        </w:tc>
      </w:tr>
      <w:tr>
        <w:tc>
          <w:tcPr>
            <w:tcW w:type="dxa" w:w="1984"/>
            <w:tcMar>
              <w:top w:w="80" w:type="dxa"/>
              <w:start w:w="100" w:type="dxa"/>
              <w:bottom w:w="80" w:type="dxa"/>
              <w:end w:w="100" w:type="dxa"/>
            </w:tcMar>
            <w:vAlign w:val="top"/>
            <w:shd w:fill="FAFBFC"/>
          </w:tcPr>
          <w:p>
            <w:pPr>
              <w:spacing w:after="0" w:line="240" w:lineRule="auto"/>
            </w:pPr>
            <w:r>
              <w:rPr>
                <w:rFonts w:ascii="Arial" w:hAnsi="Arial"/>
                <w:b/>
                <w:color w:val="1F2937"/>
                <w:sz w:val="15"/>
              </w:rPr>
              <w:t>Search &amp; Found</w:t>
            </w:r>
          </w:p>
        </w:tc>
        <w:tc>
          <w:tcPr>
            <w:tcW w:type="dxa" w:w="4422"/>
            <w:tcMar>
              <w:top w:w="80" w:type="dxa"/>
              <w:start w:w="100" w:type="dxa"/>
              <w:bottom w:w="80" w:type="dxa"/>
              <w:end w:w="100" w:type="dxa"/>
            </w:tcMar>
            <w:vAlign w:val="top"/>
            <w:shd w:fill="FAFBFC"/>
          </w:tcPr>
          <w:p>
            <w:pPr>
              <w:spacing w:after="0" w:line="240" w:lineRule="auto"/>
            </w:pPr>
            <w:r>
              <w:rPr>
                <w:rFonts w:ascii="Arial" w:hAnsi="Arial"/>
                <w:b w:val="0"/>
                <w:color w:val="1F2937"/>
                <w:sz w:val="15"/>
              </w:rPr>
              <w:t>Missing/found reports, matches, coordination</w:t>
            </w:r>
          </w:p>
        </w:tc>
        <w:tc>
          <w:tcPr>
            <w:tcW w:type="dxa" w:w="3458"/>
            <w:tcMar>
              <w:top w:w="80" w:type="dxa"/>
              <w:start w:w="100" w:type="dxa"/>
              <w:bottom w:w="80" w:type="dxa"/>
              <w:end w:w="100" w:type="dxa"/>
            </w:tcMar>
            <w:vAlign w:val="top"/>
            <w:shd w:fill="FAFBFC"/>
          </w:tcPr>
          <w:p>
            <w:pPr>
              <w:spacing w:after="0" w:line="240" w:lineRule="auto"/>
            </w:pPr>
            <w:r>
              <w:rPr>
                <w:rFonts w:ascii="Arial" w:hAnsi="Arial"/>
                <w:b w:val="0"/>
                <w:color w:val="1F2937"/>
                <w:sz w:val="15"/>
              </w:rPr>
              <w:t>Dashboard avoids person name; identity is restricted.</w:t>
            </w:r>
          </w:p>
        </w:tc>
      </w:tr>
      <w:tr>
        <w:tc>
          <w:tcPr>
            <w:tcW w:type="dxa" w:w="1984"/>
            <w:tcMar>
              <w:top w:w="80" w:type="dxa"/>
              <w:start w:w="100" w:type="dxa"/>
              <w:bottom w:w="80" w:type="dxa"/>
              <w:end w:w="100" w:type="dxa"/>
            </w:tcMar>
            <w:vAlign w:val="top"/>
          </w:tcPr>
          <w:p>
            <w:pPr>
              <w:spacing w:after="0" w:line="240" w:lineRule="auto"/>
            </w:pPr>
            <w:r>
              <w:rPr>
                <w:rFonts w:ascii="Arial" w:hAnsi="Arial"/>
                <w:b/>
                <w:color w:val="1F2937"/>
                <w:sz w:val="15"/>
              </w:rPr>
              <w:t>Resource Tools</w:t>
            </w:r>
          </w:p>
        </w:tc>
        <w:tc>
          <w:tcPr>
            <w:tcW w:type="dxa" w:w="4422"/>
            <w:tcMar>
              <w:top w:w="80" w:type="dxa"/>
              <w:start w:w="100" w:type="dxa"/>
              <w:bottom w:w="80" w:type="dxa"/>
              <w:end w:w="100" w:type="dxa"/>
            </w:tcMar>
            <w:vAlign w:val="top"/>
          </w:tcPr>
          <w:p>
            <w:pPr>
              <w:spacing w:after="0" w:line="240" w:lineRule="auto"/>
            </w:pPr>
            <w:r>
              <w:rPr>
                <w:rFonts w:ascii="Arial" w:hAnsi="Arial"/>
                <w:b w:val="0"/>
                <w:color w:val="1F2937"/>
                <w:sz w:val="15"/>
              </w:rPr>
              <w:t>Tools/vehicle/capability availability</w:t>
            </w:r>
          </w:p>
        </w:tc>
        <w:tc>
          <w:tcPr>
            <w:tcW w:type="dxa" w:w="3458"/>
            <w:tcMar>
              <w:top w:w="80" w:type="dxa"/>
              <w:start w:w="100" w:type="dxa"/>
              <w:bottom w:w="80" w:type="dxa"/>
              <w:end w:w="100" w:type="dxa"/>
            </w:tcMar>
            <w:vAlign w:val="top"/>
          </w:tcPr>
          <w:p>
            <w:pPr>
              <w:spacing w:after="0" w:line="240" w:lineRule="auto"/>
            </w:pPr>
            <w:r>
              <w:rPr>
                <w:rFonts w:ascii="Arial" w:hAnsi="Arial"/>
                <w:b w:val="0"/>
                <w:color w:val="1F2937"/>
                <w:sz w:val="15"/>
              </w:rPr>
              <w:t>Capacity ≠ stock ≠ transport cargo.</w:t>
            </w:r>
          </w:p>
        </w:tc>
      </w:tr>
      <w:tr>
        <w:tc>
          <w:tcPr>
            <w:tcW w:type="dxa" w:w="1984"/>
            <w:tcMar>
              <w:top w:w="80" w:type="dxa"/>
              <w:start w:w="100" w:type="dxa"/>
              <w:bottom w:w="80" w:type="dxa"/>
              <w:end w:w="100" w:type="dxa"/>
            </w:tcMar>
            <w:vAlign w:val="top"/>
            <w:shd w:fill="FAFBFC"/>
          </w:tcPr>
          <w:p>
            <w:pPr>
              <w:spacing w:after="0" w:line="240" w:lineRule="auto"/>
            </w:pPr>
            <w:r>
              <w:rPr>
                <w:rFonts w:ascii="Arial" w:hAnsi="Arial"/>
                <w:b/>
                <w:color w:val="1F2937"/>
                <w:sz w:val="15"/>
              </w:rPr>
              <w:t>Kitchen</w:t>
            </w:r>
          </w:p>
        </w:tc>
        <w:tc>
          <w:tcPr>
            <w:tcW w:type="dxa" w:w="4422"/>
            <w:tcMar>
              <w:top w:w="80" w:type="dxa"/>
              <w:start w:w="100" w:type="dxa"/>
              <w:bottom w:w="80" w:type="dxa"/>
              <w:end w:w="100" w:type="dxa"/>
            </w:tcMar>
            <w:vAlign w:val="top"/>
            <w:shd w:fill="FAFBFC"/>
          </w:tcPr>
          <w:p>
            <w:pPr>
              <w:spacing w:after="0" w:line="240" w:lineRule="auto"/>
            </w:pPr>
            <w:r>
              <w:rPr>
                <w:rFonts w:ascii="Arial" w:hAnsi="Arial"/>
                <w:b w:val="0"/>
                <w:color w:val="1F2937"/>
                <w:sz w:val="15"/>
              </w:rPr>
              <w:t>Meal production and explicit consumption events</w:t>
            </w:r>
          </w:p>
        </w:tc>
        <w:tc>
          <w:tcPr>
            <w:tcW w:type="dxa" w:w="3458"/>
            <w:tcMar>
              <w:top w:w="80" w:type="dxa"/>
              <w:start w:w="100" w:type="dxa"/>
              <w:bottom w:w="80" w:type="dxa"/>
              <w:end w:w="100" w:type="dxa"/>
            </w:tcMar>
            <w:vAlign w:val="top"/>
            <w:shd w:fill="FAFBFC"/>
          </w:tcPr>
          <w:p>
            <w:pPr>
              <w:spacing w:after="0" w:line="240" w:lineRule="auto"/>
            </w:pPr>
            <w:r>
              <w:rPr>
                <w:rFonts w:ascii="Arial" w:hAnsi="Arial"/>
                <w:b w:val="0"/>
                <w:color w:val="1F2937"/>
                <w:sz w:val="15"/>
              </w:rPr>
              <w:t>Stock observation remains a separate snapshot.</w:t>
            </w:r>
          </w:p>
        </w:tc>
      </w:tr>
      <w:tr>
        <w:tc>
          <w:tcPr>
            <w:tcW w:type="dxa" w:w="1984"/>
            <w:tcMar>
              <w:top w:w="80" w:type="dxa"/>
              <w:start w:w="100" w:type="dxa"/>
              <w:bottom w:w="80" w:type="dxa"/>
              <w:end w:w="100" w:type="dxa"/>
            </w:tcMar>
            <w:vAlign w:val="top"/>
          </w:tcPr>
          <w:p>
            <w:pPr>
              <w:spacing w:after="0" w:line="240" w:lineRule="auto"/>
            </w:pPr>
            <w:r>
              <w:rPr>
                <w:rFonts w:ascii="Arial" w:hAnsi="Arial"/>
                <w:b/>
                <w:color w:val="1F2937"/>
                <w:sz w:val="15"/>
              </w:rPr>
              <w:t>WhatsApp Posko</w:t>
            </w:r>
          </w:p>
        </w:tc>
        <w:tc>
          <w:tcPr>
            <w:tcW w:type="dxa" w:w="4422"/>
            <w:tcMar>
              <w:top w:w="80" w:type="dxa"/>
              <w:start w:w="100" w:type="dxa"/>
              <w:bottom w:w="80" w:type="dxa"/>
              <w:end w:w="100" w:type="dxa"/>
            </w:tcMar>
            <w:vAlign w:val="top"/>
          </w:tcPr>
          <w:p>
            <w:pPr>
              <w:spacing w:after="0" w:line="240" w:lineRule="auto"/>
            </w:pPr>
            <w:r>
              <w:rPr>
                <w:rFonts w:ascii="Arial" w:hAnsi="Arial"/>
                <w:b w:val="0"/>
                <w:color w:val="1F2937"/>
                <w:sz w:val="15"/>
              </w:rPr>
              <w:t>Operational contact/coordination surface</w:t>
            </w:r>
          </w:p>
        </w:tc>
        <w:tc>
          <w:tcPr>
            <w:tcW w:type="dxa" w:w="3458"/>
            <w:tcMar>
              <w:top w:w="80" w:type="dxa"/>
              <w:start w:w="100" w:type="dxa"/>
              <w:bottom w:w="80" w:type="dxa"/>
              <w:end w:w="100" w:type="dxa"/>
            </w:tcMar>
            <w:vAlign w:val="top"/>
          </w:tcPr>
          <w:p>
            <w:pPr>
              <w:spacing w:after="0" w:line="240" w:lineRule="auto"/>
            </w:pPr>
            <w:r>
              <w:rPr>
                <w:rFonts w:ascii="Arial" w:hAnsi="Arial"/>
                <w:b w:val="0"/>
                <w:color w:val="1F2937"/>
                <w:sz w:val="15"/>
              </w:rPr>
              <w:t>Imported content keeps source/provenance.</w:t>
            </w:r>
          </w:p>
        </w:tc>
      </w:tr>
      <w:tr>
        <w:tc>
          <w:tcPr>
            <w:tcW w:type="dxa" w:w="1984"/>
            <w:tcMar>
              <w:top w:w="80" w:type="dxa"/>
              <w:start w:w="100" w:type="dxa"/>
              <w:bottom w:w="80" w:type="dxa"/>
              <w:end w:w="100" w:type="dxa"/>
            </w:tcMar>
            <w:vAlign w:val="top"/>
            <w:shd w:fill="FAFBFC"/>
          </w:tcPr>
          <w:p>
            <w:pPr>
              <w:spacing w:after="0" w:line="240" w:lineRule="auto"/>
            </w:pPr>
            <w:r>
              <w:rPr>
                <w:rFonts w:ascii="Arial" w:hAnsi="Arial"/>
                <w:b/>
                <w:color w:val="1F2937"/>
                <w:sz w:val="15"/>
              </w:rPr>
              <w:t>Donor Program</w:t>
            </w:r>
          </w:p>
        </w:tc>
        <w:tc>
          <w:tcPr>
            <w:tcW w:type="dxa" w:w="4422"/>
            <w:tcMar>
              <w:top w:w="80" w:type="dxa"/>
              <w:start w:w="100" w:type="dxa"/>
              <w:bottom w:w="80" w:type="dxa"/>
              <w:end w:w="100" w:type="dxa"/>
            </w:tcMar>
            <w:vAlign w:val="top"/>
            <w:shd w:fill="FAFBFC"/>
          </w:tcPr>
          <w:p>
            <w:pPr>
              <w:spacing w:after="0" w:line="240" w:lineRule="auto"/>
            </w:pPr>
            <w:r>
              <w:rPr>
                <w:rFonts w:ascii="Arial" w:hAnsi="Arial"/>
                <w:b w:val="0"/>
                <w:color w:val="1F2937"/>
                <w:sz w:val="15"/>
              </w:rPr>
              <w:t>Program contributions and updates</w:t>
            </w:r>
          </w:p>
        </w:tc>
        <w:tc>
          <w:tcPr>
            <w:tcW w:type="dxa" w:w="3458"/>
            <w:tcMar>
              <w:top w:w="80" w:type="dxa"/>
              <w:start w:w="100" w:type="dxa"/>
              <w:bottom w:w="80" w:type="dxa"/>
              <w:end w:w="100" w:type="dxa"/>
            </w:tcMar>
            <w:vAlign w:val="top"/>
            <w:shd w:fill="FAFBFC"/>
          </w:tcPr>
          <w:p>
            <w:pPr>
              <w:spacing w:after="0" w:line="240" w:lineRule="auto"/>
            </w:pPr>
            <w:r>
              <w:rPr>
                <w:rFonts w:ascii="Arial" w:hAnsi="Arial"/>
                <w:b w:val="0"/>
                <w:color w:val="1F2937"/>
                <w:sz w:val="15"/>
              </w:rPr>
              <w:t>Legacy semantics: amount_spent increments current_amount.</w:t>
            </w:r>
          </w:p>
        </w:tc>
      </w:tr>
      <w:tr>
        <w:tc>
          <w:tcPr>
            <w:tcW w:type="dxa" w:w="1984"/>
            <w:tcMar>
              <w:top w:w="80" w:type="dxa"/>
              <w:start w:w="100" w:type="dxa"/>
              <w:bottom w:w="80" w:type="dxa"/>
              <w:end w:w="100" w:type="dxa"/>
            </w:tcMar>
            <w:vAlign w:val="top"/>
          </w:tcPr>
          <w:p>
            <w:pPr>
              <w:spacing w:after="0" w:line="240" w:lineRule="auto"/>
            </w:pPr>
            <w:r>
              <w:rPr>
                <w:rFonts w:ascii="Arial" w:hAnsi="Arial"/>
                <w:b/>
                <w:color w:val="1F2937"/>
                <w:sz w:val="15"/>
              </w:rPr>
              <w:t>Program Khusus</w:t>
            </w:r>
          </w:p>
        </w:tc>
        <w:tc>
          <w:tcPr>
            <w:tcW w:type="dxa" w:w="4422"/>
            <w:tcMar>
              <w:top w:w="80" w:type="dxa"/>
              <w:start w:w="100" w:type="dxa"/>
              <w:bottom w:w="80" w:type="dxa"/>
              <w:end w:w="100" w:type="dxa"/>
            </w:tcMar>
            <w:vAlign w:val="top"/>
          </w:tcPr>
          <w:p>
            <w:pPr>
              <w:spacing w:after="0" w:line="240" w:lineRule="auto"/>
            </w:pPr>
            <w:r>
              <w:rPr>
                <w:rFonts w:ascii="Arial" w:hAnsi="Arial"/>
                <w:b w:val="0"/>
                <w:color w:val="1F2937"/>
                <w:sz w:val="15"/>
              </w:rPr>
              <w:t>Special program using donor tables/contracts</w:t>
            </w:r>
          </w:p>
        </w:tc>
        <w:tc>
          <w:tcPr>
            <w:tcW w:type="dxa" w:w="3458"/>
            <w:tcMar>
              <w:top w:w="80" w:type="dxa"/>
              <w:start w:w="100" w:type="dxa"/>
              <w:bottom w:w="80" w:type="dxa"/>
              <w:end w:w="100" w:type="dxa"/>
            </w:tcMar>
            <w:vAlign w:val="top"/>
          </w:tcPr>
          <w:p>
            <w:pPr>
              <w:spacing w:after="0" w:line="240" w:lineRule="auto"/>
            </w:pPr>
            <w:r>
              <w:rPr>
                <w:rFonts w:ascii="Arial" w:hAnsi="Arial"/>
                <w:b w:val="0"/>
                <w:color w:val="1F2937"/>
                <w:sz w:val="15"/>
              </w:rPr>
              <w:t>budget_spent increments; current_amount not automatically changed.</w:t>
            </w:r>
          </w:p>
        </w:tc>
      </w:tr>
      <w:tr>
        <w:tc>
          <w:tcPr>
            <w:tcW w:type="dxa" w:w="1984"/>
            <w:tcMar>
              <w:top w:w="80" w:type="dxa"/>
              <w:start w:w="100" w:type="dxa"/>
              <w:bottom w:w="80" w:type="dxa"/>
              <w:end w:w="100" w:type="dxa"/>
            </w:tcMar>
            <w:vAlign w:val="top"/>
            <w:shd w:fill="FAFBFC"/>
          </w:tcPr>
          <w:p>
            <w:pPr>
              <w:spacing w:after="0" w:line="240" w:lineRule="auto"/>
            </w:pPr>
            <w:r>
              <w:rPr>
                <w:rFonts w:ascii="Arial" w:hAnsi="Arial"/>
                <w:b/>
                <w:color w:val="1F2937"/>
                <w:sz w:val="15"/>
              </w:rPr>
              <w:t>Recovery</w:t>
            </w:r>
          </w:p>
        </w:tc>
        <w:tc>
          <w:tcPr>
            <w:tcW w:type="dxa" w:w="4422"/>
            <w:tcMar>
              <w:top w:w="80" w:type="dxa"/>
              <w:start w:w="100" w:type="dxa"/>
              <w:bottom w:w="80" w:type="dxa"/>
              <w:end w:w="100" w:type="dxa"/>
            </w:tcMar>
            <w:vAlign w:val="top"/>
            <w:shd w:fill="FAFBFC"/>
          </w:tcPr>
          <w:p>
            <w:pPr>
              <w:spacing w:after="0" w:line="240" w:lineRule="auto"/>
            </w:pPr>
            <w:r>
              <w:rPr>
                <w:rFonts w:ascii="Arial" w:hAnsi="Arial"/>
                <w:b w:val="0"/>
                <w:color w:val="1F2937"/>
                <w:sz w:val="15"/>
              </w:rPr>
              <w:t>Project progress + spending + updates</w:t>
            </w:r>
          </w:p>
        </w:tc>
        <w:tc>
          <w:tcPr>
            <w:tcW w:type="dxa" w:w="3458"/>
            <w:tcMar>
              <w:top w:w="80" w:type="dxa"/>
              <w:start w:w="100" w:type="dxa"/>
              <w:bottom w:w="80" w:type="dxa"/>
              <w:end w:w="100" w:type="dxa"/>
            </w:tcMar>
            <w:vAlign w:val="top"/>
            <w:shd w:fill="FAFBFC"/>
          </w:tcPr>
          <w:p>
            <w:pPr>
              <w:spacing w:after="0" w:line="240" w:lineRule="auto"/>
            </w:pPr>
            <w:r>
              <w:rPr>
                <w:rFonts w:ascii="Arial" w:hAnsi="Arial"/>
                <w:b w:val="0"/>
                <w:color w:val="1F2937"/>
                <w:sz w:val="15"/>
              </w:rPr>
              <w:t>Progress non-regression; no forced auto-status from spend.</w:t>
            </w:r>
          </w:p>
        </w:tc>
      </w:tr>
    </w:tbl>
    <w:p>
      <w:pPr>
        <w:spacing w:after="80" w:line="254" w:lineRule="auto"/>
      </w:pPr>
    </w:p>
    <w:p>
      <w:pPr>
        <w:spacing w:after="80" w:line="254" w:lineRule="auto"/>
      </w:pPr>
      <w:r>
        <w:br w:type="page"/>
      </w:r>
    </w:p>
    <w:p>
      <w:pPr>
        <w:pStyle w:val="Heading1"/>
      </w:pPr>
      <w:r>
        <w:t>10. AI Decision Support Architecture</w:t>
      </w:r>
    </w:p>
    <w:p>
      <w:pPr>
        <w:pStyle w:val="Heading2"/>
        <w:spacing w:after="80" w:line="259" w:lineRule="auto"/>
      </w:pPr>
      <w:r>
        <w:t>10.1 Role of AI</w:t>
      </w:r>
    </w:p>
    <w:p>
      <w:pPr>
        <w:spacing w:after="80" w:line="254" w:lineRule="auto"/>
      </w:pPr>
      <w:r>
        <w:t>AI mempercepat pemrosesan informasi, konsistensi, normalisasi, ringkasan, dan pencarian pola. AI tidak menyatakan operational truth secara final, tidak menghapus evidence, dan tidak menetapkan jumlah distribusi tanpa human approval.</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81"/>
            <w:shd w:fill="0E7490"/>
            <w:tcMar>
              <w:top w:w="80" w:type="dxa"/>
              <w:start w:w="100" w:type="dxa"/>
              <w:bottom w:w="80" w:type="dxa"/>
              <w:end w:w="100" w:type="dxa"/>
            </w:tcMar>
            <w:vAlign w:val="center"/>
          </w:tcPr>
          <w:p>
            <w:pPr>
              <w:jc w:val="center"/>
            </w:pPr>
            <w:r>
              <w:rPr>
                <w:b/>
                <w:color w:val="FFFFFF"/>
                <w:sz w:val="15"/>
              </w:rPr>
              <w:t>Capability</w:t>
            </w:r>
          </w:p>
        </w:tc>
        <w:tc>
          <w:tcPr>
            <w:tcW w:type="dxa" w:w="2948"/>
            <w:shd w:fill="0E7490"/>
            <w:tcMar>
              <w:top w:w="80" w:type="dxa"/>
              <w:start w:w="100" w:type="dxa"/>
              <w:bottom w:w="80" w:type="dxa"/>
              <w:end w:w="100" w:type="dxa"/>
            </w:tcMar>
            <w:vAlign w:val="center"/>
          </w:tcPr>
          <w:p>
            <w:pPr>
              <w:jc w:val="center"/>
            </w:pPr>
            <w:r>
              <w:rPr>
                <w:b/>
                <w:color w:val="FFFFFF"/>
                <w:sz w:val="15"/>
              </w:rPr>
              <w:t>Input</w:t>
            </w:r>
          </w:p>
        </w:tc>
        <w:tc>
          <w:tcPr>
            <w:tcW w:type="dxa" w:w="4535"/>
            <w:shd w:fill="0E7490"/>
            <w:tcMar>
              <w:top w:w="80" w:type="dxa"/>
              <w:start w:w="100" w:type="dxa"/>
              <w:bottom w:w="80" w:type="dxa"/>
              <w:end w:w="100" w:type="dxa"/>
            </w:tcMar>
            <w:vAlign w:val="center"/>
          </w:tcPr>
          <w:p>
            <w:pPr>
              <w:jc w:val="center"/>
            </w:pPr>
            <w:r>
              <w:rPr>
                <w:b/>
                <w:color w:val="FFFFFF"/>
                <w:sz w:val="15"/>
              </w:rPr>
              <w:t>Output / Guardrail</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Classification &amp; Normalization</w:t>
            </w:r>
          </w:p>
        </w:tc>
        <w:tc>
          <w:tcPr>
            <w:tcW w:type="dxa" w:w="2948"/>
            <w:tcMar>
              <w:top w:w="80" w:type="dxa"/>
              <w:start w:w="100" w:type="dxa"/>
              <w:bottom w:w="80" w:type="dxa"/>
              <w:end w:w="100" w:type="dxa"/>
            </w:tcMar>
            <w:vAlign w:val="top"/>
          </w:tcPr>
          <w:p>
            <w:pPr>
              <w:spacing w:after="0" w:line="240" w:lineRule="auto"/>
            </w:pPr>
            <w:r>
              <w:rPr>
                <w:rFonts w:ascii="Arial" w:hAnsi="Arial"/>
                <w:b w:val="0"/>
                <w:color w:val="1F2937"/>
                <w:sz w:val="15"/>
              </w:rPr>
              <w:t>Need/report text</w:t>
            </w:r>
          </w:p>
        </w:tc>
        <w:tc>
          <w:tcPr>
            <w:tcW w:type="dxa" w:w="4535"/>
            <w:tcMar>
              <w:top w:w="80" w:type="dxa"/>
              <w:start w:w="100" w:type="dxa"/>
              <w:bottom w:w="80" w:type="dxa"/>
              <w:end w:w="100" w:type="dxa"/>
            </w:tcMar>
            <w:vAlign w:val="top"/>
          </w:tcPr>
          <w:p>
            <w:pPr>
              <w:spacing w:after="0" w:line="240" w:lineRule="auto"/>
            </w:pPr>
            <w:r>
              <w:rPr>
                <w:rFonts w:ascii="Arial" w:hAnsi="Arial"/>
                <w:b w:val="0"/>
                <w:color w:val="1F2937"/>
                <w:sz w:val="15"/>
              </w:rPr>
              <w:t>Canonical candidates + confidence; raw preserved.</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Duplicate / Overlap</w:t>
            </w:r>
          </w:p>
        </w:tc>
        <w:tc>
          <w:tcPr>
            <w:tcW w:type="dxa" w:w="2948"/>
            <w:tcMar>
              <w:top w:w="80" w:type="dxa"/>
              <w:start w:w="100" w:type="dxa"/>
              <w:bottom w:w="80" w:type="dxa"/>
              <w:end w:w="100" w:type="dxa"/>
            </w:tcMar>
            <w:vAlign w:val="top"/>
            <w:shd w:fill="FAFBFC"/>
          </w:tcPr>
          <w:p>
            <w:pPr>
              <w:spacing w:after="0" w:line="240" w:lineRule="auto"/>
            </w:pPr>
            <w:r>
              <w:rPr>
                <w:rFonts w:ascii="Arial" w:hAnsi="Arial"/>
                <w:b w:val="0"/>
                <w:color w:val="1F2937"/>
                <w:sz w:val="15"/>
              </w:rPr>
              <w:t>Location/time/category/text/evidence/source signals</w:t>
            </w:r>
          </w:p>
        </w:tc>
        <w:tc>
          <w:tcPr>
            <w:tcW w:type="dxa" w:w="4535"/>
            <w:tcMar>
              <w:top w:w="80" w:type="dxa"/>
              <w:start w:w="100" w:type="dxa"/>
              <w:bottom w:w="80" w:type="dxa"/>
              <w:end w:w="100" w:type="dxa"/>
            </w:tcMar>
            <w:vAlign w:val="top"/>
            <w:shd w:fill="FAFBFC"/>
          </w:tcPr>
          <w:p>
            <w:pPr>
              <w:spacing w:after="0" w:line="240" w:lineRule="auto"/>
            </w:pPr>
            <w:r>
              <w:rPr>
                <w:rFonts w:ascii="Arial" w:hAnsi="Arial"/>
                <w:b w:val="0"/>
                <w:color w:val="1F2937"/>
                <w:sz w:val="15"/>
              </w:rPr>
              <w:t>Candidate score + reasons; never auto-merge final.</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Summarization</w:t>
            </w:r>
          </w:p>
        </w:tc>
        <w:tc>
          <w:tcPr>
            <w:tcW w:type="dxa" w:w="2948"/>
            <w:tcMar>
              <w:top w:w="80" w:type="dxa"/>
              <w:start w:w="100" w:type="dxa"/>
              <w:bottom w:w="80" w:type="dxa"/>
              <w:end w:w="100" w:type="dxa"/>
            </w:tcMar>
            <w:vAlign w:val="top"/>
          </w:tcPr>
          <w:p>
            <w:pPr>
              <w:spacing w:after="0" w:line="240" w:lineRule="auto"/>
            </w:pPr>
            <w:r>
              <w:rPr>
                <w:rFonts w:ascii="Arial" w:hAnsi="Arial"/>
                <w:b w:val="0"/>
                <w:color w:val="1F2937"/>
                <w:sz w:val="15"/>
              </w:rPr>
              <w:t>Privacy-safe operational context</w:t>
            </w:r>
          </w:p>
        </w:tc>
        <w:tc>
          <w:tcPr>
            <w:tcW w:type="dxa" w:w="4535"/>
            <w:tcMar>
              <w:top w:w="80" w:type="dxa"/>
              <w:start w:w="100" w:type="dxa"/>
              <w:bottom w:w="80" w:type="dxa"/>
              <w:end w:w="100" w:type="dxa"/>
            </w:tcMar>
            <w:vAlign w:val="top"/>
          </w:tcPr>
          <w:p>
            <w:pPr>
              <w:spacing w:after="0" w:line="240" w:lineRule="auto"/>
            </w:pPr>
            <w:r>
              <w:rPr>
                <w:rFonts w:ascii="Arial" w:hAnsi="Arial"/>
                <w:b w:val="0"/>
                <w:color w:val="1F2937"/>
                <w:sz w:val="15"/>
              </w:rPr>
              <w:t>Situation summary / priorities / caveats.</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OCR / Document Intelligence</w:t>
            </w:r>
          </w:p>
        </w:tc>
        <w:tc>
          <w:tcPr>
            <w:tcW w:type="dxa" w:w="2948"/>
            <w:tcMar>
              <w:top w:w="80" w:type="dxa"/>
              <w:start w:w="100" w:type="dxa"/>
              <w:bottom w:w="80" w:type="dxa"/>
              <w:end w:w="100" w:type="dxa"/>
            </w:tcMar>
            <w:vAlign w:val="top"/>
            <w:shd w:fill="FAFBFC"/>
          </w:tcPr>
          <w:p>
            <w:pPr>
              <w:spacing w:after="0" w:line="240" w:lineRule="auto"/>
            </w:pPr>
            <w:r>
              <w:rPr>
                <w:rFonts w:ascii="Arial" w:hAnsi="Arial"/>
                <w:b w:val="0"/>
                <w:color w:val="1F2937"/>
                <w:sz w:val="15"/>
              </w:rPr>
              <w:t>Photos/docs</w:t>
            </w:r>
          </w:p>
        </w:tc>
        <w:tc>
          <w:tcPr>
            <w:tcW w:type="dxa" w:w="4535"/>
            <w:tcMar>
              <w:top w:w="80" w:type="dxa"/>
              <w:start w:w="100" w:type="dxa"/>
              <w:bottom w:w="80" w:type="dxa"/>
              <w:end w:w="100" w:type="dxa"/>
            </w:tcMar>
            <w:vAlign w:val="top"/>
            <w:shd w:fill="FAFBFC"/>
          </w:tcPr>
          <w:p>
            <w:pPr>
              <w:spacing w:after="0" w:line="240" w:lineRule="auto"/>
            </w:pPr>
            <w:r>
              <w:rPr>
                <w:rFonts w:ascii="Arial" w:hAnsi="Arial"/>
                <w:b w:val="0"/>
                <w:color w:val="1F2937"/>
                <w:sz w:val="15"/>
              </w:rPr>
              <w:t>Extraction candidate + bbox/confidence; file original retained.</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Forecast / Simulation</w:t>
            </w:r>
          </w:p>
        </w:tc>
        <w:tc>
          <w:tcPr>
            <w:tcW w:type="dxa" w:w="2948"/>
            <w:tcMar>
              <w:top w:w="80" w:type="dxa"/>
              <w:start w:w="100" w:type="dxa"/>
              <w:bottom w:w="80" w:type="dxa"/>
              <w:end w:w="100" w:type="dxa"/>
            </w:tcMar>
            <w:vAlign w:val="top"/>
          </w:tcPr>
          <w:p>
            <w:pPr>
              <w:spacing w:after="0" w:line="240" w:lineRule="auto"/>
            </w:pPr>
            <w:r>
              <w:rPr>
                <w:rFonts w:ascii="Arial" w:hAnsi="Arial"/>
                <w:b w:val="0"/>
                <w:color w:val="1F2937"/>
                <w:sz w:val="15"/>
              </w:rPr>
              <w:t>Historical + operational context</w:t>
            </w:r>
          </w:p>
        </w:tc>
        <w:tc>
          <w:tcPr>
            <w:tcW w:type="dxa" w:w="4535"/>
            <w:tcMar>
              <w:top w:w="80" w:type="dxa"/>
              <w:start w:w="100" w:type="dxa"/>
              <w:bottom w:w="80" w:type="dxa"/>
              <w:end w:w="100" w:type="dxa"/>
            </w:tcMar>
            <w:vAlign w:val="top"/>
          </w:tcPr>
          <w:p>
            <w:pPr>
              <w:spacing w:after="0" w:line="240" w:lineRule="auto"/>
            </w:pPr>
            <w:r>
              <w:rPr>
                <w:rFonts w:ascii="Arial" w:hAnsi="Arial"/>
                <w:b w:val="0"/>
                <w:color w:val="1F2937"/>
                <w:sz w:val="15"/>
              </w:rPr>
              <w:t>Range/assumptions; recommendation only.</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5"/>
              </w:rPr>
              <w:t>Vision</w:t>
            </w:r>
          </w:p>
        </w:tc>
        <w:tc>
          <w:tcPr>
            <w:tcW w:type="dxa" w:w="2948"/>
            <w:tcMar>
              <w:top w:w="80" w:type="dxa"/>
              <w:start w:w="100" w:type="dxa"/>
              <w:bottom w:w="80" w:type="dxa"/>
              <w:end w:w="100" w:type="dxa"/>
            </w:tcMar>
            <w:vAlign w:val="top"/>
            <w:shd w:fill="FAFBFC"/>
          </w:tcPr>
          <w:p>
            <w:pPr>
              <w:spacing w:after="0" w:line="240" w:lineRule="auto"/>
            </w:pPr>
            <w:r>
              <w:rPr>
                <w:rFonts w:ascii="Arial" w:hAnsi="Arial"/>
                <w:b w:val="0"/>
                <w:color w:val="1F2937"/>
                <w:sz w:val="15"/>
              </w:rPr>
              <w:t>Photo/video</w:t>
            </w:r>
          </w:p>
        </w:tc>
        <w:tc>
          <w:tcPr>
            <w:tcW w:type="dxa" w:w="4535"/>
            <w:tcMar>
              <w:top w:w="80" w:type="dxa"/>
              <w:start w:w="100" w:type="dxa"/>
              <w:bottom w:w="80" w:type="dxa"/>
              <w:end w:w="100" w:type="dxa"/>
            </w:tcMar>
            <w:vAlign w:val="top"/>
            <w:shd w:fill="FAFBFC"/>
          </w:tcPr>
          <w:p>
            <w:pPr>
              <w:spacing w:after="0" w:line="240" w:lineRule="auto"/>
            </w:pPr>
            <w:r>
              <w:rPr>
                <w:rFonts w:ascii="Arial" w:hAnsi="Arial"/>
                <w:b w:val="0"/>
                <w:color w:val="1F2937"/>
                <w:sz w:val="15"/>
              </w:rPr>
              <w:t>Object/damage signals; not final assessment.</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5"/>
              </w:rPr>
              <w:t>Copilot / Situation Analyst</w:t>
            </w:r>
          </w:p>
        </w:tc>
        <w:tc>
          <w:tcPr>
            <w:tcW w:type="dxa" w:w="2948"/>
            <w:tcMar>
              <w:top w:w="80" w:type="dxa"/>
              <w:start w:w="100" w:type="dxa"/>
              <w:bottom w:w="80" w:type="dxa"/>
              <w:end w:w="100" w:type="dxa"/>
            </w:tcMar>
            <w:vAlign w:val="top"/>
          </w:tcPr>
          <w:p>
            <w:pPr>
              <w:spacing w:after="0" w:line="240" w:lineRule="auto"/>
            </w:pPr>
            <w:r>
              <w:rPr>
                <w:rFonts w:ascii="Arial" w:hAnsi="Arial"/>
                <w:b w:val="0"/>
                <w:color w:val="1F2937"/>
                <w:sz w:val="15"/>
              </w:rPr>
              <w:t>Authorized event/Posko context</w:t>
            </w:r>
          </w:p>
        </w:tc>
        <w:tc>
          <w:tcPr>
            <w:tcW w:type="dxa" w:w="4535"/>
            <w:tcMar>
              <w:top w:w="80" w:type="dxa"/>
              <w:start w:w="100" w:type="dxa"/>
              <w:bottom w:w="80" w:type="dxa"/>
              <w:end w:w="100" w:type="dxa"/>
            </w:tcMar>
            <w:vAlign w:val="top"/>
          </w:tcPr>
          <w:p>
            <w:pPr>
              <w:spacing w:after="0" w:line="240" w:lineRule="auto"/>
            </w:pPr>
            <w:r>
              <w:rPr>
                <w:rFonts w:ascii="Arial" w:hAnsi="Arial"/>
                <w:b w:val="0"/>
                <w:color w:val="1F2937"/>
                <w:sz w:val="15"/>
              </w:rPr>
              <w:t>Operational Q&amp;A with minimum-necessary data.</w:t>
            </w:r>
          </w:p>
        </w:tc>
      </w:tr>
    </w:tbl>
    <w:p>
      <w:pPr>
        <w:spacing w:after="80" w:line="254" w:lineRule="auto"/>
      </w:pPr>
    </w:p>
    <w:p>
      <w:pPr>
        <w:pStyle w:val="Heading2"/>
        <w:spacing w:after="80" w:line="259" w:lineRule="auto"/>
      </w:pPr>
      <w:r>
        <w:t>10.2 BYOK &amp; privacy</w:t>
      </w:r>
    </w:p>
    <w:p>
      <w:pPr>
        <w:pStyle w:val="ListBullet"/>
        <w:spacing w:after="56" w:line="250" w:lineRule="auto"/>
        <w:ind w:left="255" w:hanging="125"/>
      </w:pPr>
      <w:r>
        <w:rPr>
          <w:rFonts w:ascii="Arial" w:hAnsi="Arial"/>
          <w:sz w:val="18"/>
        </w:rPr>
        <w:t>API key tidak boleh masuk JavaScript, Git, browser response, atau plaintext log.</w:t>
      </w:r>
    </w:p>
    <w:p>
      <w:pPr>
        <w:pStyle w:val="ListBullet"/>
        <w:spacing w:after="56" w:line="250" w:lineRule="auto"/>
        <w:ind w:left="255" w:hanging="125"/>
      </w:pPr>
      <w:r>
        <w:rPr>
          <w:rFonts w:ascii="Arial" w:hAnsi="Arial"/>
          <w:sz w:val="18"/>
        </w:rPr>
        <w:t>Browser hanya menerima status/masked key; secret disimpan melalui backend secret mechanism.</w:t>
      </w:r>
    </w:p>
    <w:p>
      <w:pPr>
        <w:pStyle w:val="ListBullet"/>
        <w:spacing w:after="56" w:line="250" w:lineRule="auto"/>
        <w:ind w:left="255" w:hanging="125"/>
      </w:pPr>
      <w:r>
        <w:rPr>
          <w:rFonts w:ascii="Arial" w:hAnsi="Arial"/>
          <w:sz w:val="18"/>
        </w:rPr>
        <w:t>AI context mengikuti scope user/Posko/organization dan tidak membuka identity medis/Search &amp; Found yang tidak diperlukan.</w:t>
      </w:r>
    </w:p>
    <w:p>
      <w:pPr>
        <w:pStyle w:val="ListBullet"/>
        <w:spacing w:after="56" w:line="250" w:lineRule="auto"/>
        <w:ind w:left="255" w:hanging="125"/>
      </w:pPr>
      <w:r>
        <w:rPr>
          <w:rFonts w:ascii="Arial" w:hAnsi="Arial"/>
          <w:sz w:val="18"/>
        </w:rPr>
        <w:t>Workflow inti tetap berfungsi ketika provider AI tidak tersedia.</w:t>
      </w:r>
    </w:p>
    <w:p>
      <w:pPr>
        <w:pStyle w:val="ListBullet"/>
        <w:spacing w:after="56" w:line="250" w:lineRule="auto"/>
        <w:ind w:left="255" w:hanging="125"/>
      </w:pPr>
      <w:r>
        <w:rPr>
          <w:rFonts w:ascii="Arial" w:hAnsi="Arial"/>
          <w:sz w:val="18"/>
        </w:rPr>
        <w:t>Provider call tidak digunakan sebagai gate untuk report, verification, logistics, atau emergency operations.</w:t>
      </w:r>
    </w:p>
    <w:p>
      <w:pPr>
        <w:pStyle w:val="Heading2"/>
        <w:spacing w:after="80" w:line="259" w:lineRule="auto"/>
      </w:pPr>
      <w:r>
        <w:t>10.3 Target AI gateway</w:t>
      </w:r>
    </w:p>
    <w:p>
      <w:pPr>
        <w:spacing w:after="80" w:line="254" w:lineRule="auto"/>
      </w:pPr>
      <w:r>
        <w:t>Arsitektur jangka panjang memisahkan AI gateway dari domain Rescue-Net sehingga backend memanggil capability (classify, summarize, OCR, similarity, forecast) bukan vendor tertentu. Setiap AI result idealnya menyimpan input references, model/version, policy context, latency, confidence, review status, dan reviewer.</w:t>
      </w:r>
    </w:p>
    <w:p>
      <w:pPr>
        <w:spacing w:after="80" w:line="254" w:lineRule="auto"/>
      </w:pPr>
      <w:r>
        <w:br w:type="page"/>
      </w:r>
    </w:p>
    <w:p>
      <w:pPr>
        <w:pStyle w:val="Heading1"/>
      </w:pPr>
      <w:r>
        <w:t>11. API, Integration &amp; Offline Sync</w:t>
      </w:r>
    </w:p>
    <w:p>
      <w:pPr>
        <w:pStyle w:val="Heading2"/>
        <w:spacing w:after="80" w:line="259" w:lineRule="auto"/>
      </w:pPr>
      <w:r>
        <w:t>11.1 API contract principles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17365D"/>
            <w:tcMar>
              <w:top w:w="80" w:type="dxa"/>
              <w:start w:w="100" w:type="dxa"/>
              <w:bottom w:w="80" w:type="dxa"/>
              <w:end w:w="100" w:type="dxa"/>
            </w:tcMar>
            <w:vAlign w:val="center"/>
          </w:tcPr>
          <w:p>
            <w:pPr>
              <w:jc w:val="center"/>
            </w:pPr>
            <w:r>
              <w:rPr>
                <w:b/>
                <w:color w:val="FFFFFF"/>
                <w:sz w:val="16"/>
              </w:rPr>
              <w:t>Standard</w:t>
            </w:r>
          </w:p>
        </w:tc>
        <w:tc>
          <w:tcPr>
            <w:tcW w:type="dxa" w:w="7597"/>
            <w:shd w:fill="17365D"/>
            <w:tcMar>
              <w:top w:w="80" w:type="dxa"/>
              <w:start w:w="100" w:type="dxa"/>
              <w:bottom w:w="80" w:type="dxa"/>
              <w:end w:w="100" w:type="dxa"/>
            </w:tcMar>
            <w:vAlign w:val="center"/>
          </w:tcPr>
          <w:p>
            <w:pPr>
              <w:jc w:val="center"/>
            </w:pPr>
            <w:r>
              <w:rPr>
                <w:b/>
                <w:color w:val="FFFFFF"/>
                <w:sz w:val="16"/>
              </w:rPr>
              <w:t>Blueprint</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Versioning</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Gunakan contract/version yang konsisten; kompatibilitas dijaga selama migration.</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Errors</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Machine-readable code + message + details + request_id.</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Pagination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Cursor untuk stream besar; page sederhana untuk admin.</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Idempotency</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Wajib untuk report/sync/distribution writes yang retry-prone.</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Time</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ISO 8601; server authoritative; UI menampilkan timezone lokal.</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Identifiers</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Business identifiers stabil/UUID-style.</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Authorization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Role + event + region + organization/Posko scope.</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Audit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Critical writes menyimpan actor/reason bila relevan.</w:t>
            </w:r>
          </w:p>
        </w:tc>
      </w:tr>
    </w:tbl>
    <w:p>
      <w:pPr>
        <w:spacing w:after="80" w:line="254" w:lineRule="auto"/>
      </w:pPr>
    </w:p>
    <w:p>
      <w:pPr>
        <w:pStyle w:val="Heading2"/>
        <w:spacing w:after="80" w:line="259" w:lineRule="auto"/>
      </w:pPr>
      <w:r>
        <w:t>11.2 Integration surfaces</w:t>
      </w:r>
    </w:p>
    <w:p>
      <w:pPr>
        <w:pStyle w:val="ListBullet"/>
        <w:spacing w:after="56" w:line="250" w:lineRule="auto"/>
        <w:ind w:left="255" w:hanging="125"/>
      </w:pPr>
      <w:r>
        <w:rPr>
          <w:rFonts w:ascii="Arial" w:hAnsi="Arial"/>
          <w:sz w:val="18"/>
        </w:rPr>
        <w:t>Master wilayah/boundary dan geocoding.</w:t>
      </w:r>
    </w:p>
    <w:p>
      <w:pPr>
        <w:pStyle w:val="ListBullet"/>
        <w:spacing w:after="56" w:line="250" w:lineRule="auto"/>
        <w:ind w:left="255" w:hanging="125"/>
      </w:pPr>
      <w:r>
        <w:rPr>
          <w:rFonts w:ascii="Arial" w:hAnsi="Arial"/>
          <w:sz w:val="18"/>
        </w:rPr>
        <w:t>Weather/geological observation jika disetujui.</w:t>
      </w:r>
    </w:p>
    <w:p>
      <w:pPr>
        <w:pStyle w:val="ListBullet"/>
        <w:spacing w:after="56" w:line="250" w:lineRule="auto"/>
        <w:ind w:left="255" w:hanging="125"/>
      </w:pPr>
      <w:r>
        <w:rPr>
          <w:rFonts w:ascii="Arial" w:hAnsi="Arial"/>
          <w:sz w:val="18"/>
        </w:rPr>
        <w:t>Messaging/notification dan WhatsApp operational bridge.</w:t>
      </w:r>
    </w:p>
    <w:p>
      <w:pPr>
        <w:pStyle w:val="ListBullet"/>
        <w:spacing w:after="56" w:line="250" w:lineRule="auto"/>
        <w:ind w:left="255" w:hanging="125"/>
      </w:pPr>
      <w:r>
        <w:rPr>
          <w:rFonts w:ascii="Arial" w:hAnsi="Arial"/>
          <w:sz w:val="18"/>
        </w:rPr>
        <w:t>Government/NGO controlled data exchange.</w:t>
      </w:r>
    </w:p>
    <w:p>
      <w:pPr>
        <w:pStyle w:val="ListBullet"/>
        <w:spacing w:after="56" w:line="250" w:lineRule="auto"/>
        <w:ind w:left="255" w:hanging="125"/>
      </w:pPr>
      <w:r>
        <w:rPr>
          <w:rFonts w:ascii="Arial" w:hAnsi="Arial"/>
          <w:sz w:val="18"/>
        </w:rPr>
        <w:t>Map tiles/GIS layers.</w:t>
      </w:r>
    </w:p>
    <w:p>
      <w:pPr>
        <w:pStyle w:val="ListBullet"/>
        <w:spacing w:after="56" w:line="250" w:lineRule="auto"/>
        <w:ind w:left="255" w:hanging="125"/>
      </w:pPr>
      <w:r>
        <w:rPr>
          <w:rFonts w:ascii="Arial" w:hAnsi="Arial"/>
          <w:sz w:val="18"/>
        </w:rPr>
        <w:t>AI providers melalui backend adapters, bukan direct browser calls.</w:t>
      </w:r>
    </w:p>
    <w:p>
      <w:pPr>
        <w:pStyle w:val="Heading2"/>
        <w:spacing w:after="80" w:line="259" w:lineRule="auto"/>
      </w:pPr>
      <w:r>
        <w:t>11.3 Offline / PWA protocol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0E7490"/>
            <w:tcMar>
              <w:top w:w="80" w:type="dxa"/>
              <w:start w:w="100" w:type="dxa"/>
              <w:bottom w:w="80" w:type="dxa"/>
              <w:end w:w="100" w:type="dxa"/>
            </w:tcMar>
            <w:vAlign w:val="center"/>
          </w:tcPr>
          <w:p>
            <w:pPr>
              <w:jc w:val="center"/>
            </w:pPr>
            <w:r>
              <w:rPr>
                <w:b/>
                <w:color w:val="FFFFFF"/>
                <w:sz w:val="16"/>
              </w:rPr>
              <w:t>Concern</w:t>
            </w:r>
          </w:p>
        </w:tc>
        <w:tc>
          <w:tcPr>
            <w:tcW w:type="dxa" w:w="7597"/>
            <w:shd w:fill="0E7490"/>
            <w:tcMar>
              <w:top w:w="80" w:type="dxa"/>
              <w:start w:w="100" w:type="dxa"/>
              <w:bottom w:w="80" w:type="dxa"/>
              <w:end w:w="100" w:type="dxa"/>
            </w:tcMar>
            <w:vAlign w:val="center"/>
          </w:tcPr>
          <w:p>
            <w:pPr>
              <w:jc w:val="center"/>
            </w:pPr>
            <w:r>
              <w:rPr>
                <w:b/>
                <w:color w:val="FFFFFF"/>
                <w:sz w:val="16"/>
              </w:rPr>
              <w:t>Rule</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Local queue</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UUID, status, retry_count, last_error, created_at, server mapping.</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Evidence</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Media tidak hilang ketika sync gagal; upload/retry terkontrol.</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Conflict</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Critical fields tidak diselesaikan dengan silent last-write-wins.</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Reconnect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Batch + jitter + backpressure; retry idempotent.</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Device identity</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Dipisahkan dari user identity; device dapat memiliki lifecycle sendiri.</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Sync audit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Target P2: Sync Log/Console untuk reconciliation dan visibility.</w:t>
            </w:r>
          </w:p>
        </w:tc>
      </w:tr>
    </w:tbl>
    <w:p>
      <w:pPr>
        <w:spacing w:after="80" w:line="254" w:lineRule="auto"/>
      </w:pPr>
    </w:p>
    <w:p>
      <w:pPr>
        <w:spacing w:after="80" w:line="254" w:lineRule="auto"/>
      </w:pPr>
      <w:r>
        <w:br w:type="page"/>
      </w:r>
    </w:p>
    <w:p>
      <w:pPr>
        <w:pStyle w:val="Heading1"/>
      </w:pPr>
      <w:r>
        <w:t>12. Security, Privacy &amp; Authorization</w:t>
      </w:r>
    </w:p>
    <w:p>
      <w:pPr>
        <w:pStyle w:val="Heading2"/>
        <w:spacing w:after="80" w:line="259" w:lineRule="auto"/>
      </w:pPr>
      <w:r>
        <w:t>12.1 Security model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17365D"/>
            <w:tcMar>
              <w:top w:w="80" w:type="dxa"/>
              <w:start w:w="100" w:type="dxa"/>
              <w:bottom w:w="80" w:type="dxa"/>
              <w:end w:w="100" w:type="dxa"/>
            </w:tcMar>
            <w:vAlign w:val="center"/>
          </w:tcPr>
          <w:p>
            <w:pPr>
              <w:jc w:val="center"/>
            </w:pPr>
            <w:r>
              <w:rPr>
                <w:b/>
                <w:color w:val="FFFFFF"/>
                <w:sz w:val="16"/>
              </w:rPr>
              <w:t>Control Area</w:t>
            </w:r>
          </w:p>
        </w:tc>
        <w:tc>
          <w:tcPr>
            <w:tcW w:type="dxa" w:w="7597"/>
            <w:shd w:fill="17365D"/>
            <w:tcMar>
              <w:top w:w="80" w:type="dxa"/>
              <w:start w:w="100" w:type="dxa"/>
              <w:bottom w:w="80" w:type="dxa"/>
              <w:end w:w="100" w:type="dxa"/>
            </w:tcMar>
            <w:vAlign w:val="center"/>
          </w:tcPr>
          <w:p>
            <w:pPr>
              <w:jc w:val="center"/>
            </w:pPr>
            <w:r>
              <w:rPr>
                <w:b/>
                <w:color w:val="FFFFFF"/>
                <w:sz w:val="16"/>
              </w:rPr>
              <w:t>Blueprint</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Authentication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Native Frappe session / controlled compatibility bridge; no implicit trust from legacy session alone.</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Authorization</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Least privilege; scope event/region/org/Posko/role. Command and System Manager global scopes are explicit.</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Public registration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Operator request does not automatically grant operator authority.</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Secrets</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No credentials in repo/log/JS/browser response; rotate exposed secrets before production.</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Medical / Search &amp; Found</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PII minimized; restricted detail; public views safe/aggregate.</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Evidence</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Owner + access scope + checksum + retention + audit.</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Exports</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Sensitive export must be auditable.</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AI</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External provider only receives minimum-necessary authorized context.</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Migration</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Source remains production until explicit cutover; no destructive schema/container actions by default.</w:t>
            </w:r>
          </w:p>
        </w:tc>
      </w:tr>
    </w:tbl>
    <w:p>
      <w:pPr>
        <w:spacing w:after="80" w:line="254" w:lineRule="auto"/>
      </w:pPr>
    </w:p>
    <w:p>
      <w:pPr>
        <w:pStyle w:val="Heading2"/>
        <w:spacing w:after="80" w:line="259" w:lineRule="auto"/>
      </w:pPr>
      <w:r>
        <w:t>12.2 Privacy hierarchy</w:t>
      </w:r>
    </w:p>
    <w:p>
      <w:pPr>
        <w:spacing w:after="80" w:line="254" w:lineRule="auto"/>
      </w:pPr>
      <w:r>
        <w:t>Organization policy can constrain Posko behavior; public publication uses safe aggregate/masking; AI must follow the same effective permissions. Precise GPS for vulnerable individuals and unnecessary identity fields are not public data.</w:t>
      </w:r>
    </w:p>
    <w:p>
      <w:pPr>
        <w:spacing w:after="80" w:line="254" w:lineRule="auto"/>
      </w:pPr>
      <w:r>
        <w:br w:type="page"/>
      </w:r>
    </w:p>
    <w:p>
      <w:pPr>
        <w:pStyle w:val="Heading1"/>
      </w:pPr>
      <w:r>
        <w:t>13. Technical Programming Blueprint</w:t>
      </w:r>
    </w:p>
    <w:p>
      <w:pPr>
        <w:pStyle w:val="Heading2"/>
        <w:spacing w:after="80" w:line="259" w:lineRule="auto"/>
      </w:pPr>
      <w:r>
        <w:t>13.1 Technology stack: current and target</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757"/>
            <w:shd w:fill="0E7490"/>
            <w:tcMar>
              <w:top w:w="80" w:type="dxa"/>
              <w:start w:w="100" w:type="dxa"/>
              <w:bottom w:w="80" w:type="dxa"/>
              <w:end w:w="100" w:type="dxa"/>
            </w:tcMar>
            <w:vAlign w:val="center"/>
          </w:tcPr>
          <w:p>
            <w:pPr>
              <w:jc w:val="center"/>
            </w:pPr>
            <w:r>
              <w:rPr>
                <w:b/>
                <w:color w:val="FFFFFF"/>
                <w:sz w:val="15"/>
              </w:rPr>
              <w:t>Layer</w:t>
            </w:r>
          </w:p>
        </w:tc>
        <w:tc>
          <w:tcPr>
            <w:tcW w:type="dxa" w:w="4025"/>
            <w:shd w:fill="0E7490"/>
            <w:tcMar>
              <w:top w:w="80" w:type="dxa"/>
              <w:start w:w="100" w:type="dxa"/>
              <w:bottom w:w="80" w:type="dxa"/>
              <w:end w:w="100" w:type="dxa"/>
            </w:tcMar>
            <w:vAlign w:val="center"/>
          </w:tcPr>
          <w:p>
            <w:pPr>
              <w:jc w:val="center"/>
            </w:pPr>
            <w:r>
              <w:rPr>
                <w:b/>
                <w:color w:val="FFFFFF"/>
                <w:sz w:val="15"/>
              </w:rPr>
              <w:t>Current / Legacy</w:t>
            </w:r>
          </w:p>
        </w:tc>
        <w:tc>
          <w:tcPr>
            <w:tcW w:type="dxa" w:w="4082"/>
            <w:shd w:fill="0E7490"/>
            <w:tcMar>
              <w:top w:w="80" w:type="dxa"/>
              <w:start w:w="100" w:type="dxa"/>
              <w:bottom w:w="80" w:type="dxa"/>
              <w:end w:w="100" w:type="dxa"/>
            </w:tcMar>
            <w:vAlign w:val="center"/>
          </w:tcPr>
          <w:p>
            <w:pPr>
              <w:jc w:val="center"/>
            </w:pPr>
            <w:r>
              <w:rPr>
                <w:b/>
                <w:color w:val="FFFFFF"/>
                <w:sz w:val="15"/>
              </w:rPr>
              <w:t>Target / New Platform</w:t>
            </w:r>
          </w:p>
        </w:tc>
      </w:tr>
      <w:tr>
        <w:tc>
          <w:tcPr>
            <w:tcW w:type="dxa" w:w="1757"/>
            <w:tcMar>
              <w:top w:w="80" w:type="dxa"/>
              <w:start w:w="100" w:type="dxa"/>
              <w:bottom w:w="80" w:type="dxa"/>
              <w:end w:w="100" w:type="dxa"/>
            </w:tcMar>
            <w:vAlign w:val="top"/>
          </w:tcPr>
          <w:p>
            <w:pPr>
              <w:spacing w:after="0" w:line="240" w:lineRule="auto"/>
            </w:pPr>
            <w:r>
              <w:rPr>
                <w:rFonts w:ascii="Arial" w:hAnsi="Arial"/>
                <w:b/>
                <w:color w:val="1F2937"/>
                <w:sz w:val="15"/>
              </w:rPr>
              <w:t>Frontend</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5"/>
              </w:rPr>
              <w:t>HTML, CSS, JavaScript; existing web pages</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5"/>
              </w:rPr>
              <w:t>Frappe Desk/Portal + compatibility with existing UI during migration</w:t>
            </w:r>
          </w:p>
        </w:tc>
      </w:tr>
      <w:tr>
        <w:tc>
          <w:tcPr>
            <w:tcW w:type="dxa" w:w="1757"/>
            <w:tcMar>
              <w:top w:w="80" w:type="dxa"/>
              <w:start w:w="100" w:type="dxa"/>
              <w:bottom w:w="80" w:type="dxa"/>
              <w:end w:w="100" w:type="dxa"/>
            </w:tcMar>
            <w:vAlign w:val="top"/>
            <w:shd w:fill="FAFBFC"/>
          </w:tcPr>
          <w:p>
            <w:pPr>
              <w:spacing w:after="0" w:line="240" w:lineRule="auto"/>
            </w:pPr>
            <w:r>
              <w:rPr>
                <w:rFonts w:ascii="Arial" w:hAnsi="Arial"/>
                <w:b/>
                <w:color w:val="1F2937"/>
                <w:sz w:val="15"/>
              </w:rPr>
              <w:t>Mobile / Offline</w:t>
            </w:r>
          </w:p>
        </w:tc>
        <w:tc>
          <w:tcPr>
            <w:tcW w:type="dxa" w:w="4025"/>
            <w:tcMar>
              <w:top w:w="80" w:type="dxa"/>
              <w:start w:w="100" w:type="dxa"/>
              <w:bottom w:w="80" w:type="dxa"/>
              <w:end w:w="100" w:type="dxa"/>
            </w:tcMar>
            <w:vAlign w:val="top"/>
            <w:shd w:fill="FAFBFC"/>
          </w:tcPr>
          <w:p>
            <w:pPr>
              <w:spacing w:after="0" w:line="240" w:lineRule="auto"/>
            </w:pPr>
            <w:r>
              <w:rPr>
                <w:rFonts w:ascii="Arial" w:hAnsi="Arial"/>
                <w:b w:val="0"/>
                <w:color w:val="1F2937"/>
                <w:sz w:val="15"/>
              </w:rPr>
              <w:t>PWA / service worker / local queue patterns</w:t>
            </w:r>
          </w:p>
        </w:tc>
        <w:tc>
          <w:tcPr>
            <w:tcW w:type="dxa" w:w="4082"/>
            <w:tcMar>
              <w:top w:w="80" w:type="dxa"/>
              <w:start w:w="100" w:type="dxa"/>
              <w:bottom w:w="80" w:type="dxa"/>
              <w:end w:w="100" w:type="dxa"/>
            </w:tcMar>
            <w:vAlign w:val="top"/>
            <w:shd w:fill="FAFBFC"/>
          </w:tcPr>
          <w:p>
            <w:pPr>
              <w:spacing w:after="0" w:line="240" w:lineRule="auto"/>
            </w:pPr>
            <w:r>
              <w:rPr>
                <w:rFonts w:ascii="Arial" w:hAnsi="Arial"/>
                <w:b w:val="0"/>
                <w:color w:val="1F2937"/>
                <w:sz w:val="15"/>
              </w:rPr>
              <w:t>PWA retained; Sync Log/Console integrated with Frappe operational records</w:t>
            </w:r>
          </w:p>
        </w:tc>
      </w:tr>
      <w:tr>
        <w:tc>
          <w:tcPr>
            <w:tcW w:type="dxa" w:w="1757"/>
            <w:tcMar>
              <w:top w:w="80" w:type="dxa"/>
              <w:start w:w="100" w:type="dxa"/>
              <w:bottom w:w="80" w:type="dxa"/>
              <w:end w:w="100" w:type="dxa"/>
            </w:tcMar>
            <w:vAlign w:val="top"/>
          </w:tcPr>
          <w:p>
            <w:pPr>
              <w:spacing w:after="0" w:line="240" w:lineRule="auto"/>
            </w:pPr>
            <w:r>
              <w:rPr>
                <w:rFonts w:ascii="Arial" w:hAnsi="Arial"/>
                <w:b/>
                <w:color w:val="1F2937"/>
                <w:sz w:val="15"/>
              </w:rPr>
              <w:t>Backend</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5"/>
              </w:rPr>
              <w:t>Python FastAPI</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5"/>
              </w:rPr>
              <w:t>Python Frappe app (whitelisted APIs + DocType controllers + policies)</w:t>
            </w:r>
          </w:p>
        </w:tc>
      </w:tr>
      <w:tr>
        <w:tc>
          <w:tcPr>
            <w:tcW w:type="dxa" w:w="1757"/>
            <w:tcMar>
              <w:top w:w="80" w:type="dxa"/>
              <w:start w:w="100" w:type="dxa"/>
              <w:bottom w:w="80" w:type="dxa"/>
              <w:end w:w="100" w:type="dxa"/>
            </w:tcMar>
            <w:vAlign w:val="top"/>
            <w:shd w:fill="FAFBFC"/>
          </w:tcPr>
          <w:p>
            <w:pPr>
              <w:spacing w:after="0" w:line="240" w:lineRule="auto"/>
            </w:pPr>
            <w:r>
              <w:rPr>
                <w:rFonts w:ascii="Arial" w:hAnsi="Arial"/>
                <w:b/>
                <w:color w:val="1F2937"/>
                <w:sz w:val="15"/>
              </w:rPr>
              <w:t>Data</w:t>
            </w:r>
          </w:p>
        </w:tc>
        <w:tc>
          <w:tcPr>
            <w:tcW w:type="dxa" w:w="4025"/>
            <w:tcMar>
              <w:top w:w="80" w:type="dxa"/>
              <w:start w:w="100" w:type="dxa"/>
              <w:bottom w:w="80" w:type="dxa"/>
              <w:end w:w="100" w:type="dxa"/>
            </w:tcMar>
            <w:vAlign w:val="top"/>
            <w:shd w:fill="FAFBFC"/>
          </w:tcPr>
          <w:p>
            <w:pPr>
              <w:spacing w:after="0" w:line="240" w:lineRule="auto"/>
            </w:pPr>
            <w:r>
              <w:rPr>
                <w:rFonts w:ascii="Arial" w:hAnsi="Arial"/>
                <w:b w:val="0"/>
                <w:color w:val="1F2937"/>
                <w:sz w:val="15"/>
              </w:rPr>
              <w:t>PostgreSQL rescuenet_db</w:t>
            </w:r>
          </w:p>
        </w:tc>
        <w:tc>
          <w:tcPr>
            <w:tcW w:type="dxa" w:w="4082"/>
            <w:tcMar>
              <w:top w:w="80" w:type="dxa"/>
              <w:start w:w="100" w:type="dxa"/>
              <w:bottom w:w="80" w:type="dxa"/>
              <w:end w:w="100" w:type="dxa"/>
            </w:tcMar>
            <w:vAlign w:val="top"/>
            <w:shd w:fill="FAFBFC"/>
          </w:tcPr>
          <w:p>
            <w:pPr>
              <w:spacing w:after="0" w:line="240" w:lineRule="auto"/>
            </w:pPr>
            <w:r>
              <w:rPr>
                <w:rFonts w:ascii="Arial" w:hAnsi="Arial"/>
                <w:b w:val="0"/>
                <w:color w:val="1F2937"/>
                <w:sz w:val="15"/>
              </w:rPr>
              <w:t>Frappe site database (MariaDB in current shadow environment)</w:t>
            </w:r>
          </w:p>
        </w:tc>
      </w:tr>
      <w:tr>
        <w:tc>
          <w:tcPr>
            <w:tcW w:type="dxa" w:w="1757"/>
            <w:tcMar>
              <w:top w:w="80" w:type="dxa"/>
              <w:start w:w="100" w:type="dxa"/>
              <w:bottom w:w="80" w:type="dxa"/>
              <w:end w:w="100" w:type="dxa"/>
            </w:tcMar>
            <w:vAlign w:val="top"/>
          </w:tcPr>
          <w:p>
            <w:pPr>
              <w:spacing w:after="0" w:line="240" w:lineRule="auto"/>
            </w:pPr>
            <w:r>
              <w:rPr>
                <w:rFonts w:ascii="Arial" w:hAnsi="Arial"/>
                <w:b/>
                <w:color w:val="1F2937"/>
                <w:sz w:val="15"/>
              </w:rPr>
              <w:t>Domain storage</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5"/>
              </w:rPr>
              <w:t>Legacy relational tables</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5"/>
              </w:rPr>
              <w:t>RN * DocTypes, Version/Audit, derived read models</w:t>
            </w:r>
          </w:p>
        </w:tc>
      </w:tr>
      <w:tr>
        <w:tc>
          <w:tcPr>
            <w:tcW w:type="dxa" w:w="1757"/>
            <w:tcMar>
              <w:top w:w="80" w:type="dxa"/>
              <w:start w:w="100" w:type="dxa"/>
              <w:bottom w:w="80" w:type="dxa"/>
              <w:end w:w="100" w:type="dxa"/>
            </w:tcMar>
            <w:vAlign w:val="top"/>
            <w:shd w:fill="FAFBFC"/>
          </w:tcPr>
          <w:p>
            <w:pPr>
              <w:spacing w:after="0" w:line="240" w:lineRule="auto"/>
            </w:pPr>
            <w:r>
              <w:rPr>
                <w:rFonts w:ascii="Arial" w:hAnsi="Arial"/>
                <w:b/>
                <w:color w:val="1F2937"/>
                <w:sz w:val="15"/>
              </w:rPr>
              <w:t>AI</w:t>
            </w:r>
          </w:p>
        </w:tc>
        <w:tc>
          <w:tcPr>
            <w:tcW w:type="dxa" w:w="4025"/>
            <w:tcMar>
              <w:top w:w="80" w:type="dxa"/>
              <w:start w:w="100" w:type="dxa"/>
              <w:bottom w:w="80" w:type="dxa"/>
              <w:end w:w="100" w:type="dxa"/>
            </w:tcMar>
            <w:vAlign w:val="top"/>
            <w:shd w:fill="FAFBFC"/>
          </w:tcPr>
          <w:p>
            <w:pPr>
              <w:spacing w:after="0" w:line="240" w:lineRule="auto"/>
            </w:pPr>
            <w:r>
              <w:rPr>
                <w:rFonts w:ascii="Arial" w:hAnsi="Arial"/>
                <w:b w:val="0"/>
                <w:color w:val="1F2937"/>
                <w:sz w:val="15"/>
              </w:rPr>
              <w:t>Backend provider calls / BYOK</w:t>
            </w:r>
          </w:p>
        </w:tc>
        <w:tc>
          <w:tcPr>
            <w:tcW w:type="dxa" w:w="4082"/>
            <w:tcMar>
              <w:top w:w="80" w:type="dxa"/>
              <w:start w:w="100" w:type="dxa"/>
              <w:bottom w:w="80" w:type="dxa"/>
              <w:end w:w="100" w:type="dxa"/>
            </w:tcMar>
            <w:vAlign w:val="top"/>
            <w:shd w:fill="FAFBFC"/>
          </w:tcPr>
          <w:p>
            <w:pPr>
              <w:spacing w:after="0" w:line="240" w:lineRule="auto"/>
            </w:pPr>
            <w:r>
              <w:rPr>
                <w:rFonts w:ascii="Arial" w:hAnsi="Arial"/>
                <w:b w:val="0"/>
                <w:color w:val="1F2937"/>
                <w:sz w:val="15"/>
              </w:rPr>
              <w:t>Frappe api_ai + future vendor-neutral AI gateway</w:t>
            </w:r>
          </w:p>
        </w:tc>
      </w:tr>
      <w:tr>
        <w:tc>
          <w:tcPr>
            <w:tcW w:type="dxa" w:w="1757"/>
            <w:tcMar>
              <w:top w:w="80" w:type="dxa"/>
              <w:start w:w="100" w:type="dxa"/>
              <w:bottom w:w="80" w:type="dxa"/>
              <w:end w:w="100" w:type="dxa"/>
            </w:tcMar>
            <w:vAlign w:val="top"/>
          </w:tcPr>
          <w:p>
            <w:pPr>
              <w:spacing w:after="0" w:line="240" w:lineRule="auto"/>
            </w:pPr>
            <w:r>
              <w:rPr>
                <w:rFonts w:ascii="Arial" w:hAnsi="Arial"/>
                <w:b/>
                <w:color w:val="1F2937"/>
                <w:sz w:val="15"/>
              </w:rPr>
              <w:t>Deployment</w:t>
            </w:r>
          </w:p>
        </w:tc>
        <w:tc>
          <w:tcPr>
            <w:tcW w:type="dxa" w:w="4025"/>
            <w:tcMar>
              <w:top w:w="80" w:type="dxa"/>
              <w:start w:w="100" w:type="dxa"/>
              <w:bottom w:w="80" w:type="dxa"/>
              <w:end w:w="100" w:type="dxa"/>
            </w:tcMar>
            <w:vAlign w:val="top"/>
          </w:tcPr>
          <w:p>
            <w:pPr>
              <w:spacing w:after="0" w:line="240" w:lineRule="auto"/>
            </w:pPr>
            <w:r>
              <w:rPr>
                <w:rFonts w:ascii="Arial" w:hAnsi="Arial"/>
                <w:b w:val="0"/>
                <w:color w:val="1F2937"/>
                <w:sz w:val="15"/>
              </w:rPr>
              <w:t>Docker + nginx + Tailscale Funnel</w:t>
            </w:r>
          </w:p>
        </w:tc>
        <w:tc>
          <w:tcPr>
            <w:tcW w:type="dxa" w:w="4082"/>
            <w:tcMar>
              <w:top w:w="80" w:type="dxa"/>
              <w:start w:w="100" w:type="dxa"/>
              <w:bottom w:w="80" w:type="dxa"/>
              <w:end w:w="100" w:type="dxa"/>
            </w:tcMar>
            <w:vAlign w:val="top"/>
          </w:tcPr>
          <w:p>
            <w:pPr>
              <w:spacing w:after="0" w:line="240" w:lineRule="auto"/>
            </w:pPr>
            <w:r>
              <w:rPr>
                <w:rFonts w:ascii="Arial" w:hAnsi="Arial"/>
                <w:b w:val="0"/>
                <w:color w:val="1F2937"/>
                <w:sz w:val="15"/>
              </w:rPr>
              <w:t>Shadow/pilot Frappe container alongside legacy until cutover</w:t>
            </w:r>
          </w:p>
        </w:tc>
      </w:tr>
      <w:tr>
        <w:tc>
          <w:tcPr>
            <w:tcW w:type="dxa" w:w="1757"/>
            <w:tcMar>
              <w:top w:w="80" w:type="dxa"/>
              <w:start w:w="100" w:type="dxa"/>
              <w:bottom w:w="80" w:type="dxa"/>
              <w:end w:w="100" w:type="dxa"/>
            </w:tcMar>
            <w:vAlign w:val="top"/>
            <w:shd w:fill="FAFBFC"/>
          </w:tcPr>
          <w:p>
            <w:pPr>
              <w:spacing w:after="0" w:line="240" w:lineRule="auto"/>
            </w:pPr>
            <w:r>
              <w:rPr>
                <w:rFonts w:ascii="Arial" w:hAnsi="Arial"/>
                <w:b/>
                <w:color w:val="1F2937"/>
                <w:sz w:val="15"/>
              </w:rPr>
              <w:t>Versioning</w:t>
            </w:r>
          </w:p>
        </w:tc>
        <w:tc>
          <w:tcPr>
            <w:tcW w:type="dxa" w:w="4025"/>
            <w:tcMar>
              <w:top w:w="80" w:type="dxa"/>
              <w:start w:w="100" w:type="dxa"/>
              <w:bottom w:w="80" w:type="dxa"/>
              <w:end w:w="100" w:type="dxa"/>
            </w:tcMar>
            <w:vAlign w:val="top"/>
            <w:shd w:fill="FAFBFC"/>
          </w:tcPr>
          <w:p>
            <w:pPr>
              <w:spacing w:after="0" w:line="240" w:lineRule="auto"/>
            </w:pPr>
            <w:r>
              <w:rPr>
                <w:rFonts w:ascii="Arial" w:hAnsi="Arial"/>
                <w:b w:val="0"/>
                <w:color w:val="1F2937"/>
                <w:sz w:val="15"/>
              </w:rPr>
              <w:t>Git repository</w:t>
            </w:r>
          </w:p>
        </w:tc>
        <w:tc>
          <w:tcPr>
            <w:tcW w:type="dxa" w:w="4082"/>
            <w:tcMar>
              <w:top w:w="80" w:type="dxa"/>
              <w:start w:w="100" w:type="dxa"/>
              <w:bottom w:w="80" w:type="dxa"/>
              <w:end w:w="100" w:type="dxa"/>
            </w:tcMar>
            <w:vAlign w:val="top"/>
            <w:shd w:fill="FAFBFC"/>
          </w:tcPr>
          <w:p>
            <w:pPr>
              <w:spacing w:after="0" w:line="240" w:lineRule="auto"/>
            </w:pPr>
            <w:r>
              <w:rPr>
                <w:rFonts w:ascii="Arial" w:hAnsi="Arial"/>
                <w:b w:val="0"/>
                <w:color w:val="1F2937"/>
                <w:sz w:val="15"/>
              </w:rPr>
              <w:t>Same repo, exact-path commits; module-by-module migration history</w:t>
            </w:r>
          </w:p>
        </w:tc>
      </w:tr>
    </w:tbl>
    <w:p>
      <w:pPr>
        <w:spacing w:after="80" w:line="254" w:lineRule="auto"/>
      </w:pPr>
    </w:p>
    <w:p>
      <w:pPr>
        <w:pStyle w:val="Heading2"/>
        <w:spacing w:after="80" w:line="259" w:lineRule="auto"/>
      </w:pPr>
      <w:r>
        <w:t>13.2 Frappe application structure</w:t>
      </w:r>
    </w:p>
    <w:p>
      <w:pPr>
        <w:spacing w:after="80" w:line="254" w:lineRule="auto"/>
        <w:ind w:left="227" w:right="227"/>
        <w:shd w:fill="F3F6F8"/>
      </w:pPr>
      <w:r>
        <w:rPr>
          <w:rFonts w:ascii="Courier New" w:hAnsi="Courier New"/>
          <w:color w:val="1F2937"/>
          <w:sz w:val="16"/>
        </w:rPr>
        <w:t>rescue_net/</w:t>
        <w:br/>
        <w:t>├── api_*.py                     # application/API surfaces</w:t>
        <w:br/>
        <w:t>├── access_policy.py              # actor + organization/Posko scope</w:t>
        <w:br/>
        <w:t>├── intelligence/                 # normalization / decision-support logic</w:t>
        <w:br/>
        <w:t>│   └── normalization_registry.py</w:t>
        <w:br/>
        <w:t>├── migration/                    # source→shadow import/validation</w:t>
        <w:br/>
        <w:t>├── rescue_net/doctype/rn_*/      # native operational DocTypes</w:t>
        <w:br/>
        <w:t>├── setup/                         # idempotent defaults/install hooks</w:t>
        <w:br/>
        <w:t>└── www/                           # Frappe web/portal surfaces</w:t>
      </w:r>
    </w:p>
    <w:p>
      <w:pPr>
        <w:pStyle w:val="Heading2"/>
        <w:spacing w:after="80" w:line="259" w:lineRule="auto"/>
      </w:pPr>
      <w:r>
        <w:t>13.3 Coding standards</w:t>
      </w:r>
    </w:p>
    <w:p>
      <w:pPr>
        <w:pStyle w:val="ListBullet"/>
        <w:spacing w:after="56" w:line="250" w:lineRule="auto"/>
        <w:ind w:left="255" w:hanging="125"/>
      </w:pPr>
      <w:r>
        <w:rPr>
          <w:rFonts w:ascii="Arial" w:hAnsi="Arial"/>
          <w:sz w:val="18"/>
        </w:rPr>
        <w:t>HTTP router/whitelisted method menangani transport; business rule dipisahkan ke service/policy/controller.</w:t>
      </w:r>
    </w:p>
    <w:p>
      <w:pPr>
        <w:pStyle w:val="ListBullet"/>
        <w:spacing w:after="56" w:line="250" w:lineRule="auto"/>
        <w:ind w:left="255" w:hanging="125"/>
      </w:pPr>
      <w:r>
        <w:rPr>
          <w:rFonts w:ascii="Arial" w:hAnsi="Arial"/>
          <w:sz w:val="18"/>
        </w:rPr>
        <w:t>Gunakan nama domain yang jelas; hindari singkatan ambigu dan silent exception.</w:t>
      </w:r>
    </w:p>
    <w:p>
      <w:pPr>
        <w:pStyle w:val="ListBullet"/>
        <w:spacing w:after="56" w:line="250" w:lineRule="auto"/>
        <w:ind w:left="255" w:hanging="125"/>
      </w:pPr>
      <w:r>
        <w:rPr>
          <w:rFonts w:ascii="Arial" w:hAnsi="Arial"/>
          <w:sz w:val="18"/>
        </w:rPr>
        <w:t>Critical business change memiliki transaction boundary, audit, dan idempotency sesuai kebutuhan.</w:t>
      </w:r>
    </w:p>
    <w:p>
      <w:pPr>
        <w:pStyle w:val="ListBullet"/>
        <w:spacing w:after="56" w:line="250" w:lineRule="auto"/>
        <w:ind w:left="255" w:hanging="125"/>
      </w:pPr>
      <w:r>
        <w:rPr>
          <w:rFonts w:ascii="Arial" w:hAnsi="Arial"/>
          <w:sz w:val="18"/>
        </w:rPr>
        <w:t>Jangan melakukan long network call di dalam database transaction.</w:t>
      </w:r>
    </w:p>
    <w:p>
      <w:pPr>
        <w:pStyle w:val="ListBullet"/>
        <w:spacing w:after="56" w:line="250" w:lineRule="auto"/>
        <w:ind w:left="255" w:hanging="125"/>
      </w:pPr>
      <w:r>
        <w:rPr>
          <w:rFonts w:ascii="Arial" w:hAnsi="Arial"/>
          <w:sz w:val="18"/>
        </w:rPr>
        <w:t>Schema migration additive terlebih dahulu; destructive DROP/rename memerlukan compatibility plan dan restore test.</w:t>
      </w:r>
    </w:p>
    <w:p>
      <w:pPr>
        <w:pStyle w:val="ListBullet"/>
        <w:spacing w:after="56" w:line="250" w:lineRule="auto"/>
        <w:ind w:left="255" w:hanging="125"/>
      </w:pPr>
      <w:r>
        <w:rPr>
          <w:rFonts w:ascii="Arial" w:hAnsi="Arial"/>
          <w:sz w:val="18"/>
        </w:rPr>
        <w:t>Frontend tidak menghitung operational truth dan tidak membawa secret provider.</w:t>
      </w:r>
    </w:p>
    <w:p>
      <w:pPr>
        <w:pStyle w:val="ListBullet"/>
        <w:spacing w:after="56" w:line="250" w:lineRule="auto"/>
        <w:ind w:left="255" w:hanging="125"/>
      </w:pPr>
      <w:r>
        <w:rPr>
          <w:rFonts w:ascii="Arial" w:hAnsi="Arial"/>
          <w:sz w:val="18"/>
        </w:rPr>
        <w:t>Every critical change: inspect → backup → smallest reversible change → local/direct test → proxy/public test → monitor → handover.</w:t>
      </w:r>
    </w:p>
    <w:p>
      <w:pPr>
        <w:pStyle w:val="ListBullet"/>
        <w:spacing w:after="56" w:line="250" w:lineRule="auto"/>
        <w:ind w:left="255" w:hanging="125"/>
      </w:pPr>
      <w:r>
        <w:rPr>
          <w:rFonts w:ascii="Arial" w:hAnsi="Arial"/>
          <w:sz w:val="18"/>
        </w:rPr>
        <w:t>Git staging selalu exact paths; hindari sweeping unrelated worktree changes.</w:t>
      </w:r>
    </w:p>
    <w:p>
      <w:pPr>
        <w:pStyle w:val="Heading2"/>
        <w:spacing w:after="80" w:line="259" w:lineRule="auto"/>
      </w:pPr>
      <w:r>
        <w:t>13.4 Representative modules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7365D"/>
            <w:tcMar>
              <w:top w:w="80" w:type="dxa"/>
              <w:start w:w="100" w:type="dxa"/>
              <w:bottom w:w="80" w:type="dxa"/>
              <w:end w:w="100" w:type="dxa"/>
            </w:tcMar>
            <w:vAlign w:val="center"/>
          </w:tcPr>
          <w:p>
            <w:pPr>
              <w:jc w:val="center"/>
            </w:pPr>
            <w:r>
              <w:rPr>
                <w:b/>
                <w:color w:val="FFFFFF"/>
                <w:sz w:val="16"/>
              </w:rPr>
              <w:t>Area</w:t>
            </w:r>
          </w:p>
        </w:tc>
        <w:tc>
          <w:tcPr>
            <w:tcW w:type="dxa" w:w="7483"/>
            <w:shd w:fill="17365D"/>
            <w:tcMar>
              <w:top w:w="80" w:type="dxa"/>
              <w:start w:w="100" w:type="dxa"/>
              <w:bottom w:w="80" w:type="dxa"/>
              <w:end w:w="100" w:type="dxa"/>
            </w:tcMar>
            <w:vAlign w:val="center"/>
          </w:tcPr>
          <w:p>
            <w:pPr>
              <w:jc w:val="center"/>
            </w:pPr>
            <w:r>
              <w:rPr>
                <w:b/>
                <w:color w:val="FFFFFF"/>
                <w:sz w:val="16"/>
              </w:rPr>
              <w:t>Representative Implementation</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Logistics</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api_logistics.py + RN Logistic Need / Stock Observation / Aid Offer / Distribution Flow</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Access</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access_policy.py + organization memberships + Posko assignments</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AI</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api_ai.py + RN AI User Setting + privacy-safe context</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Normalization</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intelligence/normalization.py + normalization_registry.py + RN Normalization Rule</w:t>
            </w:r>
          </w:p>
        </w:tc>
      </w:tr>
      <w:tr>
        <w:tc>
          <w:tcPr>
            <w:tcW w:type="dxa" w:w="2381"/>
            <w:tcMar>
              <w:top w:w="80" w:type="dxa"/>
              <w:start w:w="100" w:type="dxa"/>
              <w:bottom w:w="80" w:type="dxa"/>
              <w:end w:w="100" w:type="dxa"/>
            </w:tcMar>
            <w:vAlign w:val="top"/>
          </w:tcPr>
          <w:p>
            <w:pPr>
              <w:spacing w:after="0" w:line="240" w:lineRule="auto"/>
            </w:pPr>
            <w:r>
              <w:rPr>
                <w:rFonts w:ascii="Arial" w:hAnsi="Arial"/>
                <w:b/>
                <w:color w:val="1F2937"/>
                <w:sz w:val="16"/>
              </w:rPr>
              <w:t>Migration</w:t>
            </w:r>
          </w:p>
        </w:tc>
        <w:tc>
          <w:tcPr>
            <w:tcW w:type="dxa" w:w="7483"/>
            <w:tcMar>
              <w:top w:w="80" w:type="dxa"/>
              <w:start w:w="100" w:type="dxa"/>
              <w:bottom w:w="80" w:type="dxa"/>
              <w:end w:w="100" w:type="dxa"/>
            </w:tcMar>
            <w:vAlign w:val="top"/>
          </w:tcPr>
          <w:p>
            <w:pPr>
              <w:spacing w:after="0" w:line="240" w:lineRule="auto"/>
            </w:pPr>
            <w:r>
              <w:rPr>
                <w:rFonts w:ascii="Arial" w:hAnsi="Arial"/>
                <w:b w:val="0"/>
                <w:color w:val="1F2937"/>
                <w:sz w:val="16"/>
              </w:rPr>
              <w:t>import_*_from_rescuenet_pg.py + validation/status tools</w:t>
            </w:r>
          </w:p>
        </w:tc>
      </w:tr>
      <w:tr>
        <w:tc>
          <w:tcPr>
            <w:tcW w:type="dxa" w:w="2381"/>
            <w:tcMar>
              <w:top w:w="80" w:type="dxa"/>
              <w:start w:w="100" w:type="dxa"/>
              <w:bottom w:w="80" w:type="dxa"/>
              <w:end w:w="100" w:type="dxa"/>
            </w:tcMar>
            <w:vAlign w:val="top"/>
            <w:shd w:fill="FAFBFC"/>
          </w:tcPr>
          <w:p>
            <w:pPr>
              <w:spacing w:after="0" w:line="240" w:lineRule="auto"/>
            </w:pPr>
            <w:r>
              <w:rPr>
                <w:rFonts w:ascii="Arial" w:hAnsi="Arial"/>
                <w:b/>
                <w:color w:val="1F2937"/>
                <w:sz w:val="16"/>
              </w:rPr>
              <w:t>Community reporting</w:t>
            </w:r>
          </w:p>
        </w:tc>
        <w:tc>
          <w:tcPr>
            <w:tcW w:type="dxa" w:w="7483"/>
            <w:tcMar>
              <w:top w:w="80" w:type="dxa"/>
              <w:start w:w="100" w:type="dxa"/>
              <w:bottom w:w="80" w:type="dxa"/>
              <w:end w:w="100" w:type="dxa"/>
            </w:tcMar>
            <w:vAlign w:val="top"/>
            <w:shd w:fill="FAFBFC"/>
          </w:tcPr>
          <w:p>
            <w:pPr>
              <w:spacing w:after="0" w:line="240" w:lineRule="auto"/>
            </w:pPr>
            <w:r>
              <w:rPr>
                <w:rFonts w:ascii="Arial" w:hAnsi="Arial"/>
                <w:b w:val="0"/>
                <w:color w:val="1F2937"/>
                <w:sz w:val="16"/>
              </w:rPr>
              <w:t>api_reports.py + RN Community Report + admin-area handling</w:t>
            </w:r>
          </w:p>
        </w:tc>
      </w:tr>
    </w:tbl>
    <w:p>
      <w:pPr>
        <w:spacing w:after="80" w:line="254" w:lineRule="auto"/>
      </w:pPr>
    </w:p>
    <w:p>
      <w:pPr>
        <w:spacing w:after="80" w:line="254" w:lineRule="auto"/>
      </w:pPr>
      <w:r>
        <w:br w:type="page"/>
      </w:r>
    </w:p>
    <w:p>
      <w:pPr>
        <w:pStyle w:val="Heading1"/>
      </w:pPr>
      <w:r>
        <w:t>14. Deployment, DevOps, Backup &amp; Disaster Recovery</w:t>
      </w:r>
    </w:p>
    <w:p>
      <w:pPr>
        <w:spacing w:after="80" w:line="254" w:lineRule="auto"/>
        <w:jc w:val="center"/>
      </w:pPr>
      <w:r>
        <w:drawing>
          <wp:inline xmlns:a="http://schemas.openxmlformats.org/drawingml/2006/main" xmlns:pic="http://schemas.openxmlformats.org/drawingml/2006/picture">
            <wp:extent cx="6192000" cy="3563203"/>
            <wp:docPr id="3" name="Picture 3"/>
            <wp:cNvGraphicFramePr>
              <a:graphicFrameLocks noChangeAspect="1"/>
            </wp:cNvGraphicFramePr>
            <a:graphic>
              <a:graphicData uri="http://schemas.openxmlformats.org/drawingml/2006/picture">
                <pic:pic>
                  <pic:nvPicPr>
                    <pic:cNvPr id="0" name="migration_architecture.png"/>
                    <pic:cNvPicPr/>
                  </pic:nvPicPr>
                  <pic:blipFill>
                    <a:blip r:embed="rId13"/>
                    <a:stretch>
                      <a:fillRect/>
                    </a:stretch>
                  </pic:blipFill>
                  <pic:spPr>
                    <a:xfrm>
                      <a:off x="0" y="0"/>
                      <a:ext cx="6192000" cy="3563203"/>
                    </a:xfrm>
                    <a:prstGeom prst="rect"/>
                  </pic:spPr>
                </pic:pic>
              </a:graphicData>
            </a:graphic>
          </wp:inline>
        </w:drawing>
      </w:r>
    </w:p>
    <w:p>
      <w:pPr>
        <w:pStyle w:val="RNSmall"/>
        <w:spacing w:after="100"/>
        <w:jc w:val="center"/>
      </w:pPr>
      <w:r>
        <w:t>Evolution architecture: current production, compatibility/shadow, and Frappe target.</w:t>
      </w:r>
    </w:p>
    <w:p>
      <w:pPr>
        <w:pStyle w:val="Heading2"/>
        <w:spacing w:after="80" w:line="259" w:lineRule="auto"/>
      </w:pPr>
      <w:r>
        <w:t>14.1 Current production baseline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948"/>
            <w:shd w:fill="0E7490"/>
            <w:tcMar>
              <w:top w:w="80" w:type="dxa"/>
              <w:start w:w="100" w:type="dxa"/>
              <w:bottom w:w="80" w:type="dxa"/>
              <w:end w:w="100" w:type="dxa"/>
            </w:tcMar>
            <w:vAlign w:val="center"/>
          </w:tcPr>
          <w:p>
            <w:pPr>
              <w:jc w:val="center"/>
            </w:pPr>
            <w:r>
              <w:rPr>
                <w:b/>
                <w:color w:val="FFFFFF"/>
                <w:sz w:val="16"/>
              </w:rPr>
              <w:t>Component</w:t>
            </w:r>
          </w:p>
        </w:tc>
        <w:tc>
          <w:tcPr>
            <w:tcW w:type="dxa" w:w="6917"/>
            <w:shd w:fill="0E7490"/>
            <w:tcMar>
              <w:top w:w="80" w:type="dxa"/>
              <w:start w:w="100" w:type="dxa"/>
              <w:bottom w:w="80" w:type="dxa"/>
              <w:end w:w="100" w:type="dxa"/>
            </w:tcMar>
            <w:vAlign w:val="center"/>
          </w:tcPr>
          <w:p>
            <w:pPr>
              <w:jc w:val="center"/>
            </w:pPr>
            <w:r>
              <w:rPr>
                <w:b/>
                <w:color w:val="FFFFFF"/>
                <w:sz w:val="16"/>
              </w:rPr>
              <w:t>Current Baseline</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6"/>
              </w:rPr>
              <w:t>Web/static repo</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6"/>
              </w:rPr>
              <w:t>/volume1/web/rescue-net</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6"/>
              </w:rPr>
              <w:t>Legacy backend runtime</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6"/>
              </w:rPr>
              <w:t>/volume1/docker/rescue-net-api</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6"/>
              </w:rPr>
              <w:t>PWA runtime</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6"/>
              </w:rPr>
              <w:t>/volume1/web/rescue-net-app</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6"/>
              </w:rPr>
              <w:t>API container / port</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6"/>
              </w:rPr>
              <w:t>rescue-net-api / 8092</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6"/>
              </w:rPr>
              <w:t>Database</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6"/>
              </w:rPr>
              <w:t>postgres-main / rescuenet_db</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6"/>
              </w:rPr>
              <w:t>Docker network</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6"/>
              </w:rPr>
              <w:t>rescue-net-net</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6"/>
              </w:rPr>
              <w:t>Reverse proxy</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6"/>
              </w:rPr>
              <w:t>nginx</w:t>
            </w:r>
          </w:p>
        </w:tc>
      </w:tr>
      <w:tr>
        <w:tc>
          <w:tcPr>
            <w:tcW w:type="dxa" w:w="2948"/>
            <w:tcMar>
              <w:top w:w="80" w:type="dxa"/>
              <w:start w:w="100" w:type="dxa"/>
              <w:bottom w:w="80" w:type="dxa"/>
              <w:end w:w="100" w:type="dxa"/>
            </w:tcMar>
            <w:vAlign w:val="top"/>
            <w:shd w:fill="FAFBFC"/>
          </w:tcPr>
          <w:p>
            <w:pPr>
              <w:spacing w:after="0" w:line="240" w:lineRule="auto"/>
            </w:pPr>
            <w:r>
              <w:rPr>
                <w:rFonts w:ascii="Arial" w:hAnsi="Arial"/>
                <w:b/>
                <w:color w:val="1F2937"/>
                <w:sz w:val="16"/>
              </w:rPr>
              <w:t>Public access</w:t>
            </w:r>
          </w:p>
        </w:tc>
        <w:tc>
          <w:tcPr>
            <w:tcW w:type="dxa" w:w="6917"/>
            <w:tcMar>
              <w:top w:w="80" w:type="dxa"/>
              <w:start w:w="100" w:type="dxa"/>
              <w:bottom w:w="80" w:type="dxa"/>
              <w:end w:w="100" w:type="dxa"/>
            </w:tcMar>
            <w:vAlign w:val="top"/>
            <w:shd w:fill="FAFBFC"/>
          </w:tcPr>
          <w:p>
            <w:pPr>
              <w:spacing w:after="0" w:line="240" w:lineRule="auto"/>
            </w:pPr>
            <w:r>
              <w:rPr>
                <w:rFonts w:ascii="Arial" w:hAnsi="Arial"/>
                <w:b w:val="0"/>
                <w:color w:val="1F2937"/>
                <w:sz w:val="16"/>
              </w:rPr>
              <w:t>Tailscale Funnel / ts.net host</w:t>
            </w:r>
          </w:p>
        </w:tc>
      </w:tr>
      <w:tr>
        <w:tc>
          <w:tcPr>
            <w:tcW w:type="dxa" w:w="2948"/>
            <w:tcMar>
              <w:top w:w="80" w:type="dxa"/>
              <w:start w:w="100" w:type="dxa"/>
              <w:bottom w:w="80" w:type="dxa"/>
              <w:end w:w="100" w:type="dxa"/>
            </w:tcMar>
            <w:vAlign w:val="top"/>
          </w:tcPr>
          <w:p>
            <w:pPr>
              <w:spacing w:after="0" w:line="240" w:lineRule="auto"/>
            </w:pPr>
            <w:r>
              <w:rPr>
                <w:rFonts w:ascii="Arial" w:hAnsi="Arial"/>
                <w:b/>
                <w:color w:val="1F2937"/>
                <w:sz w:val="16"/>
              </w:rPr>
              <w:t>Frappe shadow/pilot</w:t>
            </w:r>
          </w:p>
        </w:tc>
        <w:tc>
          <w:tcPr>
            <w:tcW w:type="dxa" w:w="6917"/>
            <w:tcMar>
              <w:top w:w="80" w:type="dxa"/>
              <w:start w:w="100" w:type="dxa"/>
              <w:bottom w:w="80" w:type="dxa"/>
              <w:end w:w="100" w:type="dxa"/>
            </w:tcMar>
            <w:vAlign w:val="top"/>
          </w:tcPr>
          <w:p>
            <w:pPr>
              <w:spacing w:after="0" w:line="240" w:lineRule="auto"/>
            </w:pPr>
            <w:r>
              <w:rPr>
                <w:rFonts w:ascii="Arial" w:hAnsi="Arial"/>
                <w:b w:val="0"/>
                <w:color w:val="1F2937"/>
                <w:sz w:val="16"/>
              </w:rPr>
              <w:t>osiun.localhost, backend on 8095, app rescue_net</w:t>
            </w:r>
          </w:p>
        </w:tc>
      </w:tr>
    </w:tbl>
    <w:p>
      <w:pPr>
        <w:spacing w:after="80" w:line="254" w:lineRule="auto"/>
      </w:pPr>
    </w:p>
    <w:p>
      <w:pPr>
        <w:pStyle w:val="Heading2"/>
        <w:spacing w:after="80" w:line="259" w:lineRule="auto"/>
      </w:pPr>
      <w:r>
        <w:t>14.2 Operations guardrails</w:t>
      </w:r>
    </w:p>
    <w:p>
      <w:pPr>
        <w:pStyle w:val="ListBullet"/>
        <w:spacing w:after="56" w:line="250" w:lineRule="auto"/>
        <w:ind w:left="255" w:hanging="125"/>
      </w:pPr>
      <w:r>
        <w:rPr>
          <w:rFonts w:ascii="Arial" w:hAnsi="Arial"/>
          <w:sz w:val="18"/>
        </w:rPr>
        <w:t>Do not recreate PostgreSQL container or delete volumes without tested restore.</w:t>
      </w:r>
    </w:p>
    <w:p>
      <w:pPr>
        <w:pStyle w:val="ListBullet"/>
        <w:spacing w:after="56" w:line="250" w:lineRule="auto"/>
        <w:ind w:left="255" w:hanging="125"/>
      </w:pPr>
      <w:r>
        <w:rPr>
          <w:rFonts w:ascii="Arial" w:hAnsi="Arial"/>
          <w:sz w:val="18"/>
        </w:rPr>
        <w:t>Capture container image, command, mounts, network, environment, restart policy, and port mappings before recreation.</w:t>
      </w:r>
    </w:p>
    <w:p>
      <w:pPr>
        <w:pStyle w:val="ListBullet"/>
        <w:spacing w:after="56" w:line="250" w:lineRule="auto"/>
        <w:ind w:left="255" w:hanging="125"/>
      </w:pPr>
      <w:r>
        <w:rPr>
          <w:rFonts w:ascii="Arial" w:hAnsi="Arial"/>
          <w:sz w:val="18"/>
        </w:rPr>
        <w:t>If public access fails while direct/local health is normal, audit nginx/Tailscale before changing application code.</w:t>
      </w:r>
    </w:p>
    <w:p>
      <w:pPr>
        <w:pStyle w:val="ListBullet"/>
        <w:spacing w:after="56" w:line="250" w:lineRule="auto"/>
        <w:ind w:left="255" w:hanging="125"/>
      </w:pPr>
      <w:r>
        <w:rPr>
          <w:rFonts w:ascii="Arial" w:hAnsi="Arial"/>
          <w:sz w:val="18"/>
        </w:rPr>
        <w:t>Backup before migration; preflight on staging/copy; rollback path must be concrete.</w:t>
      </w:r>
    </w:p>
    <w:p>
      <w:pPr>
        <w:pStyle w:val="ListBullet"/>
        <w:spacing w:after="56" w:line="250" w:lineRule="auto"/>
        <w:ind w:left="255" w:hanging="125"/>
      </w:pPr>
      <w:r>
        <w:rPr>
          <w:rFonts w:ascii="Arial" w:hAnsi="Arial"/>
          <w:sz w:val="18"/>
        </w:rPr>
        <w:t>Runtime secret backups stay outside Git; do not commit .env, inspect dumps, tokens, or evidence.</w:t>
      </w:r>
    </w:p>
    <w:p>
      <w:pPr>
        <w:pStyle w:val="Heading2"/>
        <w:spacing w:after="80" w:line="259" w:lineRule="auto"/>
      </w:pPr>
      <w:r>
        <w:t>14.3 Observability / health path</w:t>
      </w:r>
    </w:p>
    <w:p>
      <w:pPr>
        <w:spacing w:after="80" w:line="254" w:lineRule="auto"/>
        <w:ind w:left="312" w:hanging="198"/>
      </w:pPr>
      <w:r>
        <w:t>1.  Test backend directly.</w:t>
      </w:r>
    </w:p>
    <w:p>
      <w:pPr>
        <w:spacing w:after="80" w:line="254" w:lineRule="auto"/>
        <w:ind w:left="312" w:hanging="198"/>
      </w:pPr>
      <w:r>
        <w:t>2.  Test reverse-proxy path locally.</w:t>
      </w:r>
    </w:p>
    <w:p>
      <w:pPr>
        <w:spacing w:after="80" w:line="254" w:lineRule="auto"/>
        <w:ind w:left="312" w:hanging="198"/>
      </w:pPr>
      <w:r>
        <w:t>3.  Test public URL.</w:t>
      </w:r>
    </w:p>
    <w:p>
      <w:pPr>
        <w:spacing w:after="80" w:line="254" w:lineRule="auto"/>
        <w:ind w:left="312" w:hanging="198"/>
      </w:pPr>
      <w:r>
        <w:t>4.  Inspect application logs only after routing layer is isolated.</w:t>
      </w:r>
    </w:p>
    <w:p>
      <w:pPr>
        <w:spacing w:after="80" w:line="254" w:lineRule="auto"/>
        <w:ind w:left="312" w:hanging="198"/>
      </w:pPr>
      <w:r>
        <w:t>5.  Verify database connectivity and functional data endpoint—not just process health.</w:t>
      </w:r>
    </w:p>
    <w:p>
      <w:pPr>
        <w:spacing w:after="80" w:line="254" w:lineRule="auto"/>
      </w:pPr>
      <w:r>
        <w:br w:type="page"/>
      </w:r>
    </w:p>
    <w:p>
      <w:pPr>
        <w:pStyle w:val="Heading1"/>
      </w:pPr>
      <w:r>
        <w:t>15. Frappe Migration Architecture</w:t>
      </w:r>
    </w:p>
    <w:p>
      <w:pPr>
        <w:pStyle w:val="Heading2"/>
        <w:spacing w:after="80" w:line="259" w:lineRule="auto"/>
      </w:pPr>
      <w:r>
        <w:t>15.1 Migration strategy</w:t>
      </w:r>
    </w:p>
    <w:p>
      <w:pPr>
        <w:spacing w:after="80" w:line="254" w:lineRule="auto"/>
      </w:pPr>
      <w:r>
        <w:t>Rescue-Net menggunakan migration-by-module, bukan big-bang. FastAPI/PostgreSQL tetap source of truth sampai module terkait lulus UAT dan cutover eksplisit disetujui. Existing UI dapat memakai compatibility bridge selama native Frappe UX belum final.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17365D"/>
            <w:tcMar>
              <w:top w:w="80" w:type="dxa"/>
              <w:start w:w="100" w:type="dxa"/>
              <w:bottom w:w="80" w:type="dxa"/>
              <w:end w:w="100" w:type="dxa"/>
            </w:tcMar>
            <w:vAlign w:val="center"/>
          </w:tcPr>
          <w:p>
            <w:pPr>
              <w:jc w:val="center"/>
            </w:pPr>
            <w:r>
              <w:rPr>
                <w:b/>
                <w:color w:val="FFFFFF"/>
                <w:sz w:val="16"/>
              </w:rPr>
              <w:t>Gate</w:t>
            </w:r>
          </w:p>
        </w:tc>
        <w:tc>
          <w:tcPr>
            <w:tcW w:type="dxa" w:w="7597"/>
            <w:shd w:fill="17365D"/>
            <w:tcMar>
              <w:top w:w="80" w:type="dxa"/>
              <w:start w:w="100" w:type="dxa"/>
              <w:bottom w:w="80" w:type="dxa"/>
              <w:end w:w="100" w:type="dxa"/>
            </w:tcMar>
            <w:vAlign w:val="center"/>
          </w:tcPr>
          <w:p>
            <w:pPr>
              <w:jc w:val="center"/>
            </w:pPr>
            <w:r>
              <w:rPr>
                <w:b/>
                <w:color w:val="FFFFFF"/>
                <w:sz w:val="16"/>
              </w:rPr>
              <w:t>Definition</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DocType coverage</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Target fields mencakup source table/API semantics.</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Idempotent import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Importer dapat dijalankan ulang tanpa duplicate or destructive mutation.</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Count parity</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Source/target counts atau reconciled deltas dapat dijelaskan.</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Semantic UAT</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Create/read/update/state transitions mengikuti legacy/domain rule.</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Permissions</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Admin/command/Posko/verifier/public/donor scopes diuji.</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Audit preservation</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History/provenance dipertahankan atau intentionally transformed.</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Compatibility</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Existing UI/API consumer tidak diputus sebelum replacement siap.</w:t>
            </w:r>
          </w:p>
        </w:tc>
      </w:tr>
      <w:tr>
        <w:tc>
          <w:tcPr>
            <w:tcW w:type="dxa" w:w="2268"/>
            <w:tcMar>
              <w:top w:w="80" w:type="dxa"/>
              <w:start w:w="100" w:type="dxa"/>
              <w:bottom w:w="80" w:type="dxa"/>
              <w:end w:w="100" w:type="dxa"/>
            </w:tcMar>
            <w:vAlign w:val="top"/>
            <w:shd w:fill="FAFBFC"/>
          </w:tcPr>
          <w:p>
            <w:pPr>
              <w:spacing w:after="0" w:line="240" w:lineRule="auto"/>
            </w:pPr>
            <w:r>
              <w:rPr>
                <w:rFonts w:ascii="Arial" w:hAnsi="Arial"/>
                <w:b/>
                <w:color w:val="1F2937"/>
                <w:sz w:val="16"/>
              </w:rPr>
              <w:t>Rollback</w:t>
            </w:r>
          </w:p>
        </w:tc>
        <w:tc>
          <w:tcPr>
            <w:tcW w:type="dxa" w:w="7597"/>
            <w:tcMar>
              <w:top w:w="80" w:type="dxa"/>
              <w:start w:w="100" w:type="dxa"/>
              <w:bottom w:w="80" w:type="dxa"/>
              <w:end w:w="100" w:type="dxa"/>
            </w:tcMar>
            <w:vAlign w:val="top"/>
            <w:shd w:fill="FAFBFC"/>
          </w:tcPr>
          <w:p>
            <w:pPr>
              <w:spacing w:after="0" w:line="240" w:lineRule="auto"/>
            </w:pPr>
            <w:r>
              <w:rPr>
                <w:rFonts w:ascii="Arial" w:hAnsi="Arial"/>
                <w:b w:val="0"/>
                <w:color w:val="1F2937"/>
                <w:sz w:val="16"/>
              </w:rPr>
              <w:t>Production route dan source remain recoverable.</w:t>
            </w:r>
          </w:p>
        </w:tc>
      </w:tr>
      <w:tr>
        <w:tc>
          <w:tcPr>
            <w:tcW w:type="dxa" w:w="2268"/>
            <w:tcMar>
              <w:top w:w="80" w:type="dxa"/>
              <w:start w:w="100" w:type="dxa"/>
              <w:bottom w:w="80" w:type="dxa"/>
              <w:end w:w="100" w:type="dxa"/>
            </w:tcMar>
            <w:vAlign w:val="top"/>
          </w:tcPr>
          <w:p>
            <w:pPr>
              <w:spacing w:after="0" w:line="240" w:lineRule="auto"/>
            </w:pPr>
            <w:r>
              <w:rPr>
                <w:rFonts w:ascii="Arial" w:hAnsi="Arial"/>
                <w:b/>
                <w:color w:val="1F2937"/>
                <w:sz w:val="16"/>
              </w:rPr>
              <w:t>Explicit cutover</w:t>
            </w:r>
          </w:p>
        </w:tc>
        <w:tc>
          <w:tcPr>
            <w:tcW w:type="dxa" w:w="7597"/>
            <w:tcMar>
              <w:top w:w="80" w:type="dxa"/>
              <w:start w:w="100" w:type="dxa"/>
              <w:bottom w:w="80" w:type="dxa"/>
              <w:end w:w="100" w:type="dxa"/>
            </w:tcMar>
            <w:vAlign w:val="top"/>
          </w:tcPr>
          <w:p>
            <w:pPr>
              <w:spacing w:after="0" w:line="240" w:lineRule="auto"/>
            </w:pPr>
            <w:r>
              <w:rPr>
                <w:rFonts w:ascii="Arial" w:hAnsi="Arial"/>
                <w:b w:val="0"/>
                <w:color w:val="1F2937"/>
                <w:sz w:val="16"/>
              </w:rPr>
              <w:t>Tidak ada reroute hanya karena shadow terlihat sehat.</w:t>
            </w:r>
          </w:p>
        </w:tc>
      </w:tr>
    </w:tbl>
    <w:p>
      <w:pPr>
        <w:spacing w:after="80" w:line="254" w:lineRule="auto"/>
      </w:pPr>
    </w:p>
    <w:p>
      <w:pPr>
        <w:pStyle w:val="Heading2"/>
        <w:spacing w:after="80" w:line="259" w:lineRule="auto"/>
      </w:pPr>
      <w:r>
        <w:t>15.2 Current platform versions in shadow/pilot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835"/>
            <w:shd w:fill="0E7490"/>
            <w:tcMar>
              <w:top w:w="80" w:type="dxa"/>
              <w:start w:w="100" w:type="dxa"/>
              <w:bottom w:w="80" w:type="dxa"/>
              <w:end w:w="100" w:type="dxa"/>
            </w:tcMar>
            <w:vAlign w:val="center"/>
          </w:tcPr>
          <w:p>
            <w:pPr>
              <w:jc w:val="center"/>
            </w:pPr>
            <w:r>
              <w:rPr>
                <w:b/>
                <w:color w:val="FFFFFF"/>
                <w:sz w:val="16"/>
              </w:rPr>
              <w:t>Component</w:t>
            </w:r>
          </w:p>
        </w:tc>
        <w:tc>
          <w:tcPr>
            <w:tcW w:type="dxa" w:w="7030"/>
            <w:shd w:fill="0E7490"/>
            <w:tcMar>
              <w:top w:w="80" w:type="dxa"/>
              <w:start w:w="100" w:type="dxa"/>
              <w:bottom w:w="80" w:type="dxa"/>
              <w:end w:w="100" w:type="dxa"/>
            </w:tcMar>
            <w:vAlign w:val="center"/>
          </w:tcPr>
          <w:p>
            <w:pPr>
              <w:jc w:val="center"/>
            </w:pPr>
            <w:r>
              <w:rPr>
                <w:b/>
                <w:color w:val="FFFFFF"/>
                <w:sz w:val="16"/>
              </w:rPr>
              <w:t>Observed Version / State</w:t>
            </w:r>
          </w:p>
        </w:tc>
      </w:tr>
      <w:tr>
        <w:tc>
          <w:tcPr>
            <w:tcW w:type="dxa" w:w="2835"/>
            <w:tcMar>
              <w:top w:w="80" w:type="dxa"/>
              <w:start w:w="100" w:type="dxa"/>
              <w:bottom w:w="80" w:type="dxa"/>
              <w:end w:w="100" w:type="dxa"/>
            </w:tcMar>
            <w:vAlign w:val="top"/>
          </w:tcPr>
          <w:p>
            <w:pPr>
              <w:spacing w:after="0" w:line="240" w:lineRule="auto"/>
            </w:pPr>
            <w:r>
              <w:rPr>
                <w:rFonts w:ascii="Arial" w:hAnsi="Arial"/>
                <w:b/>
                <w:color w:val="1F2937"/>
                <w:sz w:val="16"/>
              </w:rPr>
              <w:t>Frappe</w:t>
            </w:r>
          </w:p>
        </w:tc>
        <w:tc>
          <w:tcPr>
            <w:tcW w:type="dxa" w:w="7030"/>
            <w:tcMar>
              <w:top w:w="80" w:type="dxa"/>
              <w:start w:w="100" w:type="dxa"/>
              <w:bottom w:w="80" w:type="dxa"/>
              <w:end w:w="100" w:type="dxa"/>
            </w:tcMar>
            <w:vAlign w:val="top"/>
          </w:tcPr>
          <w:p>
            <w:pPr>
              <w:spacing w:after="0" w:line="240" w:lineRule="auto"/>
            </w:pPr>
            <w:r>
              <w:rPr>
                <w:rFonts w:ascii="Arial" w:hAnsi="Arial"/>
                <w:b w:val="0"/>
                <w:color w:val="1F2937"/>
                <w:sz w:val="16"/>
              </w:rPr>
              <w:t>15.113.4</w:t>
            </w:r>
          </w:p>
        </w:tc>
      </w:tr>
      <w:tr>
        <w:tc>
          <w:tcPr>
            <w:tcW w:type="dxa" w:w="2835"/>
            <w:tcMar>
              <w:top w:w="80" w:type="dxa"/>
              <w:start w:w="100" w:type="dxa"/>
              <w:bottom w:w="80" w:type="dxa"/>
              <w:end w:w="100" w:type="dxa"/>
            </w:tcMar>
            <w:vAlign w:val="top"/>
            <w:shd w:fill="FAFBFC"/>
          </w:tcPr>
          <w:p>
            <w:pPr>
              <w:spacing w:after="0" w:line="240" w:lineRule="auto"/>
            </w:pPr>
            <w:r>
              <w:rPr>
                <w:rFonts w:ascii="Arial" w:hAnsi="Arial"/>
                <w:b/>
                <w:color w:val="1F2937"/>
                <w:sz w:val="16"/>
              </w:rPr>
              <w:t>ERPNext</w:t>
            </w:r>
          </w:p>
        </w:tc>
        <w:tc>
          <w:tcPr>
            <w:tcW w:type="dxa" w:w="7030"/>
            <w:tcMar>
              <w:top w:w="80" w:type="dxa"/>
              <w:start w:w="100" w:type="dxa"/>
              <w:bottom w:w="80" w:type="dxa"/>
              <w:end w:w="100" w:type="dxa"/>
            </w:tcMar>
            <w:vAlign w:val="top"/>
            <w:shd w:fill="FAFBFC"/>
          </w:tcPr>
          <w:p>
            <w:pPr>
              <w:spacing w:after="0" w:line="240" w:lineRule="auto"/>
            </w:pPr>
            <w:r>
              <w:rPr>
                <w:rFonts w:ascii="Arial" w:hAnsi="Arial"/>
                <w:b w:val="0"/>
                <w:color w:val="1F2937"/>
                <w:sz w:val="16"/>
              </w:rPr>
              <w:t>15.115.0</w:t>
            </w:r>
          </w:p>
        </w:tc>
      </w:tr>
      <w:tr>
        <w:tc>
          <w:tcPr>
            <w:tcW w:type="dxa" w:w="2835"/>
            <w:tcMar>
              <w:top w:w="80" w:type="dxa"/>
              <w:start w:w="100" w:type="dxa"/>
              <w:bottom w:w="80" w:type="dxa"/>
              <w:end w:w="100" w:type="dxa"/>
            </w:tcMar>
            <w:vAlign w:val="top"/>
          </w:tcPr>
          <w:p>
            <w:pPr>
              <w:spacing w:after="0" w:line="240" w:lineRule="auto"/>
            </w:pPr>
            <w:r>
              <w:rPr>
                <w:rFonts w:ascii="Arial" w:hAnsi="Arial"/>
                <w:b/>
                <w:color w:val="1F2937"/>
                <w:sz w:val="16"/>
              </w:rPr>
              <w:t>rescue_net app</w:t>
            </w:r>
          </w:p>
        </w:tc>
        <w:tc>
          <w:tcPr>
            <w:tcW w:type="dxa" w:w="7030"/>
            <w:tcMar>
              <w:top w:w="80" w:type="dxa"/>
              <w:start w:w="100" w:type="dxa"/>
              <w:bottom w:w="80" w:type="dxa"/>
              <w:end w:w="100" w:type="dxa"/>
            </w:tcMar>
            <w:vAlign w:val="top"/>
          </w:tcPr>
          <w:p>
            <w:pPr>
              <w:spacing w:after="0" w:line="240" w:lineRule="auto"/>
            </w:pPr>
            <w:r>
              <w:rPr>
                <w:rFonts w:ascii="Arial" w:hAnsi="Arial"/>
                <w:b w:val="0"/>
                <w:color w:val="1F2937"/>
                <w:sz w:val="16"/>
              </w:rPr>
              <w:t>0.0.1</w:t>
            </w:r>
          </w:p>
        </w:tc>
      </w:tr>
      <w:tr>
        <w:tc>
          <w:tcPr>
            <w:tcW w:type="dxa" w:w="2835"/>
            <w:tcMar>
              <w:top w:w="80" w:type="dxa"/>
              <w:start w:w="100" w:type="dxa"/>
              <w:bottom w:w="80" w:type="dxa"/>
              <w:end w:w="100" w:type="dxa"/>
            </w:tcMar>
            <w:vAlign w:val="top"/>
            <w:shd w:fill="FAFBFC"/>
          </w:tcPr>
          <w:p>
            <w:pPr>
              <w:spacing w:after="0" w:line="240" w:lineRule="auto"/>
            </w:pPr>
            <w:r>
              <w:rPr>
                <w:rFonts w:ascii="Arial" w:hAnsi="Arial"/>
                <w:b/>
                <w:color w:val="1F2937"/>
                <w:sz w:val="16"/>
              </w:rPr>
              <w:t>Mode</w:t>
            </w:r>
          </w:p>
        </w:tc>
        <w:tc>
          <w:tcPr>
            <w:tcW w:type="dxa" w:w="7030"/>
            <w:tcMar>
              <w:top w:w="80" w:type="dxa"/>
              <w:start w:w="100" w:type="dxa"/>
              <w:bottom w:w="80" w:type="dxa"/>
              <w:end w:w="100" w:type="dxa"/>
            </w:tcMar>
            <w:vAlign w:val="top"/>
            <w:shd w:fill="FAFBFC"/>
          </w:tcPr>
          <w:p>
            <w:pPr>
              <w:spacing w:after="0" w:line="240" w:lineRule="auto"/>
            </w:pPr>
            <w:r>
              <w:rPr>
                <w:rFonts w:ascii="Arial" w:hAnsi="Arial"/>
                <w:b w:val="0"/>
                <w:color w:val="1F2937"/>
                <w:sz w:val="16"/>
              </w:rPr>
              <w:t>Shadow / pilot; no production cutover</w:t>
            </w:r>
          </w:p>
        </w:tc>
      </w:tr>
      <w:tr>
        <w:tc>
          <w:tcPr>
            <w:tcW w:type="dxa" w:w="2835"/>
            <w:tcMar>
              <w:top w:w="80" w:type="dxa"/>
              <w:start w:w="100" w:type="dxa"/>
              <w:bottom w:w="80" w:type="dxa"/>
              <w:end w:w="100" w:type="dxa"/>
            </w:tcMar>
            <w:vAlign w:val="top"/>
          </w:tcPr>
          <w:p>
            <w:pPr>
              <w:spacing w:after="0" w:line="240" w:lineRule="auto"/>
            </w:pPr>
            <w:r>
              <w:rPr>
                <w:rFonts w:ascii="Arial" w:hAnsi="Arial"/>
                <w:b/>
                <w:color w:val="1F2937"/>
                <w:sz w:val="16"/>
              </w:rPr>
              <w:t>Public UAT</w:t>
            </w:r>
          </w:p>
        </w:tc>
        <w:tc>
          <w:tcPr>
            <w:tcW w:type="dxa" w:w="7030"/>
            <w:tcMar>
              <w:top w:w="80" w:type="dxa"/>
              <w:start w:w="100" w:type="dxa"/>
              <w:bottom w:w="80" w:type="dxa"/>
              <w:end w:w="100" w:type="dxa"/>
            </w:tcMar>
            <w:vAlign w:val="top"/>
          </w:tcPr>
          <w:p>
            <w:pPr>
              <w:spacing w:after="0" w:line="240" w:lineRule="auto"/>
            </w:pPr>
            <w:r>
              <w:rPr>
                <w:rFonts w:ascii="Arial" w:hAnsi="Arial"/>
                <w:b w:val="0"/>
                <w:color w:val="1F2937"/>
                <w:sz w:val="16"/>
              </w:rPr>
              <w:t>Dedicated Frappe public endpoint on the same host environment</w:t>
            </w:r>
          </w:p>
        </w:tc>
      </w:tr>
    </w:tbl>
    <w:p>
      <w:pPr>
        <w:spacing w:after="80" w:line="254" w:lineRule="auto"/>
      </w:pPr>
    </w:p>
    <w:p>
      <w:pPr>
        <w:spacing w:after="80" w:line="254" w:lineRule="auto"/>
      </w:pPr>
      <w:r>
        <w:br w:type="page"/>
      </w:r>
    </w:p>
    <w:p>
      <w:pPr>
        <w:pStyle w:val="Heading1"/>
      </w:pPr>
      <w:r>
        <w:t>16. Current Implementation Snapshot</w:t>
      </w:r>
    </w:p>
    <w:p>
      <w:pPr>
        <w:pStyle w:val="RNSmall"/>
        <w:spacing w:after="140"/>
      </w:pPr>
      <w:r>
        <w:t>Snapshot based on implementation/UAT activity through 24 August 2026. “Implemented” does not imply production cutover.</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24"/>
            <w:shd w:fill="0E7490"/>
            <w:tcMar>
              <w:top w:w="80" w:type="dxa"/>
              <w:start w:w="100" w:type="dxa"/>
              <w:bottom w:w="80" w:type="dxa"/>
              <w:end w:w="100" w:type="dxa"/>
            </w:tcMar>
            <w:vAlign w:val="center"/>
          </w:tcPr>
          <w:p>
            <w:pPr>
              <w:jc w:val="center"/>
            </w:pPr>
            <w:r>
              <w:rPr>
                <w:b/>
                <w:color w:val="FFFFFF"/>
                <w:sz w:val="15"/>
              </w:rPr>
              <w:t>Module</w:t>
            </w:r>
          </w:p>
        </w:tc>
        <w:tc>
          <w:tcPr>
            <w:tcW w:type="dxa" w:w="2154"/>
            <w:shd w:fill="0E7490"/>
            <w:tcMar>
              <w:top w:w="80" w:type="dxa"/>
              <w:start w:w="100" w:type="dxa"/>
              <w:bottom w:w="80" w:type="dxa"/>
              <w:end w:w="100" w:type="dxa"/>
            </w:tcMar>
            <w:vAlign w:val="center"/>
          </w:tcPr>
          <w:p>
            <w:pPr>
              <w:jc w:val="center"/>
            </w:pPr>
            <w:r>
              <w:rPr>
                <w:b/>
                <w:color w:val="FFFFFF"/>
                <w:sz w:val="15"/>
              </w:rPr>
              <w:t>Status</w:t>
            </w:r>
          </w:p>
        </w:tc>
        <w:tc>
          <w:tcPr>
            <w:tcW w:type="dxa" w:w="5386"/>
            <w:shd w:fill="0E7490"/>
            <w:tcMar>
              <w:top w:w="80" w:type="dxa"/>
              <w:start w:w="100" w:type="dxa"/>
              <w:bottom w:w="80" w:type="dxa"/>
              <w:end w:w="100" w:type="dxa"/>
            </w:tcMar>
            <w:vAlign w:val="center"/>
          </w:tcPr>
          <w:p>
            <w:pPr>
              <w:jc w:val="center"/>
            </w:pPr>
            <w:r>
              <w:rPr>
                <w:b/>
                <w:color w:val="FFFFFF"/>
                <w:sz w:val="15"/>
              </w:rPr>
              <w:t>Notes</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Community Reporting + Posko</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Native reporting, Posko handling, GPS/admin-area flow.</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Verification / Privacy / Freshness</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Foundation for scoped access and privacy-safe operational views.</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Logistics / Stock / Distribution</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Need, stock observation, aid offer, distribution and transport semantics.</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WhatsApp Posko</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Implemented</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Operational integration path available.</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Medical</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Privacy-first case workflow.</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Shelter</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Occupancy/need separation.</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Volunteer</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Assignment / availability workflow.</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Search &amp; Found</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Restricted identity and safe dashboard principle.</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Resource Tools</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Resource/capability separate from stock/transport.</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Kitchen</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Production/consumption semantics.</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Donor Program</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Backend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Generated UI rejected/removed; redesign deferred to mockup-native Frappe UX.</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Program Khusus</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Backend UAT</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Special budget semantics validated.</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Recovery</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Backend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Progress non-regression, spend accumulation, soft lifecycle.</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AI BYOK + Context</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Backend UAT + bridge</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Privacy-safe context and masked-key handling validated; no real provider call required for UAT.</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5"/>
              </w:rPr>
              <w:t>Logistics Normalization</w:t>
            </w:r>
          </w:p>
        </w:tc>
        <w:tc>
          <w:tcPr>
            <w:tcW w:type="dxa" w:w="2154"/>
            <w:tcMar>
              <w:top w:w="80" w:type="dxa"/>
              <w:start w:w="100" w:type="dxa"/>
              <w:bottom w:w="80" w:type="dxa"/>
              <w:end w:w="100" w:type="dxa"/>
            </w:tcMar>
            <w:vAlign w:val="top"/>
          </w:tcPr>
          <w:p>
            <w:pPr>
              <w:spacing w:after="0" w:line="240" w:lineRule="auto"/>
            </w:pPr>
            <w:r>
              <w:rPr>
                <w:rFonts w:ascii="Arial" w:hAnsi="Arial"/>
                <w:b w:val="0"/>
                <w:color w:val="1F2937"/>
                <w:sz w:val="15"/>
              </w:rPr>
              <w:t>Implemented / UAT</w:t>
            </w:r>
          </w:p>
        </w:tc>
        <w:tc>
          <w:tcPr>
            <w:tcW w:type="dxa" w:w="5386"/>
            <w:tcMar>
              <w:top w:w="80" w:type="dxa"/>
              <w:start w:w="100" w:type="dxa"/>
              <w:bottom w:w="80" w:type="dxa"/>
              <w:end w:w="100" w:type="dxa"/>
            </w:tcMar>
            <w:vAlign w:val="top"/>
          </w:tcPr>
          <w:p>
            <w:pPr>
              <w:spacing w:after="0" w:line="240" w:lineRule="auto"/>
            </w:pPr>
            <w:r>
              <w:rPr>
                <w:rFonts w:ascii="Arial" w:hAnsi="Arial"/>
                <w:b w:val="0"/>
                <w:color w:val="1F2937"/>
                <w:sz w:val="15"/>
              </w:rPr>
              <w:t>Admin-configurable rules + fallback classifier; 11 idempotent baseline rules.</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5"/>
              </w:rPr>
              <w:t>Sync Console / Sync Log</w:t>
            </w:r>
          </w:p>
        </w:tc>
        <w:tc>
          <w:tcPr>
            <w:tcW w:type="dxa" w:w="2154"/>
            <w:tcMar>
              <w:top w:w="80" w:type="dxa"/>
              <w:start w:w="100" w:type="dxa"/>
              <w:bottom w:w="80" w:type="dxa"/>
              <w:end w:w="100" w:type="dxa"/>
            </w:tcMar>
            <w:vAlign w:val="top"/>
            <w:shd w:fill="FAFBFC"/>
          </w:tcPr>
          <w:p>
            <w:pPr>
              <w:spacing w:after="0" w:line="240" w:lineRule="auto"/>
            </w:pPr>
            <w:r>
              <w:rPr>
                <w:rFonts w:ascii="Arial" w:hAnsi="Arial"/>
                <w:b w:val="0"/>
                <w:color w:val="1F2937"/>
                <w:sz w:val="15"/>
              </w:rPr>
              <w:t>Next P2 cluster</w:t>
            </w:r>
          </w:p>
        </w:tc>
        <w:tc>
          <w:tcPr>
            <w:tcW w:type="dxa" w:w="5386"/>
            <w:tcMar>
              <w:top w:w="80" w:type="dxa"/>
              <w:start w:w="100" w:type="dxa"/>
              <w:bottom w:w="80" w:type="dxa"/>
              <w:end w:w="100" w:type="dxa"/>
            </w:tcMar>
            <w:vAlign w:val="top"/>
            <w:shd w:fill="FAFBFC"/>
          </w:tcPr>
          <w:p>
            <w:pPr>
              <w:spacing w:after="0" w:line="240" w:lineRule="auto"/>
            </w:pPr>
            <w:r>
              <w:rPr>
                <w:rFonts w:ascii="Arial" w:hAnsi="Arial"/>
                <w:b w:val="0"/>
                <w:color w:val="1F2937"/>
                <w:sz w:val="15"/>
              </w:rPr>
              <w:t>Planned next after normalization/AI integration stabilization.</w:t>
            </w:r>
          </w:p>
        </w:tc>
      </w:tr>
    </w:tbl>
    <w:p>
      <w:pPr>
        <w:spacing w:after="80" w:line="254" w:lineRule="auto"/>
      </w:pPr>
    </w:p>
    <w:p>
      <w:pPr>
        <w:pStyle w:val="RNSmall"/>
        <w:spacing w:after="80" w:line="259" w:lineRule="auto"/>
      </w:pPr>
      <w:r>
        <w:t>Recent milestone: configurable logistics normalization defaults committed locally as 033a2d4. Local Git history may be ahead of origin; push is intentionally separate from implementation work.</w:t>
      </w:r>
    </w:p>
    <w:p>
      <w:pPr>
        <w:spacing w:after="80" w:line="254" w:lineRule="auto"/>
      </w:pPr>
      <w:r>
        <w:br w:type="page"/>
      </w:r>
    </w:p>
    <w:p>
      <w:pPr>
        <w:pStyle w:val="Heading1"/>
      </w:pPr>
      <w:r>
        <w:t>17. National Scaling Architecture</w:t>
      </w:r>
    </w:p>
    <w:p>
      <w:pPr>
        <w:spacing w:after="80" w:line="254" w:lineRule="auto"/>
        <w:jc w:val="center"/>
      </w:pPr>
      <w:r>
        <w:drawing>
          <wp:inline xmlns:a="http://schemas.openxmlformats.org/drawingml/2006/main" xmlns:pic="http://schemas.openxmlformats.org/drawingml/2006/picture">
            <wp:extent cx="6192000" cy="3563203"/>
            <wp:docPr id="4" name="Picture 4"/>
            <wp:cNvGraphicFramePr>
              <a:graphicFrameLocks noChangeAspect="1"/>
            </wp:cNvGraphicFramePr>
            <a:graphic>
              <a:graphicData uri="http://schemas.openxmlformats.org/drawingml/2006/picture">
                <pic:pic>
                  <pic:nvPicPr>
                    <pic:cNvPr id="0" name="national_scaling.png"/>
                    <pic:cNvPicPr/>
                  </pic:nvPicPr>
                  <pic:blipFill>
                    <a:blip r:embed="rId14"/>
                    <a:stretch>
                      <a:fillRect/>
                    </a:stretch>
                  </pic:blipFill>
                  <pic:spPr>
                    <a:xfrm>
                      <a:off x="0" y="0"/>
                      <a:ext cx="6192000" cy="3563203"/>
                    </a:xfrm>
                    <a:prstGeom prst="rect"/>
                  </pic:spPr>
                </pic:pic>
              </a:graphicData>
            </a:graphic>
          </wp:inline>
        </w:drawing>
      </w:r>
    </w:p>
    <w:p>
      <w:pPr>
        <w:pStyle w:val="RNSmall"/>
        <w:spacing w:after="100"/>
        <w:jc w:val="center"/>
      </w:pPr>
      <w:r>
        <w:t>Federated national model: local operations remain autonomous enough to continue during central connectivity disruption.</w:t>
      </w:r>
    </w:p>
    <w:p>
      <w:pPr>
        <w:pStyle w:val="Heading2"/>
        <w:spacing w:after="80" w:line="259" w:lineRule="auto"/>
      </w:pPr>
      <w:r>
        <w:t>17.1 Scaling principles</w:t>
      </w:r>
    </w:p>
    <w:p>
      <w:pPr>
        <w:pStyle w:val="ListBullet"/>
        <w:spacing w:after="56" w:line="250" w:lineRule="auto"/>
        <w:ind w:left="255" w:hanging="125"/>
      </w:pPr>
      <w:r>
        <w:rPr>
          <w:rFonts w:ascii="Arial" w:hAnsi="Arial"/>
          <w:sz w:val="18"/>
        </w:rPr>
        <w:t>Regional operations continue when central connectivity is disrupted.</w:t>
      </w:r>
    </w:p>
    <w:p>
      <w:pPr>
        <w:pStyle w:val="ListBullet"/>
        <w:spacing w:after="56" w:line="250" w:lineRule="auto"/>
        <w:ind w:left="255" w:hanging="125"/>
      </w:pPr>
      <w:r>
        <w:rPr>
          <w:rFonts w:ascii="Arial" w:hAnsi="Arial"/>
          <w:sz w:val="18"/>
        </w:rPr>
        <w:t>National layer performs federated roll-up and cross-region coordination without deleting local provenance.</w:t>
      </w:r>
    </w:p>
    <w:p>
      <w:pPr>
        <w:pStyle w:val="ListBullet"/>
        <w:spacing w:after="56" w:line="250" w:lineRule="auto"/>
        <w:ind w:left="255" w:hanging="125"/>
      </w:pPr>
      <w:r>
        <w:rPr>
          <w:rFonts w:ascii="Arial" w:hAnsi="Arial"/>
          <w:sz w:val="18"/>
        </w:rPr>
        <w:t>Data sharing follows minimum-necessary principle and clear authority boundaries.</w:t>
      </w:r>
    </w:p>
    <w:p>
      <w:pPr>
        <w:pStyle w:val="ListBullet"/>
        <w:spacing w:after="56" w:line="250" w:lineRule="auto"/>
        <w:ind w:left="255" w:hanging="125"/>
      </w:pPr>
      <w:r>
        <w:rPr>
          <w:rFonts w:ascii="Arial" w:hAnsi="Arial"/>
          <w:sz w:val="18"/>
        </w:rPr>
        <w:t>Rollout progresses through lab → tabletop → single district → multi-district → provincial → inter-provincial → national integration.</w:t>
      </w:r>
    </w:p>
    <w:p>
      <w:pPr>
        <w:pStyle w:val="Heading2"/>
        <w:spacing w:after="80" w:line="259" w:lineRule="auto"/>
      </w:pPr>
      <w:r>
        <w:t>17.2 Operating model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24"/>
            <w:shd w:fill="17365D"/>
            <w:tcMar>
              <w:top w:w="80" w:type="dxa"/>
              <w:start w:w="100" w:type="dxa"/>
              <w:bottom w:w="80" w:type="dxa"/>
              <w:end w:w="100" w:type="dxa"/>
            </w:tcMar>
            <w:vAlign w:val="center"/>
          </w:tcPr>
          <w:p>
            <w:pPr>
              <w:jc w:val="center"/>
            </w:pPr>
            <w:r>
              <w:rPr>
                <w:b/>
                <w:color w:val="FFFFFF"/>
                <w:sz w:val="16"/>
              </w:rPr>
              <w:t>Level</w:t>
            </w:r>
          </w:p>
        </w:tc>
        <w:tc>
          <w:tcPr>
            <w:tcW w:type="dxa" w:w="7540"/>
            <w:shd w:fill="17365D"/>
            <w:tcMar>
              <w:top w:w="80" w:type="dxa"/>
              <w:start w:w="100" w:type="dxa"/>
              <w:bottom w:w="80" w:type="dxa"/>
              <w:end w:w="100" w:type="dxa"/>
            </w:tcMar>
            <w:vAlign w:val="center"/>
          </w:tcPr>
          <w:p>
            <w:pPr>
              <w:jc w:val="center"/>
            </w:pPr>
            <w:r>
              <w:rPr>
                <w:b/>
                <w:color w:val="FFFFFF"/>
                <w:sz w:val="16"/>
              </w:rPr>
              <w:t>Role</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6"/>
              </w:rPr>
              <w:t>National</w:t>
            </w:r>
          </w:p>
        </w:tc>
        <w:tc>
          <w:tcPr>
            <w:tcW w:type="dxa" w:w="7540"/>
            <w:tcMar>
              <w:top w:w="80" w:type="dxa"/>
              <w:start w:w="100" w:type="dxa"/>
              <w:bottom w:w="80" w:type="dxa"/>
              <w:end w:w="100" w:type="dxa"/>
            </w:tcMar>
            <w:vAlign w:val="top"/>
          </w:tcPr>
          <w:p>
            <w:pPr>
              <w:spacing w:after="0" w:line="240" w:lineRule="auto"/>
            </w:pPr>
            <w:r>
              <w:rPr>
                <w:rFonts w:ascii="Arial" w:hAnsi="Arial"/>
                <w:b w:val="0"/>
                <w:color w:val="1F2937"/>
                <w:sz w:val="16"/>
              </w:rPr>
              <w:t>Standards, national roll-up, cross-region resource coordination, governance.</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6"/>
              </w:rPr>
              <w:t>Provincial</w:t>
            </w:r>
          </w:p>
        </w:tc>
        <w:tc>
          <w:tcPr>
            <w:tcW w:type="dxa" w:w="7540"/>
            <w:tcMar>
              <w:top w:w="80" w:type="dxa"/>
              <w:start w:w="100" w:type="dxa"/>
              <w:bottom w:w="80" w:type="dxa"/>
              <w:end w:w="100" w:type="dxa"/>
            </w:tcMar>
            <w:vAlign w:val="top"/>
            <w:shd w:fill="FAFBFC"/>
          </w:tcPr>
          <w:p>
            <w:pPr>
              <w:spacing w:after="0" w:line="240" w:lineRule="auto"/>
            </w:pPr>
            <w:r>
              <w:rPr>
                <w:rFonts w:ascii="Arial" w:hAnsi="Arial"/>
                <w:b w:val="0"/>
                <w:color w:val="1F2937"/>
                <w:sz w:val="16"/>
              </w:rPr>
              <w:t>Regional coordination, escalation, stewardship.</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6"/>
              </w:rPr>
              <w:t>District / City</w:t>
            </w:r>
          </w:p>
        </w:tc>
        <w:tc>
          <w:tcPr>
            <w:tcW w:type="dxa" w:w="7540"/>
            <w:tcMar>
              <w:top w:w="80" w:type="dxa"/>
              <w:start w:w="100" w:type="dxa"/>
              <w:bottom w:w="80" w:type="dxa"/>
              <w:end w:w="100" w:type="dxa"/>
            </w:tcMar>
            <w:vAlign w:val="top"/>
          </w:tcPr>
          <w:p>
            <w:pPr>
              <w:spacing w:after="0" w:line="240" w:lineRule="auto"/>
            </w:pPr>
            <w:r>
              <w:rPr>
                <w:rFonts w:ascii="Arial" w:hAnsi="Arial"/>
                <w:b w:val="0"/>
                <w:color w:val="1F2937"/>
                <w:sz w:val="16"/>
              </w:rPr>
              <w:t>Operational command, data quality, local authority.</w:t>
            </w:r>
          </w:p>
        </w:tc>
      </w:tr>
      <w:tr>
        <w:tc>
          <w:tcPr>
            <w:tcW w:type="dxa" w:w="2324"/>
            <w:tcMar>
              <w:top w:w="80" w:type="dxa"/>
              <w:start w:w="100" w:type="dxa"/>
              <w:bottom w:w="80" w:type="dxa"/>
              <w:end w:w="100" w:type="dxa"/>
            </w:tcMar>
            <w:vAlign w:val="top"/>
            <w:shd w:fill="FAFBFC"/>
          </w:tcPr>
          <w:p>
            <w:pPr>
              <w:spacing w:after="0" w:line="240" w:lineRule="auto"/>
            </w:pPr>
            <w:r>
              <w:rPr>
                <w:rFonts w:ascii="Arial" w:hAnsi="Arial"/>
                <w:b/>
                <w:color w:val="1F2937"/>
                <w:sz w:val="16"/>
              </w:rPr>
              <w:t>Village / Posko</w:t>
            </w:r>
          </w:p>
        </w:tc>
        <w:tc>
          <w:tcPr>
            <w:tcW w:type="dxa" w:w="7540"/>
            <w:tcMar>
              <w:top w:w="80" w:type="dxa"/>
              <w:start w:w="100" w:type="dxa"/>
              <w:bottom w:w="80" w:type="dxa"/>
              <w:end w:w="100" w:type="dxa"/>
            </w:tcMar>
            <w:vAlign w:val="top"/>
            <w:shd w:fill="FAFBFC"/>
          </w:tcPr>
          <w:p>
            <w:pPr>
              <w:spacing w:after="0" w:line="240" w:lineRule="auto"/>
            </w:pPr>
            <w:r>
              <w:rPr>
                <w:rFonts w:ascii="Arial" w:hAnsi="Arial"/>
                <w:b w:val="0"/>
                <w:color w:val="1F2937"/>
                <w:sz w:val="16"/>
              </w:rPr>
              <w:t>Field capture, verification, distribution evidence, local response.</w:t>
            </w:r>
          </w:p>
        </w:tc>
      </w:tr>
      <w:tr>
        <w:tc>
          <w:tcPr>
            <w:tcW w:type="dxa" w:w="2324"/>
            <w:tcMar>
              <w:top w:w="80" w:type="dxa"/>
              <w:start w:w="100" w:type="dxa"/>
              <w:bottom w:w="80" w:type="dxa"/>
              <w:end w:w="100" w:type="dxa"/>
            </w:tcMar>
            <w:vAlign w:val="top"/>
          </w:tcPr>
          <w:p>
            <w:pPr>
              <w:spacing w:after="0" w:line="240" w:lineRule="auto"/>
            </w:pPr>
            <w:r>
              <w:rPr>
                <w:rFonts w:ascii="Arial" w:hAnsi="Arial"/>
                <w:b/>
                <w:color w:val="1F2937"/>
                <w:sz w:val="16"/>
              </w:rPr>
              <w:t>Organization</w:t>
            </w:r>
          </w:p>
        </w:tc>
        <w:tc>
          <w:tcPr>
            <w:tcW w:type="dxa" w:w="7540"/>
            <w:tcMar>
              <w:top w:w="80" w:type="dxa"/>
              <w:start w:w="100" w:type="dxa"/>
              <w:bottom w:w="80" w:type="dxa"/>
              <w:end w:w="100" w:type="dxa"/>
            </w:tcMar>
            <w:vAlign w:val="top"/>
          </w:tcPr>
          <w:p>
            <w:pPr>
              <w:spacing w:after="0" w:line="240" w:lineRule="auto"/>
            </w:pPr>
            <w:r>
              <w:rPr>
                <w:rFonts w:ascii="Arial" w:hAnsi="Arial"/>
                <w:b w:val="0"/>
                <w:color w:val="1F2937"/>
                <w:sz w:val="16"/>
              </w:rPr>
              <w:t>Resources, verifier contribution, operational support.</w:t>
            </w:r>
          </w:p>
        </w:tc>
      </w:tr>
    </w:tbl>
    <w:p>
      <w:pPr>
        <w:spacing w:after="80" w:line="254" w:lineRule="auto"/>
      </w:pPr>
    </w:p>
    <w:p>
      <w:pPr>
        <w:spacing w:after="80" w:line="254" w:lineRule="auto"/>
      </w:pPr>
      <w:r>
        <w:br w:type="page"/>
      </w:r>
    </w:p>
    <w:p>
      <w:pPr>
        <w:pStyle w:val="Heading1"/>
      </w:pPr>
      <w:r>
        <w:t>18. Quality Gates, KPIs &amp; Roadmap</w:t>
      </w:r>
    </w:p>
    <w:p>
      <w:pPr>
        <w:pStyle w:val="Heading2"/>
        <w:spacing w:after="80" w:line="259" w:lineRule="auto"/>
      </w:pPr>
      <w:r>
        <w:t>18.1 Recommended operational KPIs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58"/>
            <w:shd w:fill="0E7490"/>
            <w:tcMar>
              <w:top w:w="80" w:type="dxa"/>
              <w:start w:w="100" w:type="dxa"/>
              <w:bottom w:w="80" w:type="dxa"/>
              <w:end w:w="100" w:type="dxa"/>
            </w:tcMar>
            <w:vAlign w:val="center"/>
          </w:tcPr>
          <w:p>
            <w:pPr>
              <w:jc w:val="center"/>
            </w:pPr>
            <w:r>
              <w:rPr>
                <w:b/>
                <w:color w:val="FFFFFF"/>
                <w:sz w:val="15"/>
              </w:rPr>
              <w:t>KPI</w:t>
            </w:r>
          </w:p>
        </w:tc>
        <w:tc>
          <w:tcPr>
            <w:tcW w:type="dxa" w:w="6406"/>
            <w:shd w:fill="0E7490"/>
            <w:tcMar>
              <w:top w:w="80" w:type="dxa"/>
              <w:start w:w="100" w:type="dxa"/>
              <w:bottom w:w="80" w:type="dxa"/>
              <w:end w:w="100" w:type="dxa"/>
            </w:tcMar>
            <w:vAlign w:val="center"/>
          </w:tcPr>
          <w:p>
            <w:pPr>
              <w:jc w:val="center"/>
            </w:pPr>
            <w:r>
              <w:rPr>
                <w:b/>
                <w:color w:val="FFFFFF"/>
                <w:sz w:val="15"/>
              </w:rPr>
              <w:t>Purpose</w:t>
            </w:r>
          </w:p>
        </w:tc>
      </w:tr>
      <w:tr>
        <w:tc>
          <w:tcPr>
            <w:tcW w:type="dxa" w:w="3458"/>
            <w:tcMar>
              <w:top w:w="80" w:type="dxa"/>
              <w:start w:w="100" w:type="dxa"/>
              <w:bottom w:w="80" w:type="dxa"/>
              <w:end w:w="100" w:type="dxa"/>
            </w:tcMar>
            <w:vAlign w:val="top"/>
          </w:tcPr>
          <w:p>
            <w:pPr>
              <w:spacing w:after="0" w:line="240" w:lineRule="auto"/>
            </w:pPr>
            <w:r>
              <w:rPr>
                <w:rFonts w:ascii="Arial" w:hAnsi="Arial"/>
                <w:b/>
                <w:color w:val="1F2937"/>
                <w:sz w:val="15"/>
              </w:rPr>
              <w:t>Report → first review time</w:t>
            </w:r>
          </w:p>
        </w:tc>
        <w:tc>
          <w:tcPr>
            <w:tcW w:type="dxa" w:w="6406"/>
            <w:tcMar>
              <w:top w:w="80" w:type="dxa"/>
              <w:start w:w="100" w:type="dxa"/>
              <w:bottom w:w="80" w:type="dxa"/>
              <w:end w:w="100" w:type="dxa"/>
            </w:tcMar>
            <w:vAlign w:val="top"/>
          </w:tcPr>
          <w:p>
            <w:pPr>
              <w:spacing w:after="0" w:line="240" w:lineRule="auto"/>
            </w:pPr>
            <w:r>
              <w:rPr>
                <w:rFonts w:ascii="Arial" w:hAnsi="Arial"/>
                <w:b w:val="0"/>
                <w:color w:val="1F2937"/>
                <w:sz w:val="15"/>
              </w:rPr>
              <w:t>Mengukur kecepatan triage tanpa mengorbankan quality.</w:t>
            </w:r>
          </w:p>
        </w:tc>
      </w:tr>
      <w:tr>
        <w:tc>
          <w:tcPr>
            <w:tcW w:type="dxa" w:w="3458"/>
            <w:tcMar>
              <w:top w:w="80" w:type="dxa"/>
              <w:start w:w="100" w:type="dxa"/>
              <w:bottom w:w="80" w:type="dxa"/>
              <w:end w:w="100" w:type="dxa"/>
            </w:tcMar>
            <w:vAlign w:val="top"/>
            <w:shd w:fill="FAFBFC"/>
          </w:tcPr>
          <w:p>
            <w:pPr>
              <w:spacing w:after="0" w:line="240" w:lineRule="auto"/>
            </w:pPr>
            <w:r>
              <w:rPr>
                <w:rFonts w:ascii="Arial" w:hAnsi="Arial"/>
                <w:b/>
                <w:color w:val="1F2937"/>
                <w:sz w:val="15"/>
              </w:rPr>
              <w:t>Duplicate/overlap candidate rate</w:t>
            </w:r>
          </w:p>
        </w:tc>
        <w:tc>
          <w:tcPr>
            <w:tcW w:type="dxa" w:w="6406"/>
            <w:tcMar>
              <w:top w:w="80" w:type="dxa"/>
              <w:start w:w="100" w:type="dxa"/>
              <w:bottom w:w="80" w:type="dxa"/>
              <w:end w:w="100" w:type="dxa"/>
            </w:tcMar>
            <w:vAlign w:val="top"/>
            <w:shd w:fill="FAFBFC"/>
          </w:tcPr>
          <w:p>
            <w:pPr>
              <w:spacing w:after="0" w:line="240" w:lineRule="auto"/>
            </w:pPr>
            <w:r>
              <w:rPr>
                <w:rFonts w:ascii="Arial" w:hAnsi="Arial"/>
                <w:b w:val="0"/>
                <w:color w:val="1F2937"/>
                <w:sz w:val="15"/>
              </w:rPr>
              <w:t>Mengukur data noise dan kebutuhan consolidation review.</w:t>
            </w:r>
          </w:p>
        </w:tc>
      </w:tr>
      <w:tr>
        <w:tc>
          <w:tcPr>
            <w:tcW w:type="dxa" w:w="3458"/>
            <w:tcMar>
              <w:top w:w="80" w:type="dxa"/>
              <w:start w:w="100" w:type="dxa"/>
              <w:bottom w:w="80" w:type="dxa"/>
              <w:end w:w="100" w:type="dxa"/>
            </w:tcMar>
            <w:vAlign w:val="top"/>
          </w:tcPr>
          <w:p>
            <w:pPr>
              <w:spacing w:after="0" w:line="240" w:lineRule="auto"/>
            </w:pPr>
            <w:r>
              <w:rPr>
                <w:rFonts w:ascii="Arial" w:hAnsi="Arial"/>
                <w:b/>
                <w:color w:val="1F2937"/>
                <w:sz w:val="15"/>
              </w:rPr>
              <w:t>Open need aging</w:t>
            </w:r>
          </w:p>
        </w:tc>
        <w:tc>
          <w:tcPr>
            <w:tcW w:type="dxa" w:w="6406"/>
            <w:tcMar>
              <w:top w:w="80" w:type="dxa"/>
              <w:start w:w="100" w:type="dxa"/>
              <w:bottom w:w="80" w:type="dxa"/>
              <w:end w:w="100" w:type="dxa"/>
            </w:tcMar>
            <w:vAlign w:val="top"/>
          </w:tcPr>
          <w:p>
            <w:pPr>
              <w:spacing w:after="0" w:line="240" w:lineRule="auto"/>
            </w:pPr>
            <w:r>
              <w:rPr>
                <w:rFonts w:ascii="Arial" w:hAnsi="Arial"/>
                <w:b w:val="0"/>
                <w:color w:val="1F2937"/>
                <w:sz w:val="15"/>
              </w:rPr>
              <w:t>Menemukan kebutuhan yang belum ditangani terlalu lama.</w:t>
            </w:r>
          </w:p>
        </w:tc>
      </w:tr>
      <w:tr>
        <w:tc>
          <w:tcPr>
            <w:tcW w:type="dxa" w:w="3458"/>
            <w:tcMar>
              <w:top w:w="80" w:type="dxa"/>
              <w:start w:w="100" w:type="dxa"/>
              <w:bottom w:w="80" w:type="dxa"/>
              <w:end w:w="100" w:type="dxa"/>
            </w:tcMar>
            <w:vAlign w:val="top"/>
            <w:shd w:fill="FAFBFC"/>
          </w:tcPr>
          <w:p>
            <w:pPr>
              <w:spacing w:after="0" w:line="240" w:lineRule="auto"/>
            </w:pPr>
            <w:r>
              <w:rPr>
                <w:rFonts w:ascii="Arial" w:hAnsi="Arial"/>
                <w:b/>
                <w:color w:val="1F2937"/>
                <w:sz w:val="15"/>
              </w:rPr>
              <w:t>Stock freshness / coverage</w:t>
            </w:r>
          </w:p>
        </w:tc>
        <w:tc>
          <w:tcPr>
            <w:tcW w:type="dxa" w:w="6406"/>
            <w:tcMar>
              <w:top w:w="80" w:type="dxa"/>
              <w:start w:w="100" w:type="dxa"/>
              <w:bottom w:w="80" w:type="dxa"/>
              <w:end w:w="100" w:type="dxa"/>
            </w:tcMar>
            <w:vAlign w:val="top"/>
            <w:shd w:fill="FAFBFC"/>
          </w:tcPr>
          <w:p>
            <w:pPr>
              <w:spacing w:after="0" w:line="240" w:lineRule="auto"/>
            </w:pPr>
            <w:r>
              <w:rPr>
                <w:rFonts w:ascii="Arial" w:hAnsi="Arial"/>
                <w:b w:val="0"/>
                <w:color w:val="1F2937"/>
                <w:sz w:val="15"/>
              </w:rPr>
              <w:t>Menilai apakah snapshot cukup baru untuk keputusan.</w:t>
            </w:r>
          </w:p>
        </w:tc>
      </w:tr>
      <w:tr>
        <w:tc>
          <w:tcPr>
            <w:tcW w:type="dxa" w:w="3458"/>
            <w:tcMar>
              <w:top w:w="80" w:type="dxa"/>
              <w:start w:w="100" w:type="dxa"/>
              <w:bottom w:w="80" w:type="dxa"/>
              <w:end w:w="100" w:type="dxa"/>
            </w:tcMar>
            <w:vAlign w:val="top"/>
          </w:tcPr>
          <w:p>
            <w:pPr>
              <w:spacing w:after="0" w:line="240" w:lineRule="auto"/>
            </w:pPr>
            <w:r>
              <w:rPr>
                <w:rFonts w:ascii="Arial" w:hAnsi="Arial"/>
                <w:b/>
                <w:color w:val="1F2937"/>
                <w:sz w:val="15"/>
              </w:rPr>
              <w:t>Offer → receipt cycle time</w:t>
            </w:r>
          </w:p>
        </w:tc>
        <w:tc>
          <w:tcPr>
            <w:tcW w:type="dxa" w:w="6406"/>
            <w:tcMar>
              <w:top w:w="80" w:type="dxa"/>
              <w:start w:w="100" w:type="dxa"/>
              <w:bottom w:w="80" w:type="dxa"/>
              <w:end w:w="100" w:type="dxa"/>
            </w:tcMar>
            <w:vAlign w:val="top"/>
          </w:tcPr>
          <w:p>
            <w:pPr>
              <w:spacing w:after="0" w:line="240" w:lineRule="auto"/>
            </w:pPr>
            <w:r>
              <w:rPr>
                <w:rFonts w:ascii="Arial" w:hAnsi="Arial"/>
                <w:b w:val="0"/>
                <w:color w:val="1F2937"/>
                <w:sz w:val="15"/>
              </w:rPr>
              <w:t>Mengukur efisiensi bantuan sampai penerimaan.</w:t>
            </w:r>
          </w:p>
        </w:tc>
      </w:tr>
      <w:tr>
        <w:tc>
          <w:tcPr>
            <w:tcW w:type="dxa" w:w="3458"/>
            <w:tcMar>
              <w:top w:w="80" w:type="dxa"/>
              <w:start w:w="100" w:type="dxa"/>
              <w:bottom w:w="80" w:type="dxa"/>
              <w:end w:w="100" w:type="dxa"/>
            </w:tcMar>
            <w:vAlign w:val="top"/>
            <w:shd w:fill="FAFBFC"/>
          </w:tcPr>
          <w:p>
            <w:pPr>
              <w:spacing w:after="0" w:line="240" w:lineRule="auto"/>
            </w:pPr>
            <w:r>
              <w:rPr>
                <w:rFonts w:ascii="Arial" w:hAnsi="Arial"/>
                <w:b/>
                <w:color w:val="1F2937"/>
                <w:sz w:val="15"/>
              </w:rPr>
              <w:t>Shelter occupancy vs capacity</w:t>
            </w:r>
          </w:p>
        </w:tc>
        <w:tc>
          <w:tcPr>
            <w:tcW w:type="dxa" w:w="6406"/>
            <w:tcMar>
              <w:top w:w="80" w:type="dxa"/>
              <w:start w:w="100" w:type="dxa"/>
              <w:bottom w:w="80" w:type="dxa"/>
              <w:end w:w="100" w:type="dxa"/>
            </w:tcMar>
            <w:vAlign w:val="top"/>
            <w:shd w:fill="FAFBFC"/>
          </w:tcPr>
          <w:p>
            <w:pPr>
              <w:spacing w:after="0" w:line="240" w:lineRule="auto"/>
            </w:pPr>
            <w:r>
              <w:rPr>
                <w:rFonts w:ascii="Arial" w:hAnsi="Arial"/>
                <w:b w:val="0"/>
                <w:color w:val="1F2937"/>
                <w:sz w:val="15"/>
              </w:rPr>
              <w:t>Mengidentifikasi capacity gap.</w:t>
            </w:r>
          </w:p>
        </w:tc>
      </w:tr>
      <w:tr>
        <w:tc>
          <w:tcPr>
            <w:tcW w:type="dxa" w:w="3458"/>
            <w:tcMar>
              <w:top w:w="80" w:type="dxa"/>
              <w:start w:w="100" w:type="dxa"/>
              <w:bottom w:w="80" w:type="dxa"/>
              <w:end w:w="100" w:type="dxa"/>
            </w:tcMar>
            <w:vAlign w:val="top"/>
          </w:tcPr>
          <w:p>
            <w:pPr>
              <w:spacing w:after="0" w:line="240" w:lineRule="auto"/>
            </w:pPr>
            <w:r>
              <w:rPr>
                <w:rFonts w:ascii="Arial" w:hAnsi="Arial"/>
                <w:b/>
                <w:color w:val="1F2937"/>
                <w:sz w:val="15"/>
              </w:rPr>
              <w:t>Medical critical case backlog</w:t>
            </w:r>
          </w:p>
        </w:tc>
        <w:tc>
          <w:tcPr>
            <w:tcW w:type="dxa" w:w="6406"/>
            <w:tcMar>
              <w:top w:w="80" w:type="dxa"/>
              <w:start w:w="100" w:type="dxa"/>
              <w:bottom w:w="80" w:type="dxa"/>
              <w:end w:w="100" w:type="dxa"/>
            </w:tcMar>
            <w:vAlign w:val="top"/>
          </w:tcPr>
          <w:p>
            <w:pPr>
              <w:spacing w:after="0" w:line="240" w:lineRule="auto"/>
            </w:pPr>
            <w:r>
              <w:rPr>
                <w:rFonts w:ascii="Arial" w:hAnsi="Arial"/>
                <w:b w:val="0"/>
                <w:color w:val="1F2937"/>
                <w:sz w:val="15"/>
              </w:rPr>
              <w:t>Prioritas koordinasi kasus.</w:t>
            </w:r>
          </w:p>
        </w:tc>
      </w:tr>
      <w:tr>
        <w:tc>
          <w:tcPr>
            <w:tcW w:type="dxa" w:w="3458"/>
            <w:tcMar>
              <w:top w:w="80" w:type="dxa"/>
              <w:start w:w="100" w:type="dxa"/>
              <w:bottom w:w="80" w:type="dxa"/>
              <w:end w:w="100" w:type="dxa"/>
            </w:tcMar>
            <w:vAlign w:val="top"/>
            <w:shd w:fill="FAFBFC"/>
          </w:tcPr>
          <w:p>
            <w:pPr>
              <w:spacing w:after="0" w:line="240" w:lineRule="auto"/>
            </w:pPr>
            <w:r>
              <w:rPr>
                <w:rFonts w:ascii="Arial" w:hAnsi="Arial"/>
                <w:b/>
                <w:color w:val="1F2937"/>
                <w:sz w:val="15"/>
              </w:rPr>
              <w:t>Search-found match resolution time</w:t>
            </w:r>
          </w:p>
        </w:tc>
        <w:tc>
          <w:tcPr>
            <w:tcW w:type="dxa" w:w="6406"/>
            <w:tcMar>
              <w:top w:w="80" w:type="dxa"/>
              <w:start w:w="100" w:type="dxa"/>
              <w:bottom w:w="80" w:type="dxa"/>
              <w:end w:w="100" w:type="dxa"/>
            </w:tcMar>
            <w:vAlign w:val="top"/>
            <w:shd w:fill="FAFBFC"/>
          </w:tcPr>
          <w:p>
            <w:pPr>
              <w:spacing w:after="0" w:line="240" w:lineRule="auto"/>
            </w:pPr>
            <w:r>
              <w:rPr>
                <w:rFonts w:ascii="Arial" w:hAnsi="Arial"/>
                <w:b w:val="0"/>
                <w:color w:val="1F2937"/>
                <w:sz w:val="15"/>
              </w:rPr>
              <w:t>Mengukur efektivitas koordinasi.</w:t>
            </w:r>
          </w:p>
        </w:tc>
      </w:tr>
      <w:tr>
        <w:tc>
          <w:tcPr>
            <w:tcW w:type="dxa" w:w="3458"/>
            <w:tcMar>
              <w:top w:w="80" w:type="dxa"/>
              <w:start w:w="100" w:type="dxa"/>
              <w:bottom w:w="80" w:type="dxa"/>
              <w:end w:w="100" w:type="dxa"/>
            </w:tcMar>
            <w:vAlign w:val="top"/>
          </w:tcPr>
          <w:p>
            <w:pPr>
              <w:spacing w:after="0" w:line="240" w:lineRule="auto"/>
            </w:pPr>
            <w:r>
              <w:rPr>
                <w:rFonts w:ascii="Arial" w:hAnsi="Arial"/>
                <w:b/>
                <w:color w:val="1F2937"/>
                <w:sz w:val="15"/>
              </w:rPr>
              <w:t>Volunteer utilization / conflicts</w:t>
            </w:r>
          </w:p>
        </w:tc>
        <w:tc>
          <w:tcPr>
            <w:tcW w:type="dxa" w:w="6406"/>
            <w:tcMar>
              <w:top w:w="80" w:type="dxa"/>
              <w:start w:w="100" w:type="dxa"/>
              <w:bottom w:w="80" w:type="dxa"/>
              <w:end w:w="100" w:type="dxa"/>
            </w:tcMar>
            <w:vAlign w:val="top"/>
          </w:tcPr>
          <w:p>
            <w:pPr>
              <w:spacing w:after="0" w:line="240" w:lineRule="auto"/>
            </w:pPr>
            <w:r>
              <w:rPr>
                <w:rFonts w:ascii="Arial" w:hAnsi="Arial"/>
                <w:b w:val="0"/>
                <w:color w:val="1F2937"/>
                <w:sz w:val="15"/>
              </w:rPr>
              <w:t>Mencegah double-booking dan unused skills.</w:t>
            </w:r>
          </w:p>
        </w:tc>
      </w:tr>
      <w:tr>
        <w:tc>
          <w:tcPr>
            <w:tcW w:type="dxa" w:w="3458"/>
            <w:tcMar>
              <w:top w:w="80" w:type="dxa"/>
              <w:start w:w="100" w:type="dxa"/>
              <w:bottom w:w="80" w:type="dxa"/>
              <w:end w:w="100" w:type="dxa"/>
            </w:tcMar>
            <w:vAlign w:val="top"/>
            <w:shd w:fill="FAFBFC"/>
          </w:tcPr>
          <w:p>
            <w:pPr>
              <w:spacing w:after="0" w:line="240" w:lineRule="auto"/>
            </w:pPr>
            <w:r>
              <w:rPr>
                <w:rFonts w:ascii="Arial" w:hAnsi="Arial"/>
                <w:b/>
                <w:color w:val="1F2937"/>
                <w:sz w:val="15"/>
              </w:rPr>
              <w:t>Offline sync backlog / failure rate</w:t>
            </w:r>
          </w:p>
        </w:tc>
        <w:tc>
          <w:tcPr>
            <w:tcW w:type="dxa" w:w="6406"/>
            <w:tcMar>
              <w:top w:w="80" w:type="dxa"/>
              <w:start w:w="100" w:type="dxa"/>
              <w:bottom w:w="80" w:type="dxa"/>
              <w:end w:w="100" w:type="dxa"/>
            </w:tcMar>
            <w:vAlign w:val="top"/>
            <w:shd w:fill="FAFBFC"/>
          </w:tcPr>
          <w:p>
            <w:pPr>
              <w:spacing w:after="0" w:line="240" w:lineRule="auto"/>
            </w:pPr>
            <w:r>
              <w:rPr>
                <w:rFonts w:ascii="Arial" w:hAnsi="Arial"/>
                <w:b w:val="0"/>
                <w:color w:val="1F2937"/>
                <w:sz w:val="15"/>
              </w:rPr>
              <w:t>Mengukur resilience lapangan.</w:t>
            </w:r>
          </w:p>
        </w:tc>
      </w:tr>
      <w:tr>
        <w:tc>
          <w:tcPr>
            <w:tcW w:type="dxa" w:w="3458"/>
            <w:tcMar>
              <w:top w:w="80" w:type="dxa"/>
              <w:start w:w="100" w:type="dxa"/>
              <w:bottom w:w="80" w:type="dxa"/>
              <w:end w:w="100" w:type="dxa"/>
            </w:tcMar>
            <w:vAlign w:val="top"/>
          </w:tcPr>
          <w:p>
            <w:pPr>
              <w:spacing w:after="0" w:line="240" w:lineRule="auto"/>
            </w:pPr>
            <w:r>
              <w:rPr>
                <w:rFonts w:ascii="Arial" w:hAnsi="Arial"/>
                <w:b/>
                <w:color w:val="1F2937"/>
                <w:sz w:val="15"/>
              </w:rPr>
              <w:t>AI override / rejection rate</w:t>
            </w:r>
          </w:p>
        </w:tc>
        <w:tc>
          <w:tcPr>
            <w:tcW w:type="dxa" w:w="6406"/>
            <w:tcMar>
              <w:top w:w="80" w:type="dxa"/>
              <w:start w:w="100" w:type="dxa"/>
              <w:bottom w:w="80" w:type="dxa"/>
              <w:end w:w="100" w:type="dxa"/>
            </w:tcMar>
            <w:vAlign w:val="top"/>
          </w:tcPr>
          <w:p>
            <w:pPr>
              <w:spacing w:after="0" w:line="240" w:lineRule="auto"/>
            </w:pPr>
            <w:r>
              <w:rPr>
                <w:rFonts w:ascii="Arial" w:hAnsi="Arial"/>
                <w:b w:val="0"/>
                <w:color w:val="1F2937"/>
                <w:sz w:val="15"/>
              </w:rPr>
              <w:t>Governance dan model quality; bukan target untuk “memaksimalkan AI”.</w:t>
            </w:r>
          </w:p>
        </w:tc>
      </w:tr>
    </w:tbl>
    <w:p>
      <w:pPr>
        <w:spacing w:after="80" w:line="254" w:lineRule="auto"/>
      </w:pPr>
    </w:p>
    <w:p>
      <w:pPr>
        <w:pStyle w:val="Heading2"/>
        <w:spacing w:after="80" w:line="259" w:lineRule="auto"/>
      </w:pPr>
      <w:r>
        <w:t>18.2 Product priority order</w:t>
      </w:r>
    </w:p>
    <w:p>
      <w:pPr>
        <w:spacing w:after="80" w:line="254" w:lineRule="auto"/>
        <w:ind w:left="312" w:hanging="198"/>
      </w:pPr>
      <w:r>
        <w:t>1.  Stability before scale</w:t>
      </w:r>
    </w:p>
    <w:p>
      <w:pPr>
        <w:spacing w:after="80" w:line="254" w:lineRule="auto"/>
        <w:ind w:left="312" w:hanging="198"/>
      </w:pPr>
      <w:r>
        <w:t>2.  Data quality before analytics</w:t>
      </w:r>
    </w:p>
    <w:p>
      <w:pPr>
        <w:spacing w:after="80" w:line="254" w:lineRule="auto"/>
        <w:ind w:left="312" w:hanging="198"/>
      </w:pPr>
      <w:r>
        <w:t>3.  Consolidation before distribution optimization</w:t>
      </w:r>
    </w:p>
    <w:p>
      <w:pPr>
        <w:spacing w:after="80" w:line="254" w:lineRule="auto"/>
        <w:ind w:left="312" w:hanging="198"/>
      </w:pPr>
      <w:r>
        <w:t>4.  Offline reliability before native expansion</w:t>
      </w:r>
    </w:p>
    <w:p>
      <w:pPr>
        <w:spacing w:after="80" w:line="254" w:lineRule="auto"/>
        <w:ind w:left="312" w:hanging="198"/>
      </w:pPr>
      <w:r>
        <w:t>5.  Traceability before automation</w:t>
      </w:r>
    </w:p>
    <w:p>
      <w:pPr>
        <w:spacing w:after="80" w:line="254" w:lineRule="auto"/>
        <w:ind w:left="312" w:hanging="198"/>
      </w:pPr>
      <w:r>
        <w:t>6.  Pilot before national rollout</w:t>
      </w:r>
    </w:p>
    <w:p>
      <w:pPr>
        <w:spacing w:after="80" w:line="254" w:lineRule="auto"/>
        <w:ind w:left="312" w:hanging="198"/>
      </w:pPr>
      <w:r>
        <w:t>7.  Capability before menu</w:t>
      </w:r>
    </w:p>
    <w:p>
      <w:pPr>
        <w:pStyle w:val="Heading2"/>
        <w:spacing w:after="80" w:line="259" w:lineRule="auto"/>
      </w:pPr>
      <w:r>
        <w:t>18.3 Near-term roadmap</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928"/>
            <w:shd w:fill="17365D"/>
            <w:tcMar>
              <w:top w:w="80" w:type="dxa"/>
              <w:start w:w="100" w:type="dxa"/>
              <w:bottom w:w="80" w:type="dxa"/>
              <w:end w:w="100" w:type="dxa"/>
            </w:tcMar>
            <w:vAlign w:val="center"/>
          </w:tcPr>
          <w:p>
            <w:pPr>
              <w:jc w:val="center"/>
            </w:pPr>
            <w:r>
              <w:rPr>
                <w:b/>
                <w:color w:val="FFFFFF"/>
                <w:sz w:val="16"/>
              </w:rPr>
              <w:t>Priority</w:t>
            </w:r>
          </w:p>
        </w:tc>
        <w:tc>
          <w:tcPr>
            <w:tcW w:type="dxa" w:w="7937"/>
            <w:shd w:fill="17365D"/>
            <w:tcMar>
              <w:top w:w="80" w:type="dxa"/>
              <w:start w:w="100" w:type="dxa"/>
              <w:bottom w:w="80" w:type="dxa"/>
              <w:end w:w="100" w:type="dxa"/>
            </w:tcMar>
            <w:vAlign w:val="center"/>
          </w:tcPr>
          <w:p>
            <w:pPr>
              <w:jc w:val="center"/>
            </w:pPr>
            <w:r>
              <w:rPr>
                <w:b/>
                <w:color w:val="FFFFFF"/>
                <w:sz w:val="16"/>
              </w:rPr>
              <w:t>Workstream</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6"/>
              </w:rPr>
              <w:t>P0 / Stabilize</w:t>
            </w:r>
          </w:p>
        </w:tc>
        <w:tc>
          <w:tcPr>
            <w:tcW w:type="dxa" w:w="7937"/>
            <w:tcMar>
              <w:top w:w="80" w:type="dxa"/>
              <w:start w:w="100" w:type="dxa"/>
              <w:bottom w:w="80" w:type="dxa"/>
              <w:end w:w="100" w:type="dxa"/>
            </w:tcMar>
            <w:vAlign w:val="top"/>
          </w:tcPr>
          <w:p>
            <w:pPr>
              <w:spacing w:after="0" w:line="240" w:lineRule="auto"/>
            </w:pPr>
            <w:r>
              <w:rPr>
                <w:rFonts w:ascii="Arial" w:hAnsi="Arial"/>
                <w:b w:val="0"/>
                <w:color w:val="1F2937"/>
                <w:sz w:val="16"/>
              </w:rPr>
              <w:t>Freeze validated modules, regression coverage, secrets rotation, access policies, backup/restore rehearsals.</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6"/>
              </w:rPr>
              <w:t>P2 / Sync</w:t>
            </w:r>
          </w:p>
        </w:tc>
        <w:tc>
          <w:tcPr>
            <w:tcW w:type="dxa" w:w="7937"/>
            <w:tcMar>
              <w:top w:w="80" w:type="dxa"/>
              <w:start w:w="100" w:type="dxa"/>
              <w:bottom w:w="80" w:type="dxa"/>
              <w:end w:w="100" w:type="dxa"/>
            </w:tcMar>
            <w:vAlign w:val="top"/>
            <w:shd w:fill="FAFBFC"/>
          </w:tcPr>
          <w:p>
            <w:pPr>
              <w:spacing w:after="0" w:line="240" w:lineRule="auto"/>
            </w:pPr>
            <w:r>
              <w:rPr>
                <w:rFonts w:ascii="Arial" w:hAnsi="Arial"/>
                <w:b w:val="0"/>
                <w:color w:val="1F2937"/>
                <w:sz w:val="16"/>
              </w:rPr>
              <w:t>Native Sync Log / Sync Console, reconciliation visibility, device/offline conflict handling.</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6"/>
              </w:rPr>
              <w:t>UX</w:t>
            </w:r>
          </w:p>
        </w:tc>
        <w:tc>
          <w:tcPr>
            <w:tcW w:type="dxa" w:w="7937"/>
            <w:tcMar>
              <w:top w:w="80" w:type="dxa"/>
              <w:start w:w="100" w:type="dxa"/>
              <w:bottom w:w="80" w:type="dxa"/>
              <w:end w:w="100" w:type="dxa"/>
            </w:tcMar>
            <w:vAlign w:val="top"/>
          </w:tcPr>
          <w:p>
            <w:pPr>
              <w:spacing w:after="0" w:line="240" w:lineRule="auto"/>
            </w:pPr>
            <w:r>
              <w:rPr>
                <w:rFonts w:ascii="Arial" w:hAnsi="Arial"/>
                <w:b w:val="0"/>
                <w:color w:val="1F2937"/>
                <w:sz w:val="16"/>
              </w:rPr>
              <w:t>Build new Frappe-native UI from actual approved mockups; preserve existing UI until replacement passes UAT.</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6"/>
              </w:rPr>
              <w:t>AI Governance</w:t>
            </w:r>
          </w:p>
        </w:tc>
        <w:tc>
          <w:tcPr>
            <w:tcW w:type="dxa" w:w="7937"/>
            <w:tcMar>
              <w:top w:w="80" w:type="dxa"/>
              <w:start w:w="100" w:type="dxa"/>
              <w:bottom w:w="80" w:type="dxa"/>
              <w:end w:w="100" w:type="dxa"/>
            </w:tcMar>
            <w:vAlign w:val="top"/>
            <w:shd w:fill="FAFBFC"/>
          </w:tcPr>
          <w:p>
            <w:pPr>
              <w:spacing w:after="0" w:line="240" w:lineRule="auto"/>
            </w:pPr>
            <w:r>
              <w:rPr>
                <w:rFonts w:ascii="Arial" w:hAnsi="Arial"/>
                <w:b w:val="0"/>
                <w:color w:val="1F2937"/>
                <w:sz w:val="16"/>
              </w:rPr>
              <w:t>Close context parity gaps, add provenance/evaluation, optional OCR/similarity shadow-first.</w:t>
            </w:r>
          </w:p>
        </w:tc>
      </w:tr>
      <w:tr>
        <w:tc>
          <w:tcPr>
            <w:tcW w:type="dxa" w:w="1928"/>
            <w:tcMar>
              <w:top w:w="80" w:type="dxa"/>
              <w:start w:w="100" w:type="dxa"/>
              <w:bottom w:w="80" w:type="dxa"/>
              <w:end w:w="100" w:type="dxa"/>
            </w:tcMar>
            <w:vAlign w:val="top"/>
          </w:tcPr>
          <w:p>
            <w:pPr>
              <w:spacing w:after="0" w:line="240" w:lineRule="auto"/>
            </w:pPr>
            <w:r>
              <w:rPr>
                <w:rFonts w:ascii="Arial" w:hAnsi="Arial"/>
                <w:b/>
                <w:color w:val="1F2937"/>
                <w:sz w:val="16"/>
              </w:rPr>
              <w:t>Pilot</w:t>
            </w:r>
          </w:p>
        </w:tc>
        <w:tc>
          <w:tcPr>
            <w:tcW w:type="dxa" w:w="7937"/>
            <w:tcMar>
              <w:top w:w="80" w:type="dxa"/>
              <w:start w:w="100" w:type="dxa"/>
              <w:bottom w:w="80" w:type="dxa"/>
              <w:end w:w="100" w:type="dxa"/>
            </w:tcMar>
            <w:vAlign w:val="top"/>
          </w:tcPr>
          <w:p>
            <w:pPr>
              <w:spacing w:after="0" w:line="240" w:lineRule="auto"/>
            </w:pPr>
            <w:r>
              <w:rPr>
                <w:rFonts w:ascii="Arial" w:hAnsi="Arial"/>
                <w:b w:val="0"/>
                <w:color w:val="1F2937"/>
                <w:sz w:val="16"/>
              </w:rPr>
              <w:t>Tabletop and single-area operational exercise with explicit success/failure criteria.</w:t>
            </w:r>
          </w:p>
        </w:tc>
      </w:tr>
      <w:tr>
        <w:tc>
          <w:tcPr>
            <w:tcW w:type="dxa" w:w="1928"/>
            <w:tcMar>
              <w:top w:w="80" w:type="dxa"/>
              <w:start w:w="100" w:type="dxa"/>
              <w:bottom w:w="80" w:type="dxa"/>
              <w:end w:w="100" w:type="dxa"/>
            </w:tcMar>
            <w:vAlign w:val="top"/>
            <w:shd w:fill="FAFBFC"/>
          </w:tcPr>
          <w:p>
            <w:pPr>
              <w:spacing w:after="0" w:line="240" w:lineRule="auto"/>
            </w:pPr>
            <w:r>
              <w:rPr>
                <w:rFonts w:ascii="Arial" w:hAnsi="Arial"/>
                <w:b/>
                <w:color w:val="1F2937"/>
                <w:sz w:val="16"/>
              </w:rPr>
              <w:t>Scaling</w:t>
            </w:r>
          </w:p>
        </w:tc>
        <w:tc>
          <w:tcPr>
            <w:tcW w:type="dxa" w:w="7937"/>
            <w:tcMar>
              <w:top w:w="80" w:type="dxa"/>
              <w:start w:w="100" w:type="dxa"/>
              <w:bottom w:w="80" w:type="dxa"/>
              <w:end w:w="100" w:type="dxa"/>
            </w:tcMar>
            <w:vAlign w:val="top"/>
            <w:shd w:fill="FAFBFC"/>
          </w:tcPr>
          <w:p>
            <w:pPr>
              <w:spacing w:after="0" w:line="240" w:lineRule="auto"/>
            </w:pPr>
            <w:r>
              <w:rPr>
                <w:rFonts w:ascii="Arial" w:hAnsi="Arial"/>
                <w:b w:val="0"/>
                <w:color w:val="1F2937"/>
                <w:sz w:val="16"/>
              </w:rPr>
              <w:t>Federated regional nodes, HA, external data exchange, formal security/privacy assurance.</w:t>
            </w:r>
          </w:p>
        </w:tc>
      </w:tr>
    </w:tbl>
    <w:p>
      <w:pPr>
        <w:spacing w:after="80" w:line="254" w:lineRule="auto"/>
      </w:pPr>
    </w:p>
    <w:p>
      <w:pPr>
        <w:spacing w:after="80" w:line="254" w:lineRule="auto"/>
      </w:pPr>
      <w:r>
        <w:br w:type="page"/>
      </w:r>
    </w:p>
    <w:p>
      <w:pPr>
        <w:pStyle w:val="Heading1"/>
      </w:pPr>
      <w:r>
        <w:t>Appendix A. Source Basis &amp; Glossary</w:t>
      </w:r>
    </w:p>
    <w:p>
      <w:pPr>
        <w:pStyle w:val="Heading2"/>
        <w:spacing w:after="80" w:line="259" w:lineRule="auto"/>
      </w:pPr>
      <w:r>
        <w:t>A.1 Primary internal source basis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02"/>
            <w:shd w:fill="0E7490"/>
            <w:tcMar>
              <w:top w:w="80" w:type="dxa"/>
              <w:start w:w="100" w:type="dxa"/>
              <w:bottom w:w="80" w:type="dxa"/>
              <w:end w:w="100" w:type="dxa"/>
            </w:tcMar>
            <w:vAlign w:val="center"/>
          </w:tcPr>
          <w:p>
            <w:pPr>
              <w:jc w:val="center"/>
            </w:pPr>
            <w:r>
              <w:rPr>
                <w:b/>
                <w:color w:val="FFFFFF"/>
                <w:sz w:val="15"/>
              </w:rPr>
              <w:t>Reference</w:t>
            </w:r>
          </w:p>
        </w:tc>
        <w:tc>
          <w:tcPr>
            <w:tcW w:type="dxa" w:w="6463"/>
            <w:shd w:fill="0E7490"/>
            <w:tcMar>
              <w:top w:w="80" w:type="dxa"/>
              <w:start w:w="100" w:type="dxa"/>
              <w:bottom w:w="80" w:type="dxa"/>
              <w:end w:w="100" w:type="dxa"/>
            </w:tcMar>
            <w:vAlign w:val="center"/>
          </w:tcPr>
          <w:p>
            <w:pPr>
              <w:jc w:val="center"/>
            </w:pPr>
            <w:r>
              <w:rPr>
                <w:b/>
                <w:color w:val="FFFFFF"/>
                <w:sz w:val="15"/>
              </w:rPr>
              <w:t>How it informs this blueprint</w:t>
            </w:r>
          </w:p>
        </w:tc>
      </w:tr>
      <w:tr>
        <w:tc>
          <w:tcPr>
            <w:tcW w:type="dxa" w:w="3402"/>
            <w:tcMar>
              <w:top w:w="80" w:type="dxa"/>
              <w:start w:w="100" w:type="dxa"/>
              <w:bottom w:w="80" w:type="dxa"/>
              <w:end w:w="100" w:type="dxa"/>
            </w:tcMar>
            <w:vAlign w:val="top"/>
          </w:tcPr>
          <w:p>
            <w:pPr>
              <w:spacing w:after="0" w:line="240" w:lineRule="auto"/>
            </w:pPr>
            <w:r>
              <w:rPr>
                <w:rFonts w:ascii="Arial" w:hAnsi="Arial"/>
                <w:b/>
                <w:color w:val="1F2937"/>
                <w:sz w:val="15"/>
              </w:rPr>
              <w:t>Volume 2 — Enterprise &amp; System Architecture</w:t>
            </w:r>
          </w:p>
        </w:tc>
        <w:tc>
          <w:tcPr>
            <w:tcW w:type="dxa" w:w="6463"/>
            <w:tcMar>
              <w:top w:w="80" w:type="dxa"/>
              <w:start w:w="100" w:type="dxa"/>
              <w:bottom w:w="80" w:type="dxa"/>
              <w:end w:w="100" w:type="dxa"/>
            </w:tcMar>
            <w:vAlign w:val="top"/>
          </w:tcPr>
          <w:p>
            <w:pPr>
              <w:spacing w:after="0" w:line="240" w:lineRule="auto"/>
            </w:pPr>
            <w:r>
              <w:rPr>
                <w:rFonts w:ascii="Arial" w:hAnsi="Arial"/>
                <w:b w:val="0"/>
                <w:color w:val="1F2937"/>
                <w:sz w:val="15"/>
              </w:rPr>
              <w:t>Principles, C4/context, logical layers, domain boundaries, operational truth pipeline, deployment baseline.</w:t>
            </w:r>
          </w:p>
        </w:tc>
      </w:tr>
      <w:tr>
        <w:tc>
          <w:tcPr>
            <w:tcW w:type="dxa" w:w="3402"/>
            <w:tcMar>
              <w:top w:w="80" w:type="dxa"/>
              <w:start w:w="100" w:type="dxa"/>
              <w:bottom w:w="80" w:type="dxa"/>
              <w:end w:w="100" w:type="dxa"/>
            </w:tcMar>
            <w:vAlign w:val="top"/>
            <w:shd w:fill="FAFBFC"/>
          </w:tcPr>
          <w:p>
            <w:pPr>
              <w:spacing w:after="0" w:line="240" w:lineRule="auto"/>
            </w:pPr>
            <w:r>
              <w:rPr>
                <w:rFonts w:ascii="Arial" w:hAnsi="Arial"/>
                <w:b/>
                <w:color w:val="1F2937"/>
                <w:sz w:val="15"/>
              </w:rPr>
              <w:t>Volume 3 — Data &amp; Integration Architecture</w:t>
            </w:r>
          </w:p>
        </w:tc>
        <w:tc>
          <w:tcPr>
            <w:tcW w:type="dxa" w:w="6463"/>
            <w:tcMar>
              <w:top w:w="80" w:type="dxa"/>
              <w:start w:w="100" w:type="dxa"/>
              <w:bottom w:w="80" w:type="dxa"/>
              <w:end w:w="100" w:type="dxa"/>
            </w:tcMar>
            <w:vAlign w:val="top"/>
            <w:shd w:fill="FAFBFC"/>
          </w:tcPr>
          <w:p>
            <w:pPr>
              <w:spacing w:after="0" w:line="240" w:lineRule="auto"/>
            </w:pPr>
            <w:r>
              <w:rPr>
                <w:rFonts w:ascii="Arial" w:hAnsi="Arial"/>
                <w:b w:val="0"/>
                <w:color w:val="1F2937"/>
                <w:sz w:val="15"/>
              </w:rPr>
              <w:t>Immutable/provenance data principles, conceptual model, data classification, API/offline/integration foundations.</w:t>
            </w:r>
          </w:p>
        </w:tc>
      </w:tr>
      <w:tr>
        <w:tc>
          <w:tcPr>
            <w:tcW w:type="dxa" w:w="3402"/>
            <w:tcMar>
              <w:top w:w="80" w:type="dxa"/>
              <w:start w:w="100" w:type="dxa"/>
              <w:bottom w:w="80" w:type="dxa"/>
              <w:end w:w="100" w:type="dxa"/>
            </w:tcMar>
            <w:vAlign w:val="top"/>
          </w:tcPr>
          <w:p>
            <w:pPr>
              <w:spacing w:after="0" w:line="240" w:lineRule="auto"/>
            </w:pPr>
            <w:r>
              <w:rPr>
                <w:rFonts w:ascii="Arial" w:hAnsi="Arial"/>
                <w:b/>
                <w:color w:val="1F2937"/>
                <w:sz w:val="15"/>
              </w:rPr>
              <w:t>Volume 5 — Engineering, Operations &amp; Security</w:t>
            </w:r>
          </w:p>
        </w:tc>
        <w:tc>
          <w:tcPr>
            <w:tcW w:type="dxa" w:w="6463"/>
            <w:tcMar>
              <w:top w:w="80" w:type="dxa"/>
              <w:start w:w="100" w:type="dxa"/>
              <w:bottom w:w="80" w:type="dxa"/>
              <w:end w:w="100" w:type="dxa"/>
            </w:tcMar>
            <w:vAlign w:val="top"/>
          </w:tcPr>
          <w:p>
            <w:pPr>
              <w:spacing w:after="0" w:line="240" w:lineRule="auto"/>
            </w:pPr>
            <w:r>
              <w:rPr>
                <w:rFonts w:ascii="Arial" w:hAnsi="Arial"/>
                <w:b w:val="0"/>
                <w:color w:val="1F2937"/>
                <w:sz w:val="15"/>
              </w:rPr>
              <w:t>Coding standards, backend/frontend/PWA patterns, database rules, security/operations quality gates.</w:t>
            </w:r>
          </w:p>
        </w:tc>
      </w:tr>
      <w:tr>
        <w:tc>
          <w:tcPr>
            <w:tcW w:type="dxa" w:w="3402"/>
            <w:tcMar>
              <w:top w:w="80" w:type="dxa"/>
              <w:start w:w="100" w:type="dxa"/>
              <w:bottom w:w="80" w:type="dxa"/>
              <w:end w:w="100" w:type="dxa"/>
            </w:tcMar>
            <w:vAlign w:val="top"/>
            <w:shd w:fill="FAFBFC"/>
          </w:tcPr>
          <w:p>
            <w:pPr>
              <w:spacing w:after="0" w:line="240" w:lineRule="auto"/>
            </w:pPr>
            <w:r>
              <w:rPr>
                <w:rFonts w:ascii="Arial" w:hAnsi="Arial"/>
                <w:b/>
                <w:color w:val="1F2937"/>
                <w:sz w:val="15"/>
              </w:rPr>
              <w:t>Volume 8 — API Reference &amp; Integration Guide</w:t>
            </w:r>
          </w:p>
        </w:tc>
        <w:tc>
          <w:tcPr>
            <w:tcW w:type="dxa" w:w="6463"/>
            <w:tcMar>
              <w:top w:w="80" w:type="dxa"/>
              <w:start w:w="100" w:type="dxa"/>
              <w:bottom w:w="80" w:type="dxa"/>
              <w:end w:w="100" w:type="dxa"/>
            </w:tcMar>
            <w:vAlign w:val="top"/>
            <w:shd w:fill="FAFBFC"/>
          </w:tcPr>
          <w:p>
            <w:pPr>
              <w:spacing w:after="0" w:line="240" w:lineRule="auto"/>
            </w:pPr>
            <w:r>
              <w:rPr>
                <w:rFonts w:ascii="Arial" w:hAnsi="Arial"/>
                <w:b w:val="0"/>
                <w:color w:val="1F2937"/>
                <w:sz w:val="15"/>
              </w:rPr>
              <w:t>API contracts, correction semantics, organization/Posko integration surfaces.</w:t>
            </w:r>
          </w:p>
        </w:tc>
      </w:tr>
      <w:tr>
        <w:tc>
          <w:tcPr>
            <w:tcW w:type="dxa" w:w="3402"/>
            <w:tcMar>
              <w:top w:w="80" w:type="dxa"/>
              <w:start w:w="100" w:type="dxa"/>
              <w:bottom w:w="80" w:type="dxa"/>
              <w:end w:w="100" w:type="dxa"/>
            </w:tcMar>
            <w:vAlign w:val="top"/>
          </w:tcPr>
          <w:p>
            <w:pPr>
              <w:spacing w:after="0" w:line="240" w:lineRule="auto"/>
            </w:pPr>
            <w:r>
              <w:rPr>
                <w:rFonts w:ascii="Arial" w:hAnsi="Arial"/>
                <w:b/>
                <w:color w:val="1F2937"/>
                <w:sz w:val="15"/>
              </w:rPr>
              <w:t>Volume 9 — AI Architecture &amp; Intelligence Engine</w:t>
            </w:r>
          </w:p>
        </w:tc>
        <w:tc>
          <w:tcPr>
            <w:tcW w:type="dxa" w:w="6463"/>
            <w:tcMar>
              <w:top w:w="80" w:type="dxa"/>
              <w:start w:w="100" w:type="dxa"/>
              <w:bottom w:w="80" w:type="dxa"/>
              <w:end w:w="100" w:type="dxa"/>
            </w:tcMar>
            <w:vAlign w:val="top"/>
          </w:tcPr>
          <w:p>
            <w:pPr>
              <w:spacing w:after="0" w:line="240" w:lineRule="auto"/>
            </w:pPr>
            <w:r>
              <w:rPr>
                <w:rFonts w:ascii="Arial" w:hAnsi="Arial"/>
                <w:b w:val="0"/>
                <w:color w:val="1F2937"/>
                <w:sz w:val="15"/>
              </w:rPr>
              <w:t>Human-in-loop AI, provenance, OCR/similarity/summary/forecast architecture, privacy guardrails.</w:t>
            </w:r>
          </w:p>
        </w:tc>
      </w:tr>
      <w:tr>
        <w:tc>
          <w:tcPr>
            <w:tcW w:type="dxa" w:w="3402"/>
            <w:tcMar>
              <w:top w:w="80" w:type="dxa"/>
              <w:start w:w="100" w:type="dxa"/>
              <w:bottom w:w="80" w:type="dxa"/>
              <w:end w:w="100" w:type="dxa"/>
            </w:tcMar>
            <w:vAlign w:val="top"/>
            <w:shd w:fill="FAFBFC"/>
          </w:tcPr>
          <w:p>
            <w:pPr>
              <w:spacing w:after="0" w:line="240" w:lineRule="auto"/>
            </w:pPr>
            <w:r>
              <w:rPr>
                <w:rFonts w:ascii="Arial" w:hAnsi="Arial"/>
                <w:b/>
                <w:color w:val="1F2937"/>
                <w:sz w:val="15"/>
              </w:rPr>
              <w:t>Volume 12 — Deployment, Infrastructure &amp; Production Operations</w:t>
            </w:r>
          </w:p>
        </w:tc>
        <w:tc>
          <w:tcPr>
            <w:tcW w:type="dxa" w:w="6463"/>
            <w:tcMar>
              <w:top w:w="80" w:type="dxa"/>
              <w:start w:w="100" w:type="dxa"/>
              <w:bottom w:w="80" w:type="dxa"/>
              <w:end w:w="100" w:type="dxa"/>
            </w:tcMar>
            <w:vAlign w:val="top"/>
            <w:shd w:fill="FAFBFC"/>
          </w:tcPr>
          <w:p>
            <w:pPr>
              <w:spacing w:after="0" w:line="240" w:lineRule="auto"/>
            </w:pPr>
            <w:r>
              <w:rPr>
                <w:rFonts w:ascii="Arial" w:hAnsi="Arial"/>
                <w:b w:val="0"/>
                <w:color w:val="1F2937"/>
                <w:sz w:val="15"/>
              </w:rPr>
              <w:t>Synology/Docker/nginx/Tailscale baseline, backup/rollback/troubleshooting guardrails.</w:t>
            </w:r>
          </w:p>
        </w:tc>
      </w:tr>
      <w:tr>
        <w:tc>
          <w:tcPr>
            <w:tcW w:type="dxa" w:w="3402"/>
            <w:tcMar>
              <w:top w:w="80" w:type="dxa"/>
              <w:start w:w="100" w:type="dxa"/>
              <w:bottom w:w="80" w:type="dxa"/>
              <w:end w:w="100" w:type="dxa"/>
            </w:tcMar>
            <w:vAlign w:val="top"/>
          </w:tcPr>
          <w:p>
            <w:pPr>
              <w:spacing w:after="0" w:line="240" w:lineRule="auto"/>
            </w:pPr>
            <w:r>
              <w:rPr>
                <w:rFonts w:ascii="Arial" w:hAnsi="Arial"/>
                <w:b/>
                <w:color w:val="1F2937"/>
                <w:sz w:val="15"/>
              </w:rPr>
              <w:t>Volume 13 — Product Roadmap &amp; National Scaling</w:t>
            </w:r>
          </w:p>
        </w:tc>
        <w:tc>
          <w:tcPr>
            <w:tcW w:type="dxa" w:w="6463"/>
            <w:tcMar>
              <w:top w:w="80" w:type="dxa"/>
              <w:start w:w="100" w:type="dxa"/>
              <w:bottom w:w="80" w:type="dxa"/>
              <w:end w:w="100" w:type="dxa"/>
            </w:tcMar>
            <w:vAlign w:val="top"/>
          </w:tcPr>
          <w:p>
            <w:pPr>
              <w:spacing w:after="0" w:line="240" w:lineRule="auto"/>
            </w:pPr>
            <w:r>
              <w:rPr>
                <w:rFonts w:ascii="Arial" w:hAnsi="Arial"/>
                <w:b w:val="0"/>
                <w:color w:val="1F2937"/>
                <w:sz w:val="15"/>
              </w:rPr>
              <w:t>Priority order, rollout gates, federated national scaling and governance.</w:t>
            </w:r>
          </w:p>
        </w:tc>
      </w:tr>
      <w:tr>
        <w:tc>
          <w:tcPr>
            <w:tcW w:type="dxa" w:w="3402"/>
            <w:tcMar>
              <w:top w:w="80" w:type="dxa"/>
              <w:start w:w="100" w:type="dxa"/>
              <w:bottom w:w="80" w:type="dxa"/>
              <w:end w:w="100" w:type="dxa"/>
            </w:tcMar>
            <w:vAlign w:val="top"/>
            <w:shd w:fill="FAFBFC"/>
          </w:tcPr>
          <w:p>
            <w:pPr>
              <w:spacing w:after="0" w:line="240" w:lineRule="auto"/>
            </w:pPr>
            <w:r>
              <w:rPr>
                <w:rFonts w:ascii="Arial" w:hAnsi="Arial"/>
                <w:b/>
                <w:color w:val="1F2937"/>
                <w:sz w:val="15"/>
              </w:rPr>
              <w:t>Current implementation/UAT records</w:t>
            </w:r>
          </w:p>
        </w:tc>
        <w:tc>
          <w:tcPr>
            <w:tcW w:type="dxa" w:w="6463"/>
            <w:tcMar>
              <w:top w:w="80" w:type="dxa"/>
              <w:start w:w="100" w:type="dxa"/>
              <w:bottom w:w="80" w:type="dxa"/>
              <w:end w:w="100" w:type="dxa"/>
            </w:tcMar>
            <w:vAlign w:val="top"/>
            <w:shd w:fill="FAFBFC"/>
          </w:tcPr>
          <w:p>
            <w:pPr>
              <w:spacing w:after="0" w:line="240" w:lineRule="auto"/>
            </w:pPr>
            <w:r>
              <w:rPr>
                <w:rFonts w:ascii="Arial" w:hAnsi="Arial"/>
                <w:b w:val="0"/>
                <w:color w:val="1F2937"/>
                <w:sz w:val="15"/>
              </w:rPr>
              <w:t>Frappe shadow migration, module statuses, AI bridge, logistics normalization milestone through 24 Aug 2026.</w:t>
            </w:r>
          </w:p>
        </w:tc>
      </w:tr>
    </w:tbl>
    <w:p>
      <w:pPr>
        <w:spacing w:after="80" w:line="254" w:lineRule="auto"/>
      </w:pPr>
    </w:p>
    <w:p>
      <w:pPr>
        <w:pStyle w:val="Heading2"/>
        <w:spacing w:after="80" w:line="259" w:lineRule="auto"/>
      </w:pPr>
      <w:r>
        <w:t>A.2 Glossary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shd w:fill="17365D"/>
            <w:tcMar>
              <w:top w:w="80" w:type="dxa"/>
              <w:start w:w="100" w:type="dxa"/>
              <w:bottom w:w="80" w:type="dxa"/>
              <w:end w:w="100" w:type="dxa"/>
            </w:tcMar>
            <w:vAlign w:val="center"/>
          </w:tcPr>
          <w:p>
            <w:pPr>
              <w:jc w:val="center"/>
            </w:pPr>
            <w:r>
              <w:rPr>
                <w:b/>
                <w:color w:val="FFFFFF"/>
                <w:sz w:val="16"/>
              </w:rPr>
              <w:t>Term</w:t>
            </w:r>
          </w:p>
        </w:tc>
        <w:tc>
          <w:tcPr>
            <w:tcW w:type="dxa" w:w="7427"/>
            <w:shd w:fill="17365D"/>
            <w:tcMar>
              <w:top w:w="80" w:type="dxa"/>
              <w:start w:w="100" w:type="dxa"/>
              <w:bottom w:w="80" w:type="dxa"/>
              <w:end w:w="100" w:type="dxa"/>
            </w:tcMar>
            <w:vAlign w:val="center"/>
          </w:tcPr>
          <w:p>
            <w:pPr>
              <w:jc w:val="center"/>
            </w:pPr>
            <w:r>
              <w:rPr>
                <w:b/>
                <w:color w:val="FFFFFF"/>
                <w:sz w:val="16"/>
              </w:rPr>
              <w:t>Definition</w:t>
            </w:r>
          </w:p>
        </w:tc>
      </w:tr>
      <w:tr>
        <w:tc>
          <w:tcPr>
            <w:tcW w:type="dxa" w:w="2438"/>
            <w:tcMar>
              <w:top w:w="80" w:type="dxa"/>
              <w:start w:w="100" w:type="dxa"/>
              <w:bottom w:w="80" w:type="dxa"/>
              <w:end w:w="100" w:type="dxa"/>
            </w:tcMar>
            <w:vAlign w:val="top"/>
          </w:tcPr>
          <w:p>
            <w:pPr>
              <w:spacing w:after="0" w:line="240" w:lineRule="auto"/>
            </w:pPr>
            <w:r>
              <w:rPr>
                <w:rFonts w:ascii="Arial" w:hAnsi="Arial"/>
                <w:b/>
                <w:color w:val="1F2937"/>
                <w:sz w:val="16"/>
              </w:rPr>
              <w:t>Raw Report</w:t>
            </w:r>
          </w:p>
        </w:tc>
        <w:tc>
          <w:tcPr>
            <w:tcW w:type="dxa" w:w="7427"/>
            <w:tcMar>
              <w:top w:w="80" w:type="dxa"/>
              <w:start w:w="100" w:type="dxa"/>
              <w:bottom w:w="80" w:type="dxa"/>
              <w:end w:w="100" w:type="dxa"/>
            </w:tcMar>
            <w:vAlign w:val="top"/>
          </w:tcPr>
          <w:p>
            <w:pPr>
              <w:spacing w:after="0" w:line="240" w:lineRule="auto"/>
            </w:pPr>
            <w:r>
              <w:rPr>
                <w:rFonts w:ascii="Arial" w:hAnsi="Arial"/>
                <w:b w:val="0"/>
                <w:color w:val="1F2937"/>
                <w:sz w:val="16"/>
              </w:rPr>
              <w:t>Original field/user/source report preserved without destructive overwrite.</w:t>
            </w:r>
          </w:p>
        </w:tc>
      </w:tr>
      <w:tr>
        <w:tc>
          <w:tcPr>
            <w:tcW w:type="dxa" w:w="2438"/>
            <w:tcMar>
              <w:top w:w="80" w:type="dxa"/>
              <w:start w:w="100" w:type="dxa"/>
              <w:bottom w:w="80" w:type="dxa"/>
              <w:end w:w="100" w:type="dxa"/>
            </w:tcMar>
            <w:vAlign w:val="top"/>
            <w:shd w:fill="FAFBFC"/>
          </w:tcPr>
          <w:p>
            <w:pPr>
              <w:spacing w:after="0" w:line="240" w:lineRule="auto"/>
            </w:pPr>
            <w:r>
              <w:rPr>
                <w:rFonts w:ascii="Arial" w:hAnsi="Arial"/>
                <w:b/>
                <w:color w:val="1F2937"/>
                <w:sz w:val="16"/>
              </w:rPr>
              <w:t>Operational Truth</w:t>
            </w:r>
          </w:p>
        </w:tc>
        <w:tc>
          <w:tcPr>
            <w:tcW w:type="dxa" w:w="7427"/>
            <w:tcMar>
              <w:top w:w="80" w:type="dxa"/>
              <w:start w:w="100" w:type="dxa"/>
              <w:bottom w:w="80" w:type="dxa"/>
              <w:end w:w="100" w:type="dxa"/>
            </w:tcMar>
            <w:vAlign w:val="top"/>
            <w:shd w:fill="FAFBFC"/>
          </w:tcPr>
          <w:p>
            <w:pPr>
              <w:spacing w:after="0" w:line="240" w:lineRule="auto"/>
            </w:pPr>
            <w:r>
              <w:rPr>
                <w:rFonts w:ascii="Arial" w:hAnsi="Arial"/>
                <w:b w:val="0"/>
                <w:color w:val="1F2937"/>
                <w:sz w:val="16"/>
              </w:rPr>
              <w:t>Versioned operational record derived from evidence, verification, consolidation, and authority.</w:t>
            </w:r>
          </w:p>
        </w:tc>
      </w:tr>
      <w:tr>
        <w:tc>
          <w:tcPr>
            <w:tcW w:type="dxa" w:w="2438"/>
            <w:tcMar>
              <w:top w:w="80" w:type="dxa"/>
              <w:start w:w="100" w:type="dxa"/>
              <w:bottom w:w="80" w:type="dxa"/>
              <w:end w:w="100" w:type="dxa"/>
            </w:tcMar>
            <w:vAlign w:val="top"/>
          </w:tcPr>
          <w:p>
            <w:pPr>
              <w:spacing w:after="0" w:line="240" w:lineRule="auto"/>
            </w:pPr>
            <w:r>
              <w:rPr>
                <w:rFonts w:ascii="Arial" w:hAnsi="Arial"/>
                <w:b/>
                <w:color w:val="1F2937"/>
                <w:sz w:val="16"/>
              </w:rPr>
              <w:t>Posko</w:t>
            </w:r>
          </w:p>
        </w:tc>
        <w:tc>
          <w:tcPr>
            <w:tcW w:type="dxa" w:w="7427"/>
            <w:tcMar>
              <w:top w:w="80" w:type="dxa"/>
              <w:start w:w="100" w:type="dxa"/>
              <w:bottom w:w="80" w:type="dxa"/>
              <w:end w:w="100" w:type="dxa"/>
            </w:tcMar>
            <w:vAlign w:val="top"/>
          </w:tcPr>
          <w:p>
            <w:pPr>
              <w:spacing w:after="0" w:line="240" w:lineRule="auto"/>
            </w:pPr>
            <w:r>
              <w:rPr>
                <w:rFonts w:ascii="Arial" w:hAnsi="Arial"/>
                <w:b w:val="0"/>
                <w:color w:val="1F2937"/>
                <w:sz w:val="16"/>
              </w:rPr>
              <w:t>Operational node for local response and data scope.</w:t>
            </w:r>
          </w:p>
        </w:tc>
      </w:tr>
      <w:tr>
        <w:tc>
          <w:tcPr>
            <w:tcW w:type="dxa" w:w="2438"/>
            <w:tcMar>
              <w:top w:w="80" w:type="dxa"/>
              <w:start w:w="100" w:type="dxa"/>
              <w:bottom w:w="80" w:type="dxa"/>
              <w:end w:w="100" w:type="dxa"/>
            </w:tcMar>
            <w:vAlign w:val="top"/>
            <w:shd w:fill="FAFBFC"/>
          </w:tcPr>
          <w:p>
            <w:pPr>
              <w:spacing w:after="0" w:line="240" w:lineRule="auto"/>
            </w:pPr>
            <w:r>
              <w:rPr>
                <w:rFonts w:ascii="Arial" w:hAnsi="Arial"/>
                <w:b/>
                <w:color w:val="1F2937"/>
                <w:sz w:val="16"/>
              </w:rPr>
              <w:t>Kelompok / Organization</w:t>
            </w:r>
          </w:p>
        </w:tc>
        <w:tc>
          <w:tcPr>
            <w:tcW w:type="dxa" w:w="7427"/>
            <w:tcMar>
              <w:top w:w="80" w:type="dxa"/>
              <w:start w:w="100" w:type="dxa"/>
              <w:bottom w:w="80" w:type="dxa"/>
              <w:end w:w="100" w:type="dxa"/>
            </w:tcMar>
            <w:vAlign w:val="top"/>
            <w:shd w:fill="FAFBFC"/>
          </w:tcPr>
          <w:p>
            <w:pPr>
              <w:spacing w:after="0" w:line="240" w:lineRule="auto"/>
            </w:pPr>
            <w:r>
              <w:rPr>
                <w:rFonts w:ascii="Arial" w:hAnsi="Arial"/>
                <w:b w:val="0"/>
                <w:color w:val="1F2937"/>
                <w:sz w:val="16"/>
              </w:rPr>
              <w:t>Operational membership/resource boundary; internal data model uses organization.</w:t>
            </w:r>
          </w:p>
        </w:tc>
      </w:tr>
      <w:tr>
        <w:tc>
          <w:tcPr>
            <w:tcW w:type="dxa" w:w="2438"/>
            <w:tcMar>
              <w:top w:w="80" w:type="dxa"/>
              <w:start w:w="100" w:type="dxa"/>
              <w:bottom w:w="80" w:type="dxa"/>
              <w:end w:w="100" w:type="dxa"/>
            </w:tcMar>
            <w:vAlign w:val="top"/>
          </w:tcPr>
          <w:p>
            <w:pPr>
              <w:spacing w:after="0" w:line="240" w:lineRule="auto"/>
            </w:pPr>
            <w:r>
              <w:rPr>
                <w:rFonts w:ascii="Arial" w:hAnsi="Arial"/>
                <w:b/>
                <w:color w:val="1F2937"/>
                <w:sz w:val="16"/>
              </w:rPr>
              <w:t>Evidence</w:t>
            </w:r>
          </w:p>
        </w:tc>
        <w:tc>
          <w:tcPr>
            <w:tcW w:type="dxa" w:w="7427"/>
            <w:tcMar>
              <w:top w:w="80" w:type="dxa"/>
              <w:start w:w="100" w:type="dxa"/>
              <w:bottom w:w="80" w:type="dxa"/>
              <w:end w:w="100" w:type="dxa"/>
            </w:tcMar>
            <w:vAlign w:val="top"/>
          </w:tcPr>
          <w:p>
            <w:pPr>
              <w:spacing w:after="0" w:line="240" w:lineRule="auto"/>
            </w:pPr>
            <w:r>
              <w:rPr>
                <w:rFonts w:ascii="Arial" w:hAnsi="Arial"/>
                <w:b w:val="0"/>
                <w:color w:val="1F2937"/>
                <w:sz w:val="16"/>
              </w:rPr>
              <w:t>Media/document/location/witness artefact linked to a report/action with integrity metadata.</w:t>
            </w:r>
          </w:p>
        </w:tc>
      </w:tr>
      <w:tr>
        <w:tc>
          <w:tcPr>
            <w:tcW w:type="dxa" w:w="2438"/>
            <w:tcMar>
              <w:top w:w="80" w:type="dxa"/>
              <w:start w:w="100" w:type="dxa"/>
              <w:bottom w:w="80" w:type="dxa"/>
              <w:end w:w="100" w:type="dxa"/>
            </w:tcMar>
            <w:vAlign w:val="top"/>
            <w:shd w:fill="FAFBFC"/>
          </w:tcPr>
          <w:p>
            <w:pPr>
              <w:spacing w:after="0" w:line="240" w:lineRule="auto"/>
            </w:pPr>
            <w:r>
              <w:rPr>
                <w:rFonts w:ascii="Arial" w:hAnsi="Arial"/>
                <w:b/>
                <w:color w:val="1F2937"/>
                <w:sz w:val="16"/>
              </w:rPr>
              <w:t>Consolidation</w:t>
            </w:r>
          </w:p>
        </w:tc>
        <w:tc>
          <w:tcPr>
            <w:tcW w:type="dxa" w:w="7427"/>
            <w:tcMar>
              <w:top w:w="80" w:type="dxa"/>
              <w:start w:w="100" w:type="dxa"/>
              <w:bottom w:w="80" w:type="dxa"/>
              <w:end w:w="100" w:type="dxa"/>
            </w:tcMar>
            <w:vAlign w:val="top"/>
            <w:shd w:fill="FAFBFC"/>
          </w:tcPr>
          <w:p>
            <w:pPr>
              <w:spacing w:after="0" w:line="240" w:lineRule="auto"/>
            </w:pPr>
            <w:r>
              <w:rPr>
                <w:rFonts w:ascii="Arial" w:hAnsi="Arial"/>
                <w:b w:val="0"/>
                <w:color w:val="1F2937"/>
                <w:sz w:val="16"/>
              </w:rPr>
              <w:t>Process to detect overlap/duplicate and form operational records while preserving provenance.</w:t>
            </w:r>
          </w:p>
        </w:tc>
      </w:tr>
      <w:tr>
        <w:tc>
          <w:tcPr>
            <w:tcW w:type="dxa" w:w="2438"/>
            <w:tcMar>
              <w:top w:w="80" w:type="dxa"/>
              <w:start w:w="100" w:type="dxa"/>
              <w:bottom w:w="80" w:type="dxa"/>
              <w:end w:w="100" w:type="dxa"/>
            </w:tcMar>
            <w:vAlign w:val="top"/>
          </w:tcPr>
          <w:p>
            <w:pPr>
              <w:spacing w:after="0" w:line="240" w:lineRule="auto"/>
            </w:pPr>
            <w:r>
              <w:rPr>
                <w:rFonts w:ascii="Arial" w:hAnsi="Arial"/>
                <w:b/>
                <w:color w:val="1F2937"/>
                <w:sz w:val="16"/>
              </w:rPr>
              <w:t>Command Correction</w:t>
            </w:r>
          </w:p>
        </w:tc>
        <w:tc>
          <w:tcPr>
            <w:tcW w:type="dxa" w:w="7427"/>
            <w:tcMar>
              <w:top w:w="80" w:type="dxa"/>
              <w:start w:w="100" w:type="dxa"/>
              <w:bottom w:w="80" w:type="dxa"/>
              <w:end w:w="100" w:type="dxa"/>
            </w:tcMar>
            <w:vAlign w:val="top"/>
          </w:tcPr>
          <w:p>
            <w:pPr>
              <w:spacing w:after="0" w:line="240" w:lineRule="auto"/>
            </w:pPr>
            <w:r>
              <w:rPr>
                <w:rFonts w:ascii="Arial" w:hAnsi="Arial"/>
                <w:b w:val="0"/>
                <w:color w:val="1F2937"/>
                <w:sz w:val="16"/>
              </w:rPr>
              <w:t>Traceable human adjustment to an operational result; not mutation of raw source.</w:t>
            </w:r>
          </w:p>
        </w:tc>
      </w:tr>
      <w:tr>
        <w:tc>
          <w:tcPr>
            <w:tcW w:type="dxa" w:w="2438"/>
            <w:tcMar>
              <w:top w:w="80" w:type="dxa"/>
              <w:start w:w="100" w:type="dxa"/>
              <w:bottom w:w="80" w:type="dxa"/>
              <w:end w:w="100" w:type="dxa"/>
            </w:tcMar>
            <w:vAlign w:val="top"/>
            <w:shd w:fill="FAFBFC"/>
          </w:tcPr>
          <w:p>
            <w:pPr>
              <w:spacing w:after="0" w:line="240" w:lineRule="auto"/>
            </w:pPr>
            <w:r>
              <w:rPr>
                <w:rFonts w:ascii="Arial" w:hAnsi="Arial"/>
                <w:b/>
                <w:color w:val="1F2937"/>
                <w:sz w:val="16"/>
              </w:rPr>
              <w:t>BYOK</w:t>
            </w:r>
          </w:p>
        </w:tc>
        <w:tc>
          <w:tcPr>
            <w:tcW w:type="dxa" w:w="7427"/>
            <w:tcMar>
              <w:top w:w="80" w:type="dxa"/>
              <w:start w:w="100" w:type="dxa"/>
              <w:bottom w:w="80" w:type="dxa"/>
              <w:end w:w="100" w:type="dxa"/>
            </w:tcMar>
            <w:vAlign w:val="top"/>
            <w:shd w:fill="FAFBFC"/>
          </w:tcPr>
          <w:p>
            <w:pPr>
              <w:spacing w:after="0" w:line="240" w:lineRule="auto"/>
            </w:pPr>
            <w:r>
              <w:rPr>
                <w:rFonts w:ascii="Arial" w:hAnsi="Arial"/>
                <w:b w:val="0"/>
                <w:color w:val="1F2937"/>
                <w:sz w:val="16"/>
              </w:rPr>
              <w:t>Bring Your Own Key for an AI provider; secret remains backend-only.</w:t>
            </w:r>
          </w:p>
        </w:tc>
      </w:tr>
      <w:tr>
        <w:tc>
          <w:tcPr>
            <w:tcW w:type="dxa" w:w="2438"/>
            <w:tcMar>
              <w:top w:w="80" w:type="dxa"/>
              <w:start w:w="100" w:type="dxa"/>
              <w:bottom w:w="80" w:type="dxa"/>
              <w:end w:w="100" w:type="dxa"/>
            </w:tcMar>
            <w:vAlign w:val="top"/>
          </w:tcPr>
          <w:p>
            <w:pPr>
              <w:spacing w:after="0" w:line="240" w:lineRule="auto"/>
            </w:pPr>
            <w:r>
              <w:rPr>
                <w:rFonts w:ascii="Arial" w:hAnsi="Arial"/>
                <w:b/>
                <w:color w:val="1F2937"/>
                <w:sz w:val="16"/>
              </w:rPr>
              <w:t>Shadow / Pilot</w:t>
            </w:r>
          </w:p>
        </w:tc>
        <w:tc>
          <w:tcPr>
            <w:tcW w:type="dxa" w:w="7427"/>
            <w:tcMar>
              <w:top w:w="80" w:type="dxa"/>
              <w:start w:w="100" w:type="dxa"/>
              <w:bottom w:w="80" w:type="dxa"/>
              <w:end w:w="100" w:type="dxa"/>
            </w:tcMar>
            <w:vAlign w:val="top"/>
          </w:tcPr>
          <w:p>
            <w:pPr>
              <w:spacing w:after="0" w:line="240" w:lineRule="auto"/>
            </w:pPr>
            <w:r>
              <w:rPr>
                <w:rFonts w:ascii="Arial" w:hAnsi="Arial"/>
                <w:b w:val="0"/>
                <w:color w:val="1F2937"/>
                <w:sz w:val="16"/>
              </w:rPr>
              <w:t>Frappe environment used for migration/UAT without production cutover.</w:t>
            </w:r>
          </w:p>
        </w:tc>
      </w:tr>
      <w:tr>
        <w:tc>
          <w:tcPr>
            <w:tcW w:type="dxa" w:w="2438"/>
            <w:tcMar>
              <w:top w:w="80" w:type="dxa"/>
              <w:start w:w="100" w:type="dxa"/>
              <w:bottom w:w="80" w:type="dxa"/>
              <w:end w:w="100" w:type="dxa"/>
            </w:tcMar>
            <w:vAlign w:val="top"/>
            <w:shd w:fill="FAFBFC"/>
          </w:tcPr>
          <w:p>
            <w:pPr>
              <w:spacing w:after="0" w:line="240" w:lineRule="auto"/>
            </w:pPr>
            <w:r>
              <w:rPr>
                <w:rFonts w:ascii="Arial" w:hAnsi="Arial"/>
                <w:b/>
                <w:color w:val="1F2937"/>
                <w:sz w:val="16"/>
              </w:rPr>
              <w:t>Compatibility Bridge</w:t>
            </w:r>
          </w:p>
        </w:tc>
        <w:tc>
          <w:tcPr>
            <w:tcW w:type="dxa" w:w="7427"/>
            <w:tcMar>
              <w:top w:w="80" w:type="dxa"/>
              <w:start w:w="100" w:type="dxa"/>
              <w:bottom w:w="80" w:type="dxa"/>
              <w:end w:w="100" w:type="dxa"/>
            </w:tcMar>
            <w:vAlign w:val="top"/>
            <w:shd w:fill="FAFBFC"/>
          </w:tcPr>
          <w:p>
            <w:pPr>
              <w:spacing w:after="0" w:line="240" w:lineRule="auto"/>
            </w:pPr>
            <w:r>
              <w:rPr>
                <w:rFonts w:ascii="Arial" w:hAnsi="Arial"/>
                <w:b w:val="0"/>
                <w:color w:val="1F2937"/>
                <w:sz w:val="16"/>
              </w:rPr>
              <w:t>Temporary adapter allowing existing UI/API consumers to use new Frappe endpoints.</w:t>
            </w:r>
          </w:p>
        </w:tc>
      </w:tr>
      <w:tr>
        <w:tc>
          <w:tcPr>
            <w:tcW w:type="dxa" w:w="2438"/>
            <w:tcMar>
              <w:top w:w="80" w:type="dxa"/>
              <w:start w:w="100" w:type="dxa"/>
              <w:bottom w:w="80" w:type="dxa"/>
              <w:end w:w="100" w:type="dxa"/>
            </w:tcMar>
            <w:vAlign w:val="top"/>
          </w:tcPr>
          <w:p>
            <w:pPr>
              <w:spacing w:after="0" w:line="240" w:lineRule="auto"/>
            </w:pPr>
            <w:r>
              <w:rPr>
                <w:rFonts w:ascii="Arial" w:hAnsi="Arial"/>
                <w:b/>
                <w:color w:val="1F2937"/>
                <w:sz w:val="16"/>
              </w:rPr>
              <w:t>Freshness</w:t>
            </w:r>
          </w:p>
        </w:tc>
        <w:tc>
          <w:tcPr>
            <w:tcW w:type="dxa" w:w="7427"/>
            <w:tcMar>
              <w:top w:w="80" w:type="dxa"/>
              <w:start w:w="100" w:type="dxa"/>
              <w:bottom w:w="80" w:type="dxa"/>
              <w:end w:w="100" w:type="dxa"/>
            </w:tcMar>
            <w:vAlign w:val="top"/>
          </w:tcPr>
          <w:p>
            <w:pPr>
              <w:spacing w:after="0" w:line="240" w:lineRule="auto"/>
            </w:pPr>
            <w:r>
              <w:rPr>
                <w:rFonts w:ascii="Arial" w:hAnsi="Arial"/>
                <w:b w:val="0"/>
                <w:color w:val="1F2937"/>
                <w:sz w:val="16"/>
              </w:rPr>
              <w:t>Age/validity assessment based on observed/source timestamps and policy, not merely database modified time.</w:t>
            </w:r>
          </w:p>
        </w:tc>
      </w:tr>
    </w:tbl>
    <w:p>
      <w:pPr>
        <w:spacing w:after="80" w:line="254" w:lineRule="auto"/>
      </w:pPr>
    </w:p>
    <w:p>
      <w:pPr>
        <w:pStyle w:val="Heading2"/>
        <w:spacing w:after="80" w:line="259" w:lineRule="auto"/>
      </w:pPr>
      <w:r>
        <w:t>Document note</w:t>
      </w:r>
    </w:p>
    <w:p>
      <w:pPr>
        <w:pStyle w:val="RNSmall"/>
        <w:spacing w:after="80" w:line="259" w:lineRule="auto"/>
      </w:pPr>
      <w:r>
        <w:t>This blueprint is an architecture and implementation reference. It distinguishes confirmed implementation status from target design. National certification, formal government adoption, external security certification, and production cutover are not implied by this document.</w:t>
      </w:r>
    </w:p>
    <w:sectPr w:rsidR="00FC693F" w:rsidRPr="0006063C" w:rsidSect="00034616">
      <w:headerReference w:type="default" r:id="rId9"/>
      <w:footerReference w:type="default" r:id="rId10"/>
      <w:pgSz w:w="11906" w:h="16838"/>
      <w:pgMar w:top="879" w:right="935" w:bottom="822" w:left="935"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5"/>
      </w:rPr>
      <w:t xml:space="preserve">Architecture &amp; Implementation Blueprint  •  Version 1.0  •  24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06D"/>
        <w:sz w:val="15"/>
      </w:rPr>
      <w:t>RESCUE-NET  |  Disaster Management System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NLead">
    <w:name w:val="RN Lead"/>
    <w:rPr>
      <w:rFonts w:ascii="Arial" w:hAnsi="Arial" w:eastAsia="Arial"/>
      <w:b/>
      <w:color w:val="17365D"/>
      <w:sz w:val="25"/>
    </w:rPr>
  </w:style>
  <w:style w:type="paragraph" w:customStyle="1" w:styleId="RNSmall">
    <w:name w:val="RN Small"/>
    <w:rPr>
      <w:rFonts w:ascii="Arial" w:hAnsi="Arial" w:eastAsia="Arial"/>
      <w:b w:val="0"/>
      <w:color w:val="52606D"/>
      <w:sz w:val="16"/>
    </w:rPr>
  </w:style>
  <w:style w:type="paragraph" w:customStyle="1" w:styleId="RNCallout">
    <w:name w:val="RN Callout"/>
    <w:rPr>
      <w:rFonts w:ascii="Arial" w:hAnsi="Arial" w:eastAsia="Arial"/>
      <w:b w:val="0"/>
      <w:color w:val="1F2937"/>
      <w:sz w:val="18"/>
    </w:rPr>
  </w:style>
  <w:style w:type="paragraph" w:customStyle="1" w:styleId="RNTable">
    <w:name w:val="RN Table"/>
    <w:rPr>
      <w:rFonts w:ascii="Arial" w:hAnsi="Arial" w:eastAsia="Arial"/>
      <w:b w:val="0"/>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Rescue-Net Disaster Management System Blueprint v1.0</dc:title>
  <dc:subject>Capabilities, architecture, data, technical programming, security, operations, migration, and national scaling blueprint</dc:subject>
  <dc:creator>Rescue-Net Project</dc:creator>
  <cp:keywords>Rescue-Net, disaster management, architecture, Frappe, FastAPI, PostgreSQL, logistics, medical, shelter, AI, offline, War Room</cp:keywords>
  <dc:description>generated by python-docx</dc:description>
  <cp:lastModifiedBy/>
  <cp:revision>1</cp:revision>
  <dcterms:created xsi:type="dcterms:W3CDTF">2013-12-23T23:15:00Z</dcterms:created>
  <dcterms:modified xsi:type="dcterms:W3CDTF">2013-12-23T23:15:00Z</dcterms:modified>
  <cp:category/>
</cp:coreProperties>
</file>