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Article 1 – When Nothing Happens, Engineering Is Working</w:t>
      </w:r>
    </w:p>
    <w:p>
      <w:r>
        <w:br/>
        <w:t>In critical infrastructure, success is defined by the absence of events.</w:t>
        <w:br/>
        <w:t>This journal documents the work required to make that absence possible.</w:t>
      </w:r>
    </w:p>
    <w:p>
      <w:r>
        <w:t>A data center that operates reliably does not announce itself.</w:t>
        <w:br/>
        <w:t>No alarms. No outages. No drama.</w:t>
        <w:br/>
        <w:t>Yet these non-events are engineered through continuous operational decisions.</w:t>
      </w:r>
    </w:p>
    <w:p>
      <w:r>
        <w:t>Reliability is not a feature. It is a process.</w:t>
        <w:br/>
        <w:t>Systems do not remain reliable by design alone, but by daily human and organizational effort.</w:t>
      </w:r>
    </w:p>
    <w:p>
      <w:r>
        <w:t>This journal bridges operational reality with engineering theory—showing how principles from safety science,</w:t>
        <w:br/>
        <w:t>resilience engineering, and international standards are applied in live environments.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