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Article 2 – Alarm Fatigue Is Not a Human Problem</w:t>
      </w:r>
    </w:p>
    <w:p>
      <w:r>
        <w:br/>
        <w:t>Abstract</w:t>
        <w:br/>
        <w:t>Alarm fatigue is often misattributed to human negligence or lack of discipline. In mission‑critical environments such as data centers, this interpretation is both inaccurate and dangerous.</w:t>
      </w:r>
    </w:p>
    <w:p>
      <w:r>
        <w:t>1. Introduction</w:t>
        <w:br/>
        <w:t>Alarm fatigue is fundamentally a system design and governance problem, not a human failure.</w:t>
      </w:r>
    </w:p>
    <w:p>
      <w:r>
        <w:t>2. Human Factors and Cognitive Load</w:t>
        <w:br/>
        <w:t>Humans have finite attention capacity. Alarm floods degrade response quality.</w:t>
      </w:r>
    </w:p>
    <w:p>
      <w:r>
        <w:t>3. Operational Case Context</w:t>
        <w:br/>
        <w:t>Construction-phase operations significantly increase nuisance alarms.</w:t>
      </w:r>
    </w:p>
    <w:p>
      <w:r>
        <w:t>4. Structured Intervention</w:t>
        <w:br/>
        <w:t>Alarm rationalization, isolation matrices, and permit integration were applied.</w:t>
      </w:r>
    </w:p>
    <w:p>
      <w:r>
        <w:t>5. Results</w:t>
        <w:br/>
        <w:t>&gt;90% alarm reduction and zero false evacuations.</w:t>
      </w:r>
    </w:p>
    <w:p>
      <w:r>
        <w:t>6. Conclusion</w:t>
        <w:br/>
        <w:t>Alarm systems must be engineered for humans.</w:t>
        <w:br/>
      </w:r>
    </w:p>
    <w:p>
      <w:r>
        <w:br w:type="page"/>
      </w:r>
    </w:p>
    <w:p>
      <w:r>
        <w:br/>
        <w:t>References</w:t>
        <w:br/>
        <w:t>Reason, J. (1997). Managing the Risks of Organizational Accidents.</w:t>
        <w:br/>
        <w:t>Hollnagel, E. (2014). Safety-I and Safety-II.</w:t>
        <w:br/>
        <w:t>Endsley, M. (1995). Situation Awareness.</w:t>
        <w:br/>
        <w:t>EEMUA 191. (2013).</w:t>
        <w:br/>
        <w:t>ISA-18.2. (2022).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