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6D7AA" w14:textId="77777777" w:rsidR="007A30BD" w:rsidRDefault="00916B09">
      <w:pPr>
        <w:pStyle w:val="Heading1"/>
      </w:pPr>
      <w:r>
        <w:t>Article 3 – Maintenance Compliance Is Not a Technician Problem</w:t>
      </w:r>
    </w:p>
    <w:p w14:paraId="7C4C43BC" w14:textId="77777777" w:rsidR="007A30BD" w:rsidRDefault="00916B09">
      <w:r>
        <w:t>How compliance emerges from workflow engineering, human factors, and asset governance in live data center operations</w:t>
      </w:r>
    </w:p>
    <w:p w14:paraId="14CF7F3B" w14:textId="77777777" w:rsidR="007A30BD" w:rsidRDefault="00916B09">
      <w:r>
        <w:rPr>
          <w:i/>
        </w:rPr>
        <w:t>Bagus Dwi Permana  |  02 Feb 2026</w:t>
      </w:r>
    </w:p>
    <w:p w14:paraId="7750BEB1" w14:textId="77777777" w:rsidR="007A30BD" w:rsidRDefault="007A30BD"/>
    <w:p w14:paraId="6FB07858" w14:textId="77777777" w:rsidR="007A30BD" w:rsidRDefault="00916B09">
      <w:pPr>
        <w:pStyle w:val="Heading2"/>
      </w:pPr>
      <w:r>
        <w:t>Abstract</w:t>
      </w:r>
    </w:p>
    <w:p w14:paraId="6005C579" w14:textId="77777777" w:rsidR="007A30BD" w:rsidRDefault="00916B09">
      <w:pPr>
        <w:pStyle w:val="BodyTextCustom"/>
      </w:pPr>
      <w:r>
        <w:t xml:space="preserve">Maintenance </w:t>
      </w:r>
      <w:r>
        <w:t xml:space="preserve">compliance in mission-critical data centers is often framed as a technician discipline problem: ‘people are not closing work orders’, ‘people forget tasks’, or ‘people don’t follow the plan’. This framing is attractive because it is simple—and wrong often </w:t>
      </w:r>
      <w:r>
        <w:t>enough to be dangerous. This article argues that sustained compliance is an emergent property of a well-designed maintenance operating system that reduces administrative friction, makes ownership unambiguous, and protects execution across shift boundaries.</w:t>
      </w:r>
      <w:r>
        <w:t xml:space="preserve"> Using a live operations case (anonymized) where planned maintenance compliance improved by more than 30 percentage points without increasing technician headcount, we connect practical interventions to established research in safety science, human factors,</w:t>
      </w:r>
      <w:r>
        <w:t xml:space="preserve"> and asset management (Reason; Hollnagel; Endsley; ISO 55000; and alarm-management analogs such as ISA‑18.2 / EEMUA 191). We also provide a repeatable, audit-ready framework: governance rhythms, evidence standards, escalation thresholds, and leading indica</w:t>
      </w:r>
      <w:r>
        <w:t>tors to prevent compliance decay.</w:t>
      </w:r>
    </w:p>
    <w:p w14:paraId="58759663" w14:textId="77777777" w:rsidR="007A30BD" w:rsidRDefault="00916B09">
      <w:pPr>
        <w:pStyle w:val="Heading2"/>
      </w:pPr>
      <w:r>
        <w:t>Opening Hook</w:t>
      </w:r>
    </w:p>
    <w:p w14:paraId="32172F3B" w14:textId="77777777" w:rsidR="007A30BD" w:rsidRDefault="00916B09">
      <w:pPr>
        <w:pStyle w:val="BodyTextCustom"/>
      </w:pPr>
      <w:r>
        <w:t>If you want a fast way to predict a future outage, don’t start with the single-line diagram. Start with the work order backlog.</w:t>
      </w:r>
    </w:p>
    <w:p w14:paraId="3E7BA70D" w14:textId="77777777" w:rsidR="007A30BD" w:rsidRDefault="00916B09">
      <w:pPr>
        <w:pStyle w:val="BodyTextCustom"/>
      </w:pPr>
      <w:r>
        <w:t>In a live data center, the most expensive failures rarely start as dramatic event</w:t>
      </w:r>
      <w:r>
        <w:t>s. They start as quiet drift: a PM deferred ‘just this week’, a WO closed with no evidence because the next ticket is already waiting, a shift handover that assumes ‘the other team will finish it’, and a maintenance plan that exists in a spreadsheet but no</w:t>
      </w:r>
      <w:r>
        <w:t>t in daily execution.</w:t>
      </w:r>
    </w:p>
    <w:p w14:paraId="28C4758A" w14:textId="77777777" w:rsidR="007A30BD" w:rsidRDefault="00916B09">
      <w:pPr>
        <w:pStyle w:val="BodyTextCustom"/>
      </w:pPr>
      <w:r>
        <w:t>That drift is not a personal flaw. It is a system design outcome.</w:t>
      </w:r>
    </w:p>
    <w:p w14:paraId="13DE047B" w14:textId="77777777" w:rsidR="007A30BD" w:rsidRDefault="00916B09">
      <w:pPr>
        <w:pStyle w:val="Heading2"/>
      </w:pPr>
      <w:r>
        <w:t>1. Why this topic matters in data centers</w:t>
      </w:r>
    </w:p>
    <w:p w14:paraId="475E91E3" w14:textId="77777777" w:rsidR="007A30BD" w:rsidRDefault="00916B09">
      <w:pPr>
        <w:pStyle w:val="BodyTextCustom"/>
      </w:pPr>
      <w:r>
        <w:t>A data center is a high-reliability environment where availability is maintained not by a single heroic action,</w:t>
      </w:r>
      <w:r>
        <w:br/>
        <w:t>but by continu</w:t>
      </w:r>
      <w:r>
        <w:t>ous control of risk. Planned maintenance (PM) is one of the few levers that allows operations teams to</w:t>
      </w:r>
      <w:r>
        <w:br/>
        <w:t>reduce risk before it becomes visible. When PM compliance drops, two things happen simultaneously:</w:t>
      </w:r>
    </w:p>
    <w:p w14:paraId="120F9BF1" w14:textId="77777777" w:rsidR="007A30BD" w:rsidRDefault="00916B09">
      <w:pPr>
        <w:pStyle w:val="BodyTextCustom"/>
      </w:pPr>
      <w:r>
        <w:lastRenderedPageBreak/>
        <w:t>• **Latent risk increases**: hidden degradation accumu</w:t>
      </w:r>
      <w:r>
        <w:t xml:space="preserve">lates (contacts heat up, filters load, sensor drift grows, battery impedance rises).  </w:t>
      </w:r>
      <w:r>
        <w:br/>
        <w:t>• **Organizational visibility decreases**: if the work is not executed or not evidenced, the organization cannot prove control—auditors, customers, and leadership see un</w:t>
      </w:r>
      <w:r>
        <w:t>certainty.</w:t>
      </w:r>
    </w:p>
    <w:p w14:paraId="7BDE244B" w14:textId="77777777" w:rsidR="007A30BD" w:rsidRDefault="00916B09">
      <w:pPr>
        <w:pStyle w:val="BodyTextCustom"/>
      </w:pPr>
      <w:r>
        <w:t>The operational consequence is not only “more breakdown maintenance.” It is a reduction in the facility’s ability to defend itself</w:t>
      </w:r>
      <w:r>
        <w:br/>
        <w:t>during abnormal conditions—grid disturbances, heat waves, or concurrent work. In other words: compliance is a reli</w:t>
      </w:r>
      <w:r>
        <w:t>ability control, not a reporting KPI.</w:t>
      </w:r>
    </w:p>
    <w:p w14:paraId="142356D9" w14:textId="77777777" w:rsidR="007A30BD" w:rsidRDefault="00916B09">
      <w:pPr>
        <w:pStyle w:val="Heading2"/>
      </w:pPr>
      <w:r>
        <w:t>2. The common (wrong) narrative: ‘technicians are the problem’</w:t>
      </w:r>
    </w:p>
    <w:p w14:paraId="2AC77137" w14:textId="77777777" w:rsidR="007A30BD" w:rsidRDefault="00916B09">
      <w:pPr>
        <w:pStyle w:val="BodyTextCustom"/>
      </w:pPr>
      <w:r>
        <w:t>When compliance is low, common actions include reminders, toolbox talks, increased supervision, or disciplinary pressure.</w:t>
      </w:r>
      <w:r>
        <w:br/>
        <w:t>These may temporarily improve num</w:t>
      </w:r>
      <w:r>
        <w:t>bers but rarely create sustained change. Safety science explains why:</w:t>
      </w:r>
    </w:p>
    <w:p w14:paraId="404F0F2A" w14:textId="77777777" w:rsidR="007A30BD" w:rsidRDefault="00916B09">
      <w:pPr>
        <w:pStyle w:val="BodyTextCustom"/>
      </w:pPr>
      <w:r>
        <w:t>• **Active failures are visible; latent conditions are not.** Organizations tend to fix what they can see (a missed task) rather than what created it (a system that makes missing tasks l</w:t>
      </w:r>
      <w:r>
        <w:t xml:space="preserve">ikely).  </w:t>
      </w:r>
      <w:r>
        <w:br/>
        <w:t>• **Local optimizations dominate.** A technician can ‘optimize’ by finishing physical work fast and delaying documentation, because the system rewards visible completion more than evidence quality.</w:t>
      </w:r>
    </w:p>
    <w:p w14:paraId="3405A356" w14:textId="77777777" w:rsidR="007A30BD" w:rsidRDefault="00916B09">
      <w:pPr>
        <w:pStyle w:val="BodyTextCustom"/>
      </w:pPr>
      <w:r>
        <w:t>James Reason’s model of organizational accidents</w:t>
      </w:r>
      <w:r>
        <w:t xml:space="preserve"> emphasizes that major outcomes emerge from layers of latent conditions</w:t>
      </w:r>
      <w:r>
        <w:br/>
        <w:t>aligning over time—not from a single person’s choice. If the system repeatedly produces noncompliance across different individuals and shifts,</w:t>
      </w:r>
      <w:r>
        <w:br/>
        <w:t xml:space="preserve">it is statistically more likely that the </w:t>
      </w:r>
      <w:r>
        <w:t>system is the primary driver.</w:t>
      </w:r>
    </w:p>
    <w:p w14:paraId="5757F55B" w14:textId="77777777" w:rsidR="007A30BD" w:rsidRDefault="00916B09">
      <w:pPr>
        <w:pStyle w:val="Heading2"/>
      </w:pPr>
      <w:r>
        <w:t>3. A practical definition: what ‘maintenance compliance’ really means</w:t>
      </w:r>
    </w:p>
    <w:p w14:paraId="646C791A" w14:textId="77777777" w:rsidR="007A30BD" w:rsidRDefault="00916B09">
      <w:pPr>
        <w:pStyle w:val="BodyTextCustom"/>
      </w:pPr>
      <w:r>
        <w:t>In operations, “maintenance compliance” is often treated as a percentage. For governance, it must be decomposed into controllable elements.</w:t>
      </w:r>
      <w:r>
        <w:br/>
        <w:t>A robust definit</w:t>
      </w:r>
      <w:r>
        <w:t>ion for mission-critical sites is:</w:t>
      </w:r>
    </w:p>
    <w:p w14:paraId="306EBA81" w14:textId="77777777" w:rsidR="007A30BD" w:rsidRDefault="00916B09">
      <w:pPr>
        <w:pStyle w:val="BodyTextCustom"/>
      </w:pPr>
      <w:r>
        <w:t>**Maintenance compliance = (Right work) + (Right time) + (Right evidence) + (Right ownership)**</w:t>
      </w:r>
    </w:p>
    <w:p w14:paraId="22F5BB76" w14:textId="77777777" w:rsidR="007A30BD" w:rsidRDefault="00916B09">
      <w:pPr>
        <w:pStyle w:val="BodyTextCustom"/>
      </w:pPr>
      <w:r>
        <w:t xml:space="preserve">1) **Right work**: task scope matches asset criticality, OEM intent, and site risk posture (RCM / asset criticality logic).  </w:t>
      </w:r>
      <w:r>
        <w:br/>
        <w:t xml:space="preserve">2) **Right time**: executed within tolerance windows (not just “this month”), considering seasonal risk and concurrent work.  </w:t>
      </w:r>
      <w:r>
        <w:br/>
        <w:t xml:space="preserve">3) **Right evidence**: proof that the work occurred and met acceptance criteria (photos, readings, test results, signatures).  </w:t>
      </w:r>
      <w:r>
        <w:br/>
      </w:r>
      <w:r>
        <w:t>4) **Right ownership**: one accountable person per WO (not a team label), including cross-shift continuity.</w:t>
      </w:r>
    </w:p>
    <w:p w14:paraId="4825541D" w14:textId="77777777" w:rsidR="007A30BD" w:rsidRDefault="00916B09">
      <w:pPr>
        <w:pStyle w:val="BodyTextCustom"/>
      </w:pPr>
      <w:r>
        <w:lastRenderedPageBreak/>
        <w:t>If any of these components fail, the KPI may still look “green” while risk grows. This is why compliance must be engineered.</w:t>
      </w:r>
    </w:p>
    <w:p w14:paraId="5B18C9DB" w14:textId="77777777" w:rsidR="007A30BD" w:rsidRDefault="00916B09">
      <w:pPr>
        <w:pStyle w:val="Heading2"/>
      </w:pPr>
      <w:r>
        <w:t>4. Human factors: why g</w:t>
      </w:r>
      <w:r>
        <w:t>ood people still fail in bad systems</w:t>
      </w:r>
    </w:p>
    <w:p w14:paraId="6104B0EC" w14:textId="77777777" w:rsidR="007A30BD" w:rsidRDefault="00916B09">
      <w:pPr>
        <w:pStyle w:val="BodyTextCustom"/>
      </w:pPr>
      <w:r>
        <w:t>Two human factors mechanisms commonly drive compliance decay:</w:t>
      </w:r>
    </w:p>
    <w:p w14:paraId="0C0429D3" w14:textId="77777777" w:rsidR="007A30BD" w:rsidRDefault="00916B09">
      <w:pPr>
        <w:pStyle w:val="BodyTextCustom"/>
      </w:pPr>
      <w:r>
        <w:t>### 4.1 Cognitive load and attention allocation</w:t>
      </w:r>
      <w:r>
        <w:br/>
        <w:t>Operators and technicians in a live data center face interrupt-driven work: alarms, customer requests, vendor</w:t>
      </w:r>
      <w:r>
        <w:t xml:space="preserve"> access, safety checks, and urgent troubleshooting.</w:t>
      </w:r>
      <w:r>
        <w:br/>
        <w:t>Endsley’s situational awareness theory explains that when cognitive resources are consumed by coordination overhead,</w:t>
      </w:r>
      <w:r>
        <w:br/>
        <w:t>the quality of perception and decision-making drops. In practice, documentation and rec</w:t>
      </w:r>
      <w:r>
        <w:t>onciliation are often the first casualties.</w:t>
      </w:r>
    </w:p>
    <w:p w14:paraId="16C54032" w14:textId="77777777" w:rsidR="007A30BD" w:rsidRDefault="00916B09">
      <w:pPr>
        <w:pStyle w:val="BodyTextCustom"/>
      </w:pPr>
      <w:r>
        <w:t>### 4.2 Administrative friction as a ‘tax’ on execution</w:t>
      </w:r>
      <w:r>
        <w:br/>
        <w:t>Every extra click, form, missing field, approval loop, or unclear status creates friction.</w:t>
      </w:r>
      <w:r>
        <w:br/>
        <w:t>Friction increases time-to-close and encourages shortcuts. Over t</w:t>
      </w:r>
      <w:r>
        <w:t>ime, the organization normalizes incomplete evidence</w:t>
      </w:r>
      <w:r>
        <w:br/>
        <w:t>because the maintenance system makes “doing it properly” too expensive in operator time.</w:t>
      </w:r>
    </w:p>
    <w:p w14:paraId="283C8F03" w14:textId="77777777" w:rsidR="007A30BD" w:rsidRDefault="00916B09">
      <w:pPr>
        <w:pStyle w:val="BodyTextCustom"/>
      </w:pPr>
      <w:r>
        <w:t>**Key implication:** If the maintenance operating system is not designed around human capability limits, it will d</w:t>
      </w:r>
      <w:r>
        <w:t>egrade—predictably.</w:t>
      </w:r>
    </w:p>
    <w:p w14:paraId="36473F8E" w14:textId="77777777" w:rsidR="007A30BD" w:rsidRDefault="00916B09">
      <w:pPr>
        <w:pStyle w:val="Heading2"/>
      </w:pPr>
      <w:r>
        <w:t>5. Case context (anonymized): how noncompliance appeared in live operations</w:t>
      </w:r>
    </w:p>
    <w:p w14:paraId="665DFFC7" w14:textId="77777777" w:rsidR="007A30BD" w:rsidRDefault="00916B09">
      <w:pPr>
        <w:pStyle w:val="BodyTextCustom"/>
      </w:pPr>
      <w:r>
        <w:t>In the case environment (concurrently maintainable data center in Southeast Asia), PM compliance was significantly below target:</w:t>
      </w:r>
      <w:r>
        <w:br/>
        <w:t xml:space="preserve">roughly one-third of </w:t>
      </w:r>
      <w:r>
        <w:t>planned work was late, incomplete, or undocumented. Importantly, technicians were not incompetent.</w:t>
      </w:r>
      <w:r>
        <w:br/>
        <w:t>They were busy, technically capable, and often delivered physical work—but the operating system failed to preserve ownership and evidence.</w:t>
      </w:r>
    </w:p>
    <w:p w14:paraId="3F2A634A" w14:textId="77777777" w:rsidR="007A30BD" w:rsidRDefault="00916B09">
      <w:pPr>
        <w:pStyle w:val="BodyTextCustom"/>
      </w:pPr>
      <w:r>
        <w:t>Typical symptoms o</w:t>
      </w:r>
      <w:r>
        <w:t>bserved:</w:t>
      </w:r>
      <w:r>
        <w:br/>
        <w:t xml:space="preserve">• Work orders left open across multiple shifts with unclear next action.  </w:t>
      </w:r>
      <w:r>
        <w:br/>
        <w:t xml:space="preserve">• WOs closed with generic remarks (“OK”, “Done”) without readings or acceptance evidence.  </w:t>
      </w:r>
      <w:r>
        <w:br/>
        <w:t>• PM tasks delayed due to access constraints, then forgotten because no reconcil</w:t>
      </w:r>
      <w:r>
        <w:t xml:space="preserve">iation existed.  </w:t>
      </w:r>
      <w:r>
        <w:br/>
        <w:t>• Shift handovers focused on incidents, not on “open risk” from incomplete planned work.</w:t>
      </w:r>
    </w:p>
    <w:p w14:paraId="582FDA3C" w14:textId="77777777" w:rsidR="007A30BD" w:rsidRDefault="00916B09">
      <w:pPr>
        <w:pStyle w:val="BodyTextCustom"/>
      </w:pPr>
      <w:r>
        <w:t>The result was a familiar pattern: compliance looked like a people problem, but behaved like a workflow problem.</w:t>
      </w:r>
    </w:p>
    <w:p w14:paraId="3ED40D28" w14:textId="77777777" w:rsidR="007A30BD" w:rsidRDefault="00916B09">
      <w:pPr>
        <w:pStyle w:val="Heading2"/>
      </w:pPr>
      <w:r>
        <w:t>6. Root cause analysis: locating the</w:t>
      </w:r>
      <w:r>
        <w:t xml:space="preserve"> system constraints</w:t>
      </w:r>
    </w:p>
    <w:p w14:paraId="68099DCE" w14:textId="77777777" w:rsidR="007A30BD" w:rsidRDefault="00916B09">
      <w:pPr>
        <w:pStyle w:val="BodyTextCustom"/>
      </w:pPr>
      <w:r>
        <w:t>A practical RCA was performed using a “maintenance value stream” lens: from **work identification → planning → execution → verification → close-out → learning**.</w:t>
      </w:r>
      <w:r>
        <w:br/>
        <w:t>The dominant constraints were not technical; they were control weaknesses.</w:t>
      </w:r>
    </w:p>
    <w:p w14:paraId="53F7E5B7" w14:textId="77777777" w:rsidR="007A30BD" w:rsidRDefault="00916B09">
      <w:pPr>
        <w:pStyle w:val="BodyTextCustom"/>
      </w:pPr>
      <w:r>
        <w:lastRenderedPageBreak/>
        <w:t>### 6.1 Ownership ambiguity</w:t>
      </w:r>
      <w:r>
        <w:br/>
        <w:t>Work orders were assigned to a queue or shift rather than a named owner.</w:t>
      </w:r>
      <w:r>
        <w:br/>
        <w:t>When responsibility is collective, it becomes optional. This is a governance design flaw.</w:t>
      </w:r>
    </w:p>
    <w:p w14:paraId="68347D50" w14:textId="77777777" w:rsidR="007A30BD" w:rsidRDefault="00916B09">
      <w:pPr>
        <w:pStyle w:val="BodyTextCustom"/>
      </w:pPr>
      <w:r>
        <w:t>### 6.2 Missing shift-level reconciliation</w:t>
      </w:r>
      <w:r>
        <w:br/>
        <w:t>There was no mandator</w:t>
      </w:r>
      <w:r>
        <w:t>y checkpoint where incoming shift reconciled:</w:t>
      </w:r>
      <w:r>
        <w:br/>
        <w:t xml:space="preserve">• Which PMs are due today/this week?  </w:t>
      </w:r>
      <w:r>
        <w:br/>
        <w:t xml:space="preserve">• Which WOs are open and why?  </w:t>
      </w:r>
      <w:r>
        <w:br/>
        <w:t>• What is blocked (access, parts, vendor, permit) and what is the next action?</w:t>
      </w:r>
    </w:p>
    <w:p w14:paraId="40B84C1D" w14:textId="77777777" w:rsidR="007A30BD" w:rsidRDefault="00916B09">
      <w:pPr>
        <w:pStyle w:val="BodyTextCustom"/>
      </w:pPr>
      <w:r>
        <w:t>Without reconciliation, the system loses memory at every shi</w:t>
      </w:r>
      <w:r>
        <w:t>ft boundary.</w:t>
      </w:r>
    </w:p>
    <w:p w14:paraId="794CDD82" w14:textId="77777777" w:rsidR="007A30BD" w:rsidRDefault="00916B09">
      <w:pPr>
        <w:pStyle w:val="BodyTextCustom"/>
      </w:pPr>
      <w:r>
        <w:t>### 6.3 Lack of escalation signals tied to risk, not dates</w:t>
      </w:r>
      <w:r>
        <w:br/>
        <w:t>Escalation was either absent or purely date-based (“overdue”).</w:t>
      </w:r>
      <w:r>
        <w:br/>
        <w:t>In critical environments, escalation must be risk-based (asset criticality, safety impact, redundancy state, concurrent w</w:t>
      </w:r>
      <w:r>
        <w:t>ork).</w:t>
      </w:r>
    </w:p>
    <w:p w14:paraId="14DAB06D" w14:textId="77777777" w:rsidR="007A30BD" w:rsidRDefault="00916B09">
      <w:pPr>
        <w:pStyle w:val="BodyTextCustom"/>
      </w:pPr>
      <w:r>
        <w:t>### 6.4 Evidence standards were undefined</w:t>
      </w:r>
      <w:r>
        <w:br/>
        <w:t>Technicians can only meet standards that exist. “Attach evidence” is not a standard.</w:t>
      </w:r>
      <w:r>
        <w:br/>
        <w:t>Evidence must be defined: which readings, which photos, which acceptance criteria, and what constitutes a complete record.</w:t>
      </w:r>
    </w:p>
    <w:p w14:paraId="24AF042A" w14:textId="77777777" w:rsidR="007A30BD" w:rsidRDefault="00916B09">
      <w:pPr>
        <w:pStyle w:val="BodyTextCustom"/>
      </w:pPr>
      <w:r>
        <w:t>Conclusion of RCA:</w:t>
      </w:r>
      <w:r>
        <w:br/>
        <w:t xml:space="preserve">&gt; The maintenance system did not create a reliable path for work to move from ‘planned’ to ‘proven done’.  </w:t>
      </w:r>
      <w:r>
        <w:br/>
        <w:t>&gt; The system produced noncompliance by design.</w:t>
      </w:r>
    </w:p>
    <w:p w14:paraId="693F8C6F" w14:textId="77777777" w:rsidR="007A30BD" w:rsidRDefault="00916B09">
      <w:pPr>
        <w:pStyle w:val="Heading2"/>
      </w:pPr>
      <w:r>
        <w:t xml:space="preserve">7. The intervention: redesigning the maintenance operating system (without adding </w:t>
      </w:r>
      <w:r>
        <w:t>headcount)</w:t>
      </w:r>
    </w:p>
    <w:p w14:paraId="45FB5B9C" w14:textId="77777777" w:rsidR="007A30BD" w:rsidRDefault="00916B09">
      <w:pPr>
        <w:pStyle w:val="BodyTextCustom"/>
      </w:pPr>
      <w:r>
        <w:t>The corrective strategy intentionally avoided “more pressure”. Instead, it applied workflow engineering, similar in spirit to alarm management standards</w:t>
      </w:r>
      <w:r>
        <w:br/>
        <w:t>(ISA‑18.2 / EEMUA 191), where the objective is to reduce noise, make priority clear, and cre</w:t>
      </w:r>
      <w:r>
        <w:t>ate a lifecycle that prevents overload.</w:t>
      </w:r>
    </w:p>
    <w:p w14:paraId="56F64EFB" w14:textId="77777777" w:rsidR="007A30BD" w:rsidRDefault="00916B09">
      <w:pPr>
        <w:pStyle w:val="BodyTextCustom"/>
      </w:pPr>
      <w:r>
        <w:t>### 7.1 Work order architecture: one WO, one owner</w:t>
      </w:r>
      <w:r>
        <w:br/>
        <w:t>Every WO was assigned to a named person (accountable owner), even if execution required helpers or vendors.</w:t>
      </w:r>
      <w:r>
        <w:br/>
        <w:t>Ownership continuity across shifts was enforced: if the o</w:t>
      </w:r>
      <w:r>
        <w:t>wner goes off shift, the handover transfers ownership explicitly.</w:t>
      </w:r>
      <w:r>
        <w:br/>
        <w:t>This is aligned with ISO 55000’s emphasis on clear roles, responsibilities, and control of asset-related activities.</w:t>
      </w:r>
    </w:p>
    <w:p w14:paraId="4240CED2" w14:textId="77777777" w:rsidR="007A30BD" w:rsidRDefault="00916B09">
      <w:pPr>
        <w:pStyle w:val="BodyTextCustom"/>
      </w:pPr>
      <w:r>
        <w:t>### 7.2 Shift handover checklist: PM reconciliation becomes non-negotiabl</w:t>
      </w:r>
      <w:r>
        <w:t>e</w:t>
      </w:r>
      <w:r>
        <w:br/>
        <w:t>A short, mandatory handover checklist was embedded into shift routine:</w:t>
      </w:r>
      <w:r>
        <w:br/>
      </w:r>
      <w:r>
        <w:lastRenderedPageBreak/>
        <w:t xml:space="preserve">1) Review PM due list (next 7 days).  </w:t>
      </w:r>
      <w:r>
        <w:br/>
        <w:t xml:space="preserve">2) Review open WOs: classify as “in progress / blocked / awaiting verification”.  </w:t>
      </w:r>
      <w:r>
        <w:br/>
        <w:t>3) For blocked items: record the blocker and next action owne</w:t>
      </w:r>
      <w:r>
        <w:t xml:space="preserve">r (spares, access, vendor schedule).  </w:t>
      </w:r>
      <w:r>
        <w:br/>
        <w:t xml:space="preserve">4) Confirm which WOs require evidence capture before closure.  </w:t>
      </w:r>
      <w:r>
        <w:br/>
        <w:t>5) Identify “risk exposure” items (critical assets, redundancy reduced).</w:t>
      </w:r>
    </w:p>
    <w:p w14:paraId="4B4B2DBF" w14:textId="77777777" w:rsidR="007A30BD" w:rsidRDefault="00916B09">
      <w:pPr>
        <w:pStyle w:val="BodyTextCustom"/>
      </w:pPr>
      <w:r>
        <w:t>### 7.3 Escalation model: early warnings, not late surprises</w:t>
      </w:r>
      <w:r>
        <w:br/>
        <w:t>Escalation threshol</w:t>
      </w:r>
      <w:r>
        <w:t>ds were defined in layers:</w:t>
      </w:r>
      <w:r>
        <w:br/>
        <w:t xml:space="preserve">• **T‑7 / T‑3 warnings** before due date for critical assets.  </w:t>
      </w:r>
      <w:r>
        <w:br/>
        <w:t xml:space="preserve">• **Overdue triggers** linked to asset criticality and system state (e.g., redundancy reduced).  </w:t>
      </w:r>
      <w:r>
        <w:br/>
        <w:t>• **Leadership review** weekly: focus on systemic blockers, not bla</w:t>
      </w:r>
      <w:r>
        <w:t>ming individuals.</w:t>
      </w:r>
    </w:p>
    <w:p w14:paraId="1E26E1F7" w14:textId="77777777" w:rsidR="007A30BD" w:rsidRDefault="00916B09">
      <w:pPr>
        <w:pStyle w:val="BodyTextCustom"/>
      </w:pPr>
      <w:r>
        <w:t>### 7.4 Evidence engineering: define “done” with acceptance criteria</w:t>
      </w:r>
      <w:r>
        <w:br/>
        <w:t>For each PM type, minimum evidence was standardized:</w:t>
      </w:r>
      <w:r>
        <w:br/>
        <w:t xml:space="preserve">• Required readings (e.g., voltage, current, temperature, pressure, ΔP, battery impedance).  </w:t>
      </w:r>
      <w:r>
        <w:br/>
        <w:t>• Required photos (bef</w:t>
      </w:r>
      <w:r>
        <w:t xml:space="preserve">ore/after where meaningful).  </w:t>
      </w:r>
      <w:r>
        <w:br/>
        <w:t xml:space="preserve">• Pass/fail acceptance criteria (OEM / site standard).  </w:t>
      </w:r>
      <w:r>
        <w:br/>
        <w:t>• Sign-off requirements (role-based, audit-style).</w:t>
      </w:r>
    </w:p>
    <w:p w14:paraId="54B77195" w14:textId="77777777" w:rsidR="007A30BD" w:rsidRDefault="00916B09">
      <w:pPr>
        <w:pStyle w:val="BodyTextCustom"/>
      </w:pPr>
      <w:r>
        <w:t>### 7.5 Governance rhythm: make compliance visible, then make it controllable</w:t>
      </w:r>
      <w:r>
        <w:br/>
        <w:t>A weekly cadence meeting reviewed:</w:t>
      </w:r>
      <w:r>
        <w:br/>
        <w:t>• Co</w:t>
      </w:r>
      <w:r>
        <w:t xml:space="preserve">mpliance trend (weekly, rolling 4 weeks).  </w:t>
      </w:r>
      <w:r>
        <w:br/>
        <w:t xml:space="preserve">• Top recurring blockers (parts, access, vendor bottlenecks).  </w:t>
      </w:r>
      <w:r>
        <w:br/>
        <w:t xml:space="preserve">• Quality sampling of WO evidence (random audit).  </w:t>
      </w:r>
      <w:r>
        <w:br/>
        <w:t>• Actions for system improvement (template updates, stock strategy, access rules).</w:t>
      </w:r>
    </w:p>
    <w:p w14:paraId="1C8D4B74" w14:textId="77777777" w:rsidR="007A30BD" w:rsidRDefault="00916B09">
      <w:pPr>
        <w:pStyle w:val="BodyTextCustom"/>
      </w:pPr>
      <w:r>
        <w:t xml:space="preserve">**Notably:** </w:t>
      </w:r>
      <w:r>
        <w:t>technician headcount and skill mix were unchanged. The system was redesigned.</w:t>
      </w:r>
    </w:p>
    <w:p w14:paraId="73947150" w14:textId="77777777" w:rsidR="007A30BD" w:rsidRDefault="00916B09">
      <w:pPr>
        <w:pStyle w:val="Heading2"/>
      </w:pPr>
      <w:r>
        <w:t>8. Results and verification: what improved and how we knew it was real</w:t>
      </w:r>
    </w:p>
    <w:p w14:paraId="20CBF18A" w14:textId="77777777" w:rsidR="007A30BD" w:rsidRDefault="00916B09">
      <w:pPr>
        <w:pStyle w:val="BodyTextCustom"/>
      </w:pPr>
      <w:r>
        <w:t>The intervention produced measurable improvement:</w:t>
      </w:r>
      <w:r>
        <w:br/>
        <w:t>• **Compliance improved by &gt;30 percentage points** to nea</w:t>
      </w:r>
      <w:r>
        <w:t xml:space="preserve">r-full compliance.  </w:t>
      </w:r>
      <w:r>
        <w:br/>
        <w:t xml:space="preserve">• **WO closure quality improved** (evidence completeness sampling increased).  </w:t>
      </w:r>
      <w:r>
        <w:br/>
        <w:t xml:space="preserve">• **Audit exposure reduced**: fewer findings related to missing records and overdue PMs.  </w:t>
      </w:r>
      <w:r>
        <w:br/>
        <w:t>• **Predictability improved**: fewer “end-of-month rush” behavio</w:t>
      </w:r>
      <w:r>
        <w:t>rs, smoother workload distribution.</w:t>
      </w:r>
    </w:p>
    <w:p w14:paraId="4AFE0F21" w14:textId="77777777" w:rsidR="007A30BD" w:rsidRDefault="00916B09">
      <w:pPr>
        <w:pStyle w:val="BodyTextCustom"/>
      </w:pPr>
      <w:r>
        <w:t>Verification approach (to avoid “paper compliance”):</w:t>
      </w:r>
      <w:r>
        <w:br/>
        <w:t xml:space="preserve">• Random weekly sampling of closed WOs for evidence quality.  </w:t>
      </w:r>
      <w:r>
        <w:br/>
        <w:t>• Cross-checking PM completion against physical indicators (e.g., filter ΔP trend, runtime logs, inspect</w:t>
      </w:r>
      <w:r>
        <w:t xml:space="preserve">ion tags).  </w:t>
      </w:r>
      <w:r>
        <w:br/>
        <w:t>• Monitoring rework rate: how often a “completed” item returned as an incident within a short interval.</w:t>
      </w:r>
    </w:p>
    <w:p w14:paraId="0F973038" w14:textId="77777777" w:rsidR="007A30BD" w:rsidRDefault="00916B09">
      <w:pPr>
        <w:pStyle w:val="BodyTextCustom"/>
      </w:pPr>
      <w:r>
        <w:lastRenderedPageBreak/>
        <w:t>The key outcome was not only a higher percentage, but a reduction in variance and surprises—an indicator of a more stable system.</w:t>
      </w:r>
    </w:p>
    <w:p w14:paraId="362195E8" w14:textId="77777777" w:rsidR="007A30BD" w:rsidRDefault="00916B09">
      <w:pPr>
        <w:pStyle w:val="Heading2"/>
      </w:pPr>
      <w:r>
        <w:t xml:space="preserve">9. </w:t>
      </w:r>
      <w:r>
        <w:t>Discussion: why this aligns with research (and why it works)</w:t>
      </w:r>
    </w:p>
    <w:p w14:paraId="4180BCA6" w14:textId="77777777" w:rsidR="007A30BD" w:rsidRDefault="00916B09">
      <w:pPr>
        <w:pStyle w:val="BodyTextCustom"/>
      </w:pPr>
      <w:r>
        <w:t>### 9.1 Reason: removing latent conditions</w:t>
      </w:r>
      <w:r>
        <w:br/>
        <w:t>By fixing ownership ambiguity and handover gaps, the intervention removed latent conditions that previously allowed work to disappear.</w:t>
      </w:r>
      <w:r>
        <w:br/>
        <w:t>The improvement i</w:t>
      </w:r>
      <w:r>
        <w:t>s consistent with Reason’s emphasis: prevent alignment of small failures across layers.</w:t>
      </w:r>
    </w:p>
    <w:p w14:paraId="02D1FE35" w14:textId="77777777" w:rsidR="007A30BD" w:rsidRDefault="00916B09">
      <w:pPr>
        <w:pStyle w:val="BodyTextCustom"/>
      </w:pPr>
      <w:r>
        <w:t>### 9.2 Hollnagel: Safety‑II and supporting normal work</w:t>
      </w:r>
      <w:r>
        <w:br/>
        <w:t>Safety‑II argues that organizations should strengthen the conditions for everyday success, not only react to fai</w:t>
      </w:r>
      <w:r>
        <w:t>lures.</w:t>
      </w:r>
      <w:r>
        <w:br/>
        <w:t>Here, success was supported by reducing friction, clarifying priorities, and making evidence capture easy and standard.</w:t>
      </w:r>
    </w:p>
    <w:p w14:paraId="4D11D8D2" w14:textId="77777777" w:rsidR="007A30BD" w:rsidRDefault="00916B09">
      <w:pPr>
        <w:pStyle w:val="BodyTextCustom"/>
      </w:pPr>
      <w:r>
        <w:t>### 9.3 ISO 55000: governance, assurance, and value</w:t>
      </w:r>
      <w:r>
        <w:br/>
        <w:t>ISO 55000 treats asset management as coordinated activity that delivers value</w:t>
      </w:r>
      <w:r>
        <w:t xml:space="preserve"> with assurance.</w:t>
      </w:r>
      <w:r>
        <w:br/>
        <w:t>A maintenance system that cannot prove work occurred cannot provide assurance—regardless of whether the physical work happened.</w:t>
      </w:r>
    </w:p>
    <w:p w14:paraId="40B7D884" w14:textId="77777777" w:rsidR="007A30BD" w:rsidRDefault="00916B09">
      <w:pPr>
        <w:pStyle w:val="BodyTextCustom"/>
      </w:pPr>
      <w:r>
        <w:t>### 9.4 Alarm management analogy (ISA‑18.2 / EEMUA 191)</w:t>
      </w:r>
      <w:r>
        <w:br/>
        <w:t>Alarm systems fail when they overload operators with no</w:t>
      </w:r>
      <w:r>
        <w:t>ise. Maintenance systems fail similarly when they overload technicians with administrative noise.</w:t>
      </w:r>
      <w:r>
        <w:br/>
        <w:t>The solution pattern is analogous:</w:t>
      </w:r>
      <w:r>
        <w:br/>
        <w:t xml:space="preserve">• Define lifecycle and philosophy  </w:t>
      </w:r>
      <w:r>
        <w:br/>
        <w:t xml:space="preserve">• Rationalize workload and priorities  </w:t>
      </w:r>
      <w:r>
        <w:br/>
        <w:t xml:space="preserve">• Engineer visibility and escalation  </w:t>
      </w:r>
      <w:r>
        <w:br/>
        <w:t>• Verify</w:t>
      </w:r>
      <w:r>
        <w:t xml:space="preserve"> performance continuously</w:t>
      </w:r>
    </w:p>
    <w:p w14:paraId="67FA23D5" w14:textId="77777777" w:rsidR="007A30BD" w:rsidRDefault="00916B09">
      <w:pPr>
        <w:pStyle w:val="Heading2"/>
      </w:pPr>
      <w:r>
        <w:t>10. A repeatable framework you can implement</w:t>
      </w:r>
    </w:p>
    <w:p w14:paraId="023D8118" w14:textId="77777777" w:rsidR="007A30BD" w:rsidRDefault="00916B09">
      <w:pPr>
        <w:pStyle w:val="BodyTextCustom"/>
      </w:pPr>
      <w:r>
        <w:t>Below is a practical blueprint for replication in other sites.</w:t>
      </w:r>
    </w:p>
    <w:p w14:paraId="0C8E199D" w14:textId="77777777" w:rsidR="007A30BD" w:rsidRDefault="00916B09">
      <w:pPr>
        <w:pStyle w:val="BodyTextCustom"/>
      </w:pPr>
      <w:r>
        <w:t>### 10.1 Minimum viable maintenance operating system (MV-MOS)</w:t>
      </w:r>
      <w:r>
        <w:br/>
      </w:r>
      <w:r>
        <w:t xml:space="preserve">1) Single source of truth for WOs and PM plan.  </w:t>
      </w:r>
      <w:r>
        <w:br/>
        <w:t xml:space="preserve">2) One owner per WO.  </w:t>
      </w:r>
      <w:r>
        <w:br/>
        <w:t xml:space="preserve">3) Shift reconciliation checklist (daily).  </w:t>
      </w:r>
      <w:r>
        <w:br/>
        <w:t xml:space="preserve">4) Evidence standard per PM type.  </w:t>
      </w:r>
      <w:r>
        <w:br/>
        <w:t xml:space="preserve">5) Risk-based escalation thresholds.  </w:t>
      </w:r>
      <w:r>
        <w:br/>
        <w:t>6) Weekly governance meeting (system blockers + evidence samplin</w:t>
      </w:r>
      <w:r>
        <w:t>g).</w:t>
      </w:r>
    </w:p>
    <w:p w14:paraId="42794FBD" w14:textId="77777777" w:rsidR="007A30BD" w:rsidRDefault="00916B09">
      <w:pPr>
        <w:pStyle w:val="BodyTextCustom"/>
      </w:pPr>
      <w:r>
        <w:t>### 10.2 Leading indicators (before compliance drops)</w:t>
      </w:r>
      <w:r>
        <w:br/>
        <w:t>Track these indicators weekly:</w:t>
      </w:r>
      <w:r>
        <w:br/>
        <w:t xml:space="preserve">• % WOs “blocked” &gt; 7 days (by cause)  </w:t>
      </w:r>
      <w:r>
        <w:br/>
      </w:r>
      <w:r>
        <w:lastRenderedPageBreak/>
        <w:t xml:space="preserve">• Evidence completeness sampling score  </w:t>
      </w:r>
      <w:r>
        <w:br/>
        <w:t xml:space="preserve">• Ratio of corrective vs planned work  </w:t>
      </w:r>
      <w:r>
        <w:br/>
        <w:t>• Repeat incidents linked to “recently complet</w:t>
      </w:r>
      <w:r>
        <w:t xml:space="preserve">ed” PMs  </w:t>
      </w:r>
      <w:r>
        <w:br/>
        <w:t>• Overtime spikes near month-end (signals batching behavior)</w:t>
      </w:r>
    </w:p>
    <w:p w14:paraId="42F4DCDE" w14:textId="77777777" w:rsidR="007A30BD" w:rsidRDefault="00916B09">
      <w:pPr>
        <w:pStyle w:val="BodyTextCustom"/>
      </w:pPr>
      <w:r>
        <w:t>### 10.3 What NOT to do</w:t>
      </w:r>
      <w:r>
        <w:br/>
        <w:t xml:space="preserve">• Don’t “solve” noncompliance by forcing closures without evidence (creates paper compliance).  </w:t>
      </w:r>
      <w:r>
        <w:br/>
        <w:t>• Don’t rely on heroics at end of month (creates burnout and hid</w:t>
      </w:r>
      <w:r>
        <w:t xml:space="preserve">es risk).  </w:t>
      </w:r>
      <w:r>
        <w:br/>
        <w:t>• Don’t punish technicians for outcomes produced by unclear ownership and missing standards.</w:t>
      </w:r>
    </w:p>
    <w:p w14:paraId="46CA0BB0" w14:textId="77777777" w:rsidR="007A30BD" w:rsidRDefault="00916B09">
      <w:pPr>
        <w:pStyle w:val="Heading2"/>
      </w:pPr>
      <w:r>
        <w:t>11. Closing: the real meaning of compliance</w:t>
      </w:r>
    </w:p>
    <w:p w14:paraId="502F2D03" w14:textId="77777777" w:rsidR="007A30BD" w:rsidRDefault="00916B09">
      <w:pPr>
        <w:pStyle w:val="BodyTextCustom"/>
      </w:pPr>
      <w:r>
        <w:t>In a data center, reliability is built in the small routines that never make headlines.</w:t>
      </w:r>
      <w:r>
        <w:br/>
        <w:t>Maintenance complia</w:t>
      </w:r>
      <w:r>
        <w:t>nce is one of those routines—but only when it is engineered as a control system.</w:t>
      </w:r>
    </w:p>
    <w:p w14:paraId="3CDEB045" w14:textId="77777777" w:rsidR="007A30BD" w:rsidRDefault="00916B09">
      <w:pPr>
        <w:pStyle w:val="BodyTextCustom"/>
      </w:pPr>
      <w:r>
        <w:t>If you want sustained compliance, design the maintenance operating system so that:</w:t>
      </w:r>
      <w:r>
        <w:br/>
        <w:t xml:space="preserve">• the next action is always clear,  </w:t>
      </w:r>
      <w:r>
        <w:br/>
        <w:t xml:space="preserve">• ownership is never ambiguous,  </w:t>
      </w:r>
      <w:r>
        <w:br/>
        <w:t>• evidence is the def</w:t>
      </w:r>
      <w:r>
        <w:t xml:space="preserve">ault,  </w:t>
      </w:r>
      <w:r>
        <w:br/>
        <w:t>• and shift boundaries do not erase organizational memory.</w:t>
      </w:r>
    </w:p>
    <w:p w14:paraId="461D1B49" w14:textId="77777777" w:rsidR="007A30BD" w:rsidRDefault="00916B09">
      <w:pPr>
        <w:pStyle w:val="BodyTextCustom"/>
      </w:pPr>
      <w:r>
        <w:t>When the system is right, good people succeed naturally.</w:t>
      </w:r>
    </w:p>
    <w:p w14:paraId="65AC9FA7" w14:textId="77777777" w:rsidR="007A30BD" w:rsidRDefault="00916B09">
      <w:r>
        <w:br w:type="page"/>
      </w:r>
    </w:p>
    <w:p w14:paraId="2A75A53B" w14:textId="77777777" w:rsidR="007A30BD" w:rsidRDefault="00916B09">
      <w:pPr>
        <w:pStyle w:val="Heading2"/>
      </w:pPr>
      <w:r>
        <w:lastRenderedPageBreak/>
        <w:t>Visual Outline</w:t>
      </w:r>
    </w:p>
    <w:p w14:paraId="7E50A0EC" w14:textId="77777777" w:rsidR="007A30BD" w:rsidRDefault="00916B09">
      <w:pPr>
        <w:pStyle w:val="BodyTextCustom"/>
      </w:pPr>
      <w:r>
        <w:t>Visual Outline – Maintenance Operating System (MOS)</w:t>
      </w:r>
      <w:r>
        <w:br/>
      </w:r>
      <w:r>
        <w:br/>
        <w:t>[Work Identification] → [Planning &amp; Scheduling] → [Permit / Ac</w:t>
      </w:r>
      <w:r>
        <w:t>cess Readiness] → [Execution] → [Verification &amp; Evidence] → [Closeout] → [Learning / Update Standards]</w:t>
      </w:r>
      <w:r>
        <w:br/>
        <w:t xml:space="preserve">                                      ↑                                                                                              ↓</w:t>
      </w:r>
      <w:r>
        <w:br/>
        <w:t xml:space="preserve">                  </w:t>
      </w:r>
      <w:r>
        <w:t xml:space="preserve">                    └─────────────────────────────── Feedback loop: blockers, defects, RCA patterns ─────────────┘</w:t>
      </w:r>
    </w:p>
    <w:p w14:paraId="763A6B6D" w14:textId="77777777" w:rsidR="007A30BD" w:rsidRDefault="00916B09">
      <w:pPr>
        <w:pStyle w:val="Heading2"/>
      </w:pPr>
      <w:r>
        <w:t>Case-to-Reference Mapping</w:t>
      </w:r>
    </w:p>
    <w:tbl>
      <w:tblPr>
        <w:tblW w:w="0" w:type="auto"/>
        <w:tblLook w:val="04A0" w:firstRow="1" w:lastRow="0" w:firstColumn="1" w:lastColumn="0" w:noHBand="0" w:noVBand="1"/>
      </w:tblPr>
      <w:tblGrid>
        <w:gridCol w:w="2880"/>
        <w:gridCol w:w="2880"/>
        <w:gridCol w:w="2880"/>
      </w:tblGrid>
      <w:tr w:rsidR="007A30BD" w14:paraId="6DD74D62" w14:textId="77777777">
        <w:tc>
          <w:tcPr>
            <w:tcW w:w="2880" w:type="dxa"/>
          </w:tcPr>
          <w:p w14:paraId="3A3831CE" w14:textId="77777777" w:rsidR="007A30BD" w:rsidRDefault="00916B09">
            <w:r>
              <w:t>Observed Operational Problem</w:t>
            </w:r>
          </w:p>
        </w:tc>
        <w:tc>
          <w:tcPr>
            <w:tcW w:w="2880" w:type="dxa"/>
          </w:tcPr>
          <w:p w14:paraId="18DB7365" w14:textId="77777777" w:rsidR="007A30BD" w:rsidRDefault="00916B09">
            <w:r>
              <w:t>Research / Standard Anchor</w:t>
            </w:r>
          </w:p>
        </w:tc>
        <w:tc>
          <w:tcPr>
            <w:tcW w:w="2880" w:type="dxa"/>
          </w:tcPr>
          <w:p w14:paraId="35E6AF13" w14:textId="77777777" w:rsidR="007A30BD" w:rsidRDefault="00916B09">
            <w:r>
              <w:t>How it informed the intervention</w:t>
            </w:r>
          </w:p>
        </w:tc>
      </w:tr>
      <w:tr w:rsidR="007A30BD" w14:paraId="74FC6052" w14:textId="77777777">
        <w:tc>
          <w:tcPr>
            <w:tcW w:w="2880" w:type="dxa"/>
          </w:tcPr>
          <w:p w14:paraId="77C08E80" w14:textId="77777777" w:rsidR="007A30BD" w:rsidRDefault="00916B09">
            <w:r>
              <w:t>Work disappears across sh</w:t>
            </w:r>
            <w:r>
              <w:t>ifts (handover loss)</w:t>
            </w:r>
          </w:p>
        </w:tc>
        <w:tc>
          <w:tcPr>
            <w:tcW w:w="2880" w:type="dxa"/>
          </w:tcPr>
          <w:p w14:paraId="3127C5E7" w14:textId="77777777" w:rsidR="007A30BD" w:rsidRDefault="00916B09">
            <w:r>
              <w:t>Endsley (1995) – situation awareness under dynamic conditions</w:t>
            </w:r>
          </w:p>
        </w:tc>
        <w:tc>
          <w:tcPr>
            <w:tcW w:w="2880" w:type="dxa"/>
          </w:tcPr>
          <w:p w14:paraId="5DDFFD11" w14:textId="77777777" w:rsidR="007A30BD" w:rsidRDefault="00916B09">
            <w:r>
              <w:t>Made shift reconciliation explicit; reduced reliance on memory</w:t>
            </w:r>
          </w:p>
        </w:tc>
      </w:tr>
      <w:tr w:rsidR="007A30BD" w14:paraId="52042D17" w14:textId="77777777">
        <w:tc>
          <w:tcPr>
            <w:tcW w:w="2880" w:type="dxa"/>
          </w:tcPr>
          <w:p w14:paraId="11082041" w14:textId="77777777" w:rsidR="007A30BD" w:rsidRDefault="00916B09">
            <w:r>
              <w:t>Repeated noncompliance across different people</w:t>
            </w:r>
          </w:p>
        </w:tc>
        <w:tc>
          <w:tcPr>
            <w:tcW w:w="2880" w:type="dxa"/>
          </w:tcPr>
          <w:p w14:paraId="7FCA17D4" w14:textId="77777777" w:rsidR="007A30BD" w:rsidRDefault="00916B09">
            <w:r>
              <w:t>Reason (1997) – latent conditions dominate outcomes</w:t>
            </w:r>
          </w:p>
        </w:tc>
        <w:tc>
          <w:tcPr>
            <w:tcW w:w="2880" w:type="dxa"/>
          </w:tcPr>
          <w:p w14:paraId="07012564" w14:textId="77777777" w:rsidR="007A30BD" w:rsidRDefault="00916B09">
            <w:r>
              <w:t>Stopped bl</w:t>
            </w:r>
            <w:r>
              <w:t>aming individuals; removed systemic failure modes</w:t>
            </w:r>
          </w:p>
        </w:tc>
      </w:tr>
      <w:tr w:rsidR="007A30BD" w14:paraId="4EAFF164" w14:textId="77777777">
        <w:tc>
          <w:tcPr>
            <w:tcW w:w="2880" w:type="dxa"/>
          </w:tcPr>
          <w:p w14:paraId="0542BB4D" w14:textId="77777777" w:rsidR="007A30BD" w:rsidRDefault="00916B09">
            <w:r>
              <w:t>‘Paper compliance’ risk (closed without evidence)</w:t>
            </w:r>
          </w:p>
        </w:tc>
        <w:tc>
          <w:tcPr>
            <w:tcW w:w="2880" w:type="dxa"/>
          </w:tcPr>
          <w:p w14:paraId="6C183AAF" w14:textId="77777777" w:rsidR="007A30BD" w:rsidRDefault="00916B09">
            <w:r>
              <w:t>ISO 55000 – assurance and governance</w:t>
            </w:r>
          </w:p>
        </w:tc>
        <w:tc>
          <w:tcPr>
            <w:tcW w:w="2880" w:type="dxa"/>
          </w:tcPr>
          <w:p w14:paraId="789030E0" w14:textId="77777777" w:rsidR="007A30BD" w:rsidRDefault="00916B09">
            <w:r>
              <w:t>Defined evidence standards + sampling audits</w:t>
            </w:r>
          </w:p>
        </w:tc>
      </w:tr>
      <w:tr w:rsidR="007A30BD" w14:paraId="76BEBD06" w14:textId="77777777">
        <w:tc>
          <w:tcPr>
            <w:tcW w:w="2880" w:type="dxa"/>
          </w:tcPr>
          <w:p w14:paraId="4ECC7872" w14:textId="77777777" w:rsidR="007A30BD" w:rsidRDefault="00916B09">
            <w:r>
              <w:t>Overload and noise in admin workflows</w:t>
            </w:r>
          </w:p>
        </w:tc>
        <w:tc>
          <w:tcPr>
            <w:tcW w:w="2880" w:type="dxa"/>
          </w:tcPr>
          <w:p w14:paraId="15359591" w14:textId="77777777" w:rsidR="007A30BD" w:rsidRDefault="00916B09">
            <w:r>
              <w:t xml:space="preserve">ISA‑18.2 / EEMUA 191 </w:t>
            </w:r>
            <w:r>
              <w:t>(analogy) – lifecycle + rationalization</w:t>
            </w:r>
          </w:p>
        </w:tc>
        <w:tc>
          <w:tcPr>
            <w:tcW w:w="2880" w:type="dxa"/>
          </w:tcPr>
          <w:p w14:paraId="43B7A195" w14:textId="77777777" w:rsidR="007A30BD" w:rsidRDefault="00916B09">
            <w:r>
              <w:t>Reduced friction; clarified priorities; built escalation lifecycle</w:t>
            </w:r>
          </w:p>
        </w:tc>
      </w:tr>
      <w:tr w:rsidR="007A30BD" w14:paraId="0F78D4FD" w14:textId="77777777">
        <w:tc>
          <w:tcPr>
            <w:tcW w:w="2880" w:type="dxa"/>
          </w:tcPr>
          <w:p w14:paraId="0E667E9A" w14:textId="77777777" w:rsidR="007A30BD" w:rsidRDefault="00916B09">
            <w:r>
              <w:t>Need to support normal work, not only failures</w:t>
            </w:r>
          </w:p>
        </w:tc>
        <w:tc>
          <w:tcPr>
            <w:tcW w:w="2880" w:type="dxa"/>
          </w:tcPr>
          <w:p w14:paraId="0D139152" w14:textId="77777777" w:rsidR="007A30BD" w:rsidRDefault="00916B09">
            <w:r>
              <w:t>Hollnagel (2014) – Safety‑II</w:t>
            </w:r>
          </w:p>
        </w:tc>
        <w:tc>
          <w:tcPr>
            <w:tcW w:w="2880" w:type="dxa"/>
          </w:tcPr>
          <w:p w14:paraId="42BAB32E" w14:textId="77777777" w:rsidR="007A30BD" w:rsidRDefault="00916B09">
            <w:r>
              <w:t>Designed the system for everyday success; embedded routines</w:t>
            </w:r>
          </w:p>
        </w:tc>
      </w:tr>
    </w:tbl>
    <w:p w14:paraId="298FA941" w14:textId="77777777" w:rsidR="007A30BD" w:rsidRDefault="007A30BD"/>
    <w:p w14:paraId="075CF710" w14:textId="77777777" w:rsidR="007A30BD" w:rsidRDefault="00916B09">
      <w:pPr>
        <w:pStyle w:val="Heading2"/>
      </w:pPr>
      <w:r>
        <w:t>Appendix –</w:t>
      </w:r>
      <w:r>
        <w:t xml:space="preserve"> Visualization &amp; Animation Prompts</w:t>
      </w:r>
    </w:p>
    <w:p w14:paraId="147EC920" w14:textId="77777777" w:rsidR="007A30BD" w:rsidRDefault="00916B09">
      <w:pPr>
        <w:pStyle w:val="Heading3"/>
      </w:pPr>
      <w:r>
        <w:t>A1. Animated transition prompt (Article 2 → Article 3)</w:t>
      </w:r>
    </w:p>
    <w:p w14:paraId="5EF69FD3" w14:textId="77777777" w:rsidR="007A30BD" w:rsidRDefault="00916B09">
      <w:pPr>
        <w:pStyle w:val="BodyTextCustom"/>
      </w:pPr>
      <w:r>
        <w:t>Animated Sequence Prompt (Article 2 → Article 3 Transition)</w:t>
      </w:r>
      <w:r>
        <w:br/>
        <w:t>Goal: show that “system overload” shifts from alarms (cognitive overload) to maintenance workflow (executi</w:t>
      </w:r>
      <w:r>
        <w:t>on overload) — both are system design problems.</w:t>
      </w:r>
      <w:r>
        <w:br/>
      </w:r>
      <w:r>
        <w:br/>
        <w:t>Sequence (8–10 seconds total):</w:t>
      </w:r>
      <w:r>
        <w:br/>
        <w:t>1) Scene A (Article 2): Control room video wall floods with red/amber alarms. Alarm list scrolls rapidly; overlapping popups. Operator stays composed but overwhelmed.</w:t>
      </w:r>
      <w:r>
        <w:br/>
        <w:t>2) Visual</w:t>
      </w:r>
      <w:r>
        <w:t xml:space="preserve"> bridge: alarms morph into “work orders” cards — same overload pattern, different </w:t>
      </w:r>
      <w:r>
        <w:lastRenderedPageBreak/>
        <w:t>artifact.</w:t>
      </w:r>
      <w:r>
        <w:br/>
        <w:t>3) Scene B (Article 3): Work order board becomes saturated; due dates stack; blocked tags appear; shift handover clock ticks.</w:t>
      </w:r>
      <w:r>
        <w:br/>
        <w:t xml:space="preserve">4) Key message overlay: “Not a people </w:t>
      </w:r>
      <w:r>
        <w:t>problem. A system design problem.”</w:t>
      </w:r>
      <w:r>
        <w:br/>
        <w:t>5) Resolve: board reorganizes into a clean lifecycle (Identify → Plan → Execute → Verify → Close → Learn). Colors stabilize.</w:t>
      </w:r>
      <w:r>
        <w:br/>
        <w:t>Style: hyper-realistic documentary; no sci‑fi. Use subtle UI animation; emphasize clarity and go</w:t>
      </w:r>
      <w:r>
        <w:t>vernance.</w:t>
      </w:r>
    </w:p>
    <w:p w14:paraId="365E3B44" w14:textId="77777777" w:rsidR="007A30BD" w:rsidRDefault="00916B09">
      <w:pPr>
        <w:pStyle w:val="Heading3"/>
      </w:pPr>
      <w:r>
        <w:t>A2. Infographic prompt (Alarm rate vs cognition)</w:t>
      </w:r>
    </w:p>
    <w:p w14:paraId="581482D5" w14:textId="77777777" w:rsidR="007A30BD" w:rsidRDefault="00916B09">
      <w:pPr>
        <w:pStyle w:val="BodyTextCustom"/>
      </w:pPr>
      <w:r>
        <w:t>Data-driven Infographic Prompt (Alarm Rate vs Cognition)</w:t>
      </w:r>
      <w:r>
        <w:br/>
        <w:t>Create a clean, modern technical infographic (dark theme) showing how operator effectiveness declines as alarm rate increases.</w:t>
      </w:r>
      <w:r>
        <w:br/>
      </w:r>
      <w:r>
        <w:br/>
        <w:t>Elements:</w:t>
      </w:r>
      <w:r>
        <w:br/>
        <w:t xml:space="preserve">- </w:t>
      </w:r>
      <w:r>
        <w:t>X-axis: Alarm rate (alarms/hour): 0, 10, 20, 40, 80, 160</w:t>
      </w:r>
      <w:r>
        <w:br/>
        <w:t>- Y-axis: Operator effectiveness (%): 100 to 0</w:t>
      </w:r>
      <w:r>
        <w:br/>
        <w:t>- Curve: non-linear decline; steep drop after 20–40 alarms/hour (alarm flood region)</w:t>
      </w:r>
      <w:r>
        <w:br/>
        <w:t>- Highlight zones:</w:t>
      </w:r>
      <w:r>
        <w:br/>
        <w:t xml:space="preserve">  • “Manageable” (0–10/h)</w:t>
      </w:r>
      <w:r>
        <w:br/>
        <w:t xml:space="preserve">  • “High workload” (1</w:t>
      </w:r>
      <w:r>
        <w:t>0–20/h)</w:t>
      </w:r>
      <w:r>
        <w:br/>
        <w:t xml:space="preserve">  • “Alarm flood / cognitive overload” (&gt;20–40/h)</w:t>
      </w:r>
      <w:r>
        <w:br/>
        <w:t>- Add callouts referencing EEMUA 191 / ISA‑18.2 principles (prioritization, rationalization, suppression rules)</w:t>
      </w:r>
      <w:r>
        <w:br/>
        <w:t>- Include a small inset diagram: “Signal vs Noise” bar shrinking as nuisance alarms in</w:t>
      </w:r>
      <w:r>
        <w:t>crease.</w:t>
      </w:r>
      <w:r>
        <w:br/>
        <w:t>Style: crisp typography; minimal; audit-friendly; no cartoons.</w:t>
      </w:r>
    </w:p>
    <w:p w14:paraId="58100C75" w14:textId="77777777" w:rsidR="007A30BD" w:rsidRDefault="00916B09">
      <w:r>
        <w:br w:type="page"/>
      </w:r>
    </w:p>
    <w:p w14:paraId="7ABAC7EE" w14:textId="77777777" w:rsidR="007A30BD" w:rsidRDefault="00916B09">
      <w:pPr>
        <w:pStyle w:val="Heading2"/>
      </w:pPr>
      <w:r>
        <w:lastRenderedPageBreak/>
        <w:t>References (APA)</w:t>
      </w:r>
    </w:p>
    <w:p w14:paraId="6A94F716" w14:textId="77777777" w:rsidR="007A30BD" w:rsidRDefault="00916B09">
      <w:pPr>
        <w:pStyle w:val="BodyTextCustom"/>
      </w:pPr>
      <w:r>
        <w:t>Endsley, M. R. (1995). Toward a theory of situation awareness in dynamic systems. Human Factors, 37(1), 32–64.</w:t>
      </w:r>
    </w:p>
    <w:p w14:paraId="6FD7EA1F" w14:textId="77777777" w:rsidR="007A30BD" w:rsidRDefault="00916B09">
      <w:pPr>
        <w:pStyle w:val="BodyTextCustom"/>
      </w:pPr>
      <w:r>
        <w:t>Hollnagel, E. (2014). Safety-I and Safety-II: The past and future of safety management. Ashgate.</w:t>
      </w:r>
    </w:p>
    <w:p w14:paraId="493D8D04" w14:textId="77777777" w:rsidR="007A30BD" w:rsidRDefault="00916B09">
      <w:pPr>
        <w:pStyle w:val="BodyTextCustom"/>
      </w:pPr>
      <w:r>
        <w:t xml:space="preserve">ISO. </w:t>
      </w:r>
      <w:r>
        <w:t>(2014). ISO 55000: Asset management — Overview, principles and terminology. International Organization for Standardization.</w:t>
      </w:r>
    </w:p>
    <w:p w14:paraId="59579FB4" w14:textId="77777777" w:rsidR="007A30BD" w:rsidRDefault="00916B09">
      <w:pPr>
        <w:pStyle w:val="BodyTextCustom"/>
      </w:pPr>
      <w:r>
        <w:t>Reason, J. (1997). Managing the risks of organizational accidents. Ashgate.</w:t>
      </w:r>
    </w:p>
    <w:p w14:paraId="1196A0A6" w14:textId="77777777" w:rsidR="007A30BD" w:rsidRDefault="00916B09">
      <w:pPr>
        <w:pStyle w:val="BodyTextCustom"/>
      </w:pPr>
      <w:r>
        <w:t xml:space="preserve">EEMUA. (2013). EEMUA Publication 191: Alarm </w:t>
      </w:r>
      <w:r>
        <w:t>systems — A guide to design, management and procurement. The Engineering Equipment and Materials Users Association.</w:t>
      </w:r>
    </w:p>
    <w:p w14:paraId="5A9DB521" w14:textId="77777777" w:rsidR="007A30BD" w:rsidRDefault="00916B09">
      <w:pPr>
        <w:pStyle w:val="BodyTextCustom"/>
      </w:pPr>
      <w:r>
        <w:t>ISA. (2016/2022). ANSI/ISA-18.2: Management of alarm systems for the process industries. International Society of Automation.</w:t>
      </w:r>
    </w:p>
    <w:p w14:paraId="6F3A8EFF" w14:textId="77777777" w:rsidR="007A30BD" w:rsidRDefault="00916B09">
      <w:pPr>
        <w:pStyle w:val="BodyTextCustom"/>
      </w:pPr>
      <w:r>
        <w:t xml:space="preserve">Mobley, R. K. </w:t>
      </w:r>
      <w:r>
        <w:t>(2002). An introduction to predictive maintenance (2nd ed.). Butterworth-Heinemann.</w:t>
      </w:r>
    </w:p>
    <w:sectPr w:rsidR="007A30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30BD"/>
    <w:rsid w:val="00916B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BA23C"/>
  <w14:defaultImageDpi w14:val="300"/>
  <w15:docId w15:val="{F9150353-85B3-467C-A882-445EE1321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ustom">
    <w:name w:val="BodyTextCustom"/>
    <w:rPr>
      <w:rFonts w:ascii="Calibri" w:eastAsia="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2790</Words>
  <Characters>15908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Bagus Dwi Permana</cp:lastModifiedBy>
  <cp:revision>2</cp:revision>
  <dcterms:created xsi:type="dcterms:W3CDTF">2013-12-23T23:15:00Z</dcterms:created>
  <dcterms:modified xsi:type="dcterms:W3CDTF">2026-02-02T09:05:00Z</dcterms:modified>
  <cp:category/>
</cp:coreProperties>
</file>