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Article 4 – In-House Capability Is a Reliability Strategy</w:t>
      </w:r>
    </w:p>
    <w:p>
      <w:r>
        <w:t>Why excessive vendor dependency increases latent risk in mission-critical data centers</w:t>
      </w:r>
    </w:p>
    <w:p>
      <w:r>
        <w:rPr>
          <w:i/>
        </w:rPr>
        <w:t>Bagus Dwi Permana | 02 Feb 2026</w:t>
      </w:r>
    </w:p>
    <w:p>
      <w:pPr>
        <w:pStyle w:val="Heading2"/>
      </w:pPr>
      <w:r>
        <w:t>Abstract</w:t>
      </w:r>
    </w:p>
    <w:p>
      <w:pPr>
        <w:pStyle w:val="BodyTextCustom"/>
      </w:pPr>
      <w:r>
        <w:t>Many data centers treat in-house capability as a cost decision rather than a reliability control. This article argues that over-reliance on vendors introduces structural fragility: delayed response, knowledge dilution, and decision paralysis during abnormal conditions. Drawing from live data center operations, we show how selectively strengthening in-house engineering capability—without eliminating vendors—reduces mean time to diagnose (MTTD), improves risk ownership, and aligns with resilience engineering theory (Reason, Hollnagel), asset management principles (ISO 55000), and operational readiness models used in high-reliability organizations.</w:t>
      </w:r>
    </w:p>
    <w:p>
      <w:pPr>
        <w:pStyle w:val="Heading2"/>
      </w:pPr>
      <w:r>
        <w:t>Opening Hook</w:t>
      </w:r>
    </w:p>
    <w:p>
      <w:pPr>
        <w:pStyle w:val="BodyTextCustom"/>
      </w:pPr>
      <w:r>
        <w:t>When a critical alarm occurs at 02:17 in the morning, the question that matters is not “Which vendor supports this system?”</w:t>
      </w:r>
    </w:p>
    <w:p>
      <w:pPr>
        <w:pStyle w:val="BodyTextCustom"/>
      </w:pPr>
      <w:r>
        <w:t>The question is:</w:t>
        <w:br/>
        <w:t>**Who on site can understand the system well enough to make a safe decision right now?**</w:t>
      </w:r>
    </w:p>
    <w:p>
      <w:pPr>
        <w:pStyle w:val="BodyTextCustom"/>
      </w:pPr>
      <w:r>
        <w:t>In many modern data centers, the honest answer is uncomfortable. And that discomfort is an early warning of systemic risk.</w:t>
      </w:r>
    </w:p>
    <w:p>
      <w:pPr>
        <w:pStyle w:val="Heading2"/>
      </w:pPr>
      <w:r>
        <w:t>1. Vendor dependency as an invisible design choice</w:t>
      </w:r>
    </w:p>
    <w:p>
      <w:pPr>
        <w:pStyle w:val="BodyTextCustom"/>
      </w:pPr>
      <w:r>
        <w:t>Outsourcing is often justified by specialization, compliance, and cost predictability.</w:t>
        <w:br/>
        <w:t>However, in mission-critical environments, outsourcing is not neutral—it is a design choice that reshapes</w:t>
        <w:br/>
        <w:t>how risk is detected, interpreted, and controlled.</w:t>
      </w:r>
    </w:p>
    <w:p>
      <w:pPr>
        <w:pStyle w:val="BodyTextCustom"/>
      </w:pPr>
      <w:r>
        <w:t>Vendor dependency affects three reliability dimensions:</w:t>
        <w:br/>
        <w:t>• **Speed** – time to diagnose and act during abnormal conditions.</w:t>
        <w:br/>
        <w:t>• **Continuity** – preservation of system knowledge across shifts and years.</w:t>
        <w:br/>
        <w:t>• **Authority** – clarity of who is allowed to decide when procedures no longer fit reality.</w:t>
      </w:r>
    </w:p>
    <w:p>
      <w:pPr>
        <w:pStyle w:val="BodyTextCustom"/>
      </w:pPr>
      <w:r>
        <w:t>When these dimensions degrade, availability becomes brittle even if contracts are technically fulfilled.</w:t>
      </w:r>
    </w:p>
    <w:p>
      <w:pPr>
        <w:pStyle w:val="Heading2"/>
      </w:pPr>
      <w:r>
        <w:t>2. The failure mode: when vendors become the single point of understanding</w:t>
      </w:r>
    </w:p>
    <w:p>
      <w:pPr>
        <w:pStyle w:val="BodyTextCustom"/>
      </w:pPr>
      <w:r>
        <w:t>A common but dangerous pattern emerges:</w:t>
        <w:br/>
        <w:t>• Vendors perform maintenance and testing.</w:t>
        <w:br/>
        <w:t>• Reports are delivered, filed, and archived.</w:t>
        <w:br/>
        <w:t>• In-house teams operate systems they did not deeply maintain.</w:t>
      </w:r>
    </w:p>
    <w:p>
      <w:pPr>
        <w:pStyle w:val="BodyTextCustom"/>
      </w:pPr>
      <w:r>
        <w:t>Over time, the site accumulates equipment without accumulating understanding.</w:t>
        <w:br/>
        <w:t>This creates a paradox: documentation increases while confidence decreases.</w:t>
      </w:r>
    </w:p>
    <w:p>
      <w:pPr>
        <w:pStyle w:val="BodyTextCustom"/>
      </w:pPr>
      <w:r>
        <w:t>James Reason describes this as a latent condition—risk embedded in normal operations,</w:t>
        <w:br/>
        <w:t>only revealed during stress. The system appears compliant until it is required to adapt.</w:t>
      </w:r>
    </w:p>
    <w:p>
      <w:pPr>
        <w:pStyle w:val="Heading2"/>
      </w:pPr>
      <w:r>
        <w:t>3. Human factors and decision latency</w:t>
      </w:r>
    </w:p>
    <w:p>
      <w:pPr>
        <w:pStyle w:val="BodyTextCustom"/>
      </w:pPr>
      <w:r>
        <w:t>Hollnagel’s resilience engineering highlights that safety depends on the ability to respond,</w:t>
        <w:br/>
        <w:t>monitor, learn, and anticipate. Excessive vendor dependency weakens all four:</w:t>
      </w:r>
    </w:p>
    <w:p>
      <w:pPr>
        <w:pStyle w:val="BodyTextCustom"/>
      </w:pPr>
      <w:r>
        <w:t>• **Respond** – waiting for vendor confirmation delays containment.</w:t>
        <w:br/>
        <w:t>• **Monitor** – alarms are seen but not fully interpreted.</w:t>
        <w:br/>
        <w:t>• **Learn** – lessons remain with vendors, not the site.</w:t>
        <w:br/>
        <w:t>• **Anticipate** – early signals are missed without system intuition.</w:t>
      </w:r>
    </w:p>
    <w:p>
      <w:pPr>
        <w:pStyle w:val="BodyTextCustom"/>
      </w:pPr>
      <w:r>
        <w:t>Decision latency becomes the real failure mode—not component failure.</w:t>
      </w:r>
    </w:p>
    <w:p>
      <w:pPr>
        <w:pStyle w:val="Heading2"/>
      </w:pPr>
      <w:r>
        <w:t>4. Case context: live operations under vendor-heavy model</w:t>
      </w:r>
    </w:p>
    <w:p>
      <w:pPr>
        <w:pStyle w:val="BodyTextCustom"/>
      </w:pPr>
      <w:r>
        <w:t>In the observed environment, most critical systems (UPS, MV/LV switchgear, chillers, protection relays)</w:t>
        <w:br/>
        <w:t>were vendor-maintained. In-house engineers were competent operators but rarely involved in intrusive work.</w:t>
      </w:r>
    </w:p>
    <w:p>
      <w:pPr>
        <w:pStyle w:val="BodyTextCustom"/>
      </w:pPr>
      <w:r>
        <w:t>Symptoms observed:</w:t>
        <w:br/>
        <w:t>• Troubleshooting required phone escalation even for first-level diagnostics.</w:t>
        <w:br/>
        <w:t>• Incident bridges focused on “waiting for vendor advice” rather than stabilizing the system.</w:t>
        <w:br/>
        <w:t>• Temporary operational workarounds became normalized.</w:t>
        <w:br/>
        <w:t>• Post-incident reports lacked deep causal insight.</w:t>
      </w:r>
    </w:p>
    <w:p>
      <w:pPr>
        <w:pStyle w:val="BodyTextCustom"/>
      </w:pPr>
      <w:r>
        <w:t>Importantly, vendors met contractual obligations. The gap was systemic, not contractual.</w:t>
      </w:r>
    </w:p>
    <w:p>
      <w:pPr>
        <w:pStyle w:val="Heading2"/>
      </w:pPr>
      <w:r>
        <w:t>5. Root cause analysis: separating specialization from dependency</w:t>
      </w:r>
    </w:p>
    <w:p>
      <w:pPr>
        <w:pStyle w:val="BodyTextCustom"/>
      </w:pPr>
      <w:r>
        <w:t>Specialization is not the problem. Dependency is.</w:t>
      </w:r>
    </w:p>
    <w:p>
      <w:pPr>
        <w:pStyle w:val="BodyTextCustom"/>
      </w:pPr>
      <w:r>
        <w:t>RCA showed that the site lacked:</w:t>
        <w:br/>
        <w:t>• Defined technical decision authority during incidents.</w:t>
        <w:br/>
        <w:t>• Minimum in-house diagnostic capability per system.</w:t>
        <w:br/>
        <w:t>• Structured knowledge transfer from vendor activities.</w:t>
        <w:br/>
        <w:t>• A clear boundary between “vendor does work” and “site owns risk.”</w:t>
      </w:r>
    </w:p>
    <w:p>
      <w:pPr>
        <w:pStyle w:val="BodyTextCustom"/>
      </w:pPr>
      <w:r>
        <w:t>ISO 55000 emphasizes that asset ownership includes accountability for performance and risk,</w:t>
        <w:br/>
        <w:t>even when activities are outsourced. Delegation of work does not mean delegation of responsibility.</w:t>
      </w:r>
    </w:p>
    <w:p>
      <w:pPr>
        <w:pStyle w:val="Heading2"/>
      </w:pPr>
      <w:r>
        <w:t>6. The intervention: capability layering, not vendor elimination</w:t>
      </w:r>
    </w:p>
    <w:p>
      <w:pPr>
        <w:pStyle w:val="BodyTextCustom"/>
      </w:pPr>
      <w:r>
        <w:t>The objective was not to replace vendors, but to rebalance the operating model.</w:t>
      </w:r>
    </w:p>
    <w:p>
      <w:pPr>
        <w:pStyle w:val="BodyTextCustom"/>
      </w:pPr>
      <w:r>
        <w:t>### 6.1 Define minimum in-house capability per system</w:t>
        <w:br/>
        <w:t>For each critical system, a minimum internal capability was defined:</w:t>
        <w:br/>
        <w:t>• System architecture understanding.</w:t>
        <w:br/>
        <w:t>• Normal vs abnormal behavior recognition.</w:t>
        <w:br/>
        <w:t>• Safe isolation and stabilization actions.</w:t>
        <w:br/>
        <w:t>• Ability to challenge vendor conclusions with evidence.</w:t>
      </w:r>
    </w:p>
    <w:p>
      <w:pPr>
        <w:pStyle w:val="BodyTextCustom"/>
      </w:pPr>
      <w:r>
        <w:t>### 6.2 Redesign vendor engagement</w:t>
        <w:br/>
        <w:t>Vendor activities were reframed as:</w:t>
        <w:br/>
        <w:t>• Joint execution for critical tasks.</w:t>
        <w:br/>
        <w:t>• Mandatory explanation of findings, not just reports.</w:t>
        <w:br/>
        <w:t>• Structured handover of test results and failure modes.</w:t>
      </w:r>
    </w:p>
    <w:p>
      <w:pPr>
        <w:pStyle w:val="BodyTextCustom"/>
      </w:pPr>
      <w:r>
        <w:t>### 6.3 Incident authority clarity</w:t>
        <w:br/>
        <w:t>During incidents:</w:t>
        <w:br/>
        <w:t>• In-house engineering leads diagnosis and containment.</w:t>
        <w:br/>
        <w:t>• Vendors provide advisory and specialist support.</w:t>
        <w:br/>
        <w:t>• Decision authority remains on site.</w:t>
      </w:r>
    </w:p>
    <w:p>
      <w:pPr>
        <w:pStyle w:val="BodyTextCustom"/>
      </w:pPr>
      <w:r>
        <w:t>This mirrors high-reliability organization practices in aviation and power grids.</w:t>
      </w:r>
    </w:p>
    <w:p>
      <w:pPr>
        <w:pStyle w:val="Heading2"/>
      </w:pPr>
      <w:r>
        <w:t>7. Results: measurable operational gains</w:t>
      </w:r>
    </w:p>
    <w:p>
      <w:pPr>
        <w:pStyle w:val="BodyTextCustom"/>
      </w:pPr>
      <w:r>
        <w:t>After capability layering:</w:t>
        <w:br/>
        <w:t>• Mean time to diagnose (MTTD) reduced significantly.</w:t>
        <w:br/>
        <w:t>• Early containment actions improved system stability.</w:t>
        <w:br/>
        <w:t>• Incident bridges became shorter and more decisive.</w:t>
        <w:br/>
        <w:t>• Engineers demonstrated increased confidence and ownership.</w:t>
      </w:r>
    </w:p>
    <w:p>
      <w:pPr>
        <w:pStyle w:val="BodyTextCustom"/>
      </w:pPr>
      <w:r>
        <w:t>No additional headcount was added. The change was structural, not numerical.</w:t>
      </w:r>
    </w:p>
    <w:p>
      <w:pPr>
        <w:pStyle w:val="Heading2"/>
      </w:pPr>
      <w:r>
        <w:t>8. Discussion: alignment with theory and standards</w:t>
      </w:r>
    </w:p>
    <w:p>
      <w:pPr>
        <w:pStyle w:val="BodyTextCustom"/>
      </w:pPr>
      <w:r>
        <w:t>• **Reason (1997):** Reduced latent conditions by restoring system understanding.</w:t>
        <w:br/>
        <w:t>• **Hollnagel (2014):** Strengthened the ability to respond and learn.</w:t>
        <w:br/>
        <w:t>• **ISO 55000:** Re-aligned asset responsibility with risk ownership.</w:t>
        <w:br/>
        <w:t>• **HRO research:** Emphasizes expertise at the point of operation, not only external authority.</w:t>
      </w:r>
    </w:p>
    <w:p>
      <w:pPr>
        <w:pStyle w:val="BodyTextCustom"/>
      </w:pPr>
      <w:r>
        <w:t>Vendor dependency is not inherently unsafe—but unmanaged dependency is.</w:t>
      </w:r>
    </w:p>
    <w:p>
      <w:pPr>
        <w:pStyle w:val="Heading2"/>
      </w:pPr>
      <w:r>
        <w:t>9. A practical framework for other sites</w:t>
      </w:r>
    </w:p>
    <w:p>
      <w:pPr>
        <w:pStyle w:val="BodyTextCustom"/>
      </w:pPr>
      <w:r>
        <w:t>**In-House Capability Baseline (ICB):**</w:t>
        <w:br/>
        <w:t>1) Architecture literacy per critical system.</w:t>
        <w:br/>
        <w:t>2) First-response diagnostic authority.</w:t>
        <w:br/>
        <w:t>3) Vendor knowledge capture as a formal deliverable.</w:t>
        <w:br/>
        <w:t>4) Incident decision rights defined and trained.</w:t>
        <w:br/>
        <w:t>5) Periodic stress-testing via drills and tabletop scenarios.</w:t>
      </w:r>
    </w:p>
    <w:p>
      <w:pPr>
        <w:pStyle w:val="BodyTextCustom"/>
      </w:pPr>
      <w:r>
        <w:t>Leading indicators to watch:</w:t>
        <w:br/>
        <w:t>• % incidents requiring vendor confirmation for first action.</w:t>
        <w:br/>
        <w:t>• Repeated vendor findings without internal understanding.</w:t>
        <w:br/>
        <w:t>• “We are waiting for vendor” as a common incident phrase.</w:t>
      </w:r>
    </w:p>
    <w:p>
      <w:pPr>
        <w:pStyle w:val="Heading2"/>
      </w:pPr>
      <w:r>
        <w:t>10. Conclusion</w:t>
      </w:r>
    </w:p>
    <w:p>
      <w:pPr>
        <w:pStyle w:val="BodyTextCustom"/>
      </w:pPr>
      <w:r>
        <w:t>In-house capability is not about replacing vendors.</w:t>
        <w:br/>
        <w:t>It is about ensuring that, when the unexpected occurs,</w:t>
        <w:br/>
        <w:t>the site retains the ability to think, decide, and act safely.</w:t>
      </w:r>
    </w:p>
    <w:p>
      <w:pPr>
        <w:pStyle w:val="BodyTextCustom"/>
      </w:pPr>
      <w:r>
        <w:t>Reliability is not outsourced.</w:t>
        <w:br/>
        <w:t>It is owned.</w:t>
      </w:r>
    </w:p>
    <w:p>
      <w:r>
        <w:br w:type="page"/>
      </w:r>
    </w:p>
    <w:p>
      <w:pPr>
        <w:pStyle w:val="Heading2"/>
      </w:pPr>
      <w:r>
        <w:t>References</w:t>
      </w:r>
    </w:p>
    <w:p>
      <w:pPr>
        <w:pStyle w:val="BodyTextCustom"/>
      </w:pPr>
      <w:r>
        <w:t>Reason, J. (1997). Managing the risks of organizational accidents. Ashgate.</w:t>
      </w:r>
    </w:p>
    <w:p>
      <w:pPr>
        <w:pStyle w:val="BodyTextCustom"/>
      </w:pPr>
      <w:r>
        <w:t>Hollnagel, E. (2014). Safety-I and Safety-II: The past and future of safety management. Ashgate.</w:t>
      </w:r>
    </w:p>
    <w:p>
      <w:pPr>
        <w:pStyle w:val="BodyTextCustom"/>
      </w:pPr>
      <w:r>
        <w:t>ISO. (2014). ISO 55000: Asset management — Overview, principles and terminology.</w:t>
      </w:r>
    </w:p>
    <w:p>
      <w:pPr>
        <w:pStyle w:val="BodyTextCustom"/>
      </w:pPr>
      <w:r>
        <w:t>Weick, K. E., &amp; Sutcliffe, K. M. (2015). Managing the unexpected: Sustained performance in a complex world.</w:t>
      </w:r>
    </w:p>
    <w:p>
      <w:pPr>
        <w:pStyle w:val="BodyTextCustom"/>
      </w:pPr>
      <w:r>
        <w:t>IEEE Std 3007.2 – Recommended Practice for the Operation and Management of Industrial and Commercial Power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TextCustom"/>
    <w:rPr>
      <w:rFonts w:ascii="Calibri" w:hAnsi="Calibri" w:eastAsia="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