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FA978" w14:textId="77777777" w:rsidR="009254CE" w:rsidRDefault="00A857DD">
      <w:pPr>
        <w:pStyle w:val="Heading1"/>
      </w:pPr>
      <w:r>
        <w:t>Article 6 – Why Post‑Incident RCA Fails Without Design Authority</w:t>
      </w:r>
    </w:p>
    <w:p w14:paraId="647513EB" w14:textId="77777777" w:rsidR="009254CE" w:rsidRDefault="00A857DD">
      <w:r>
        <w:t>Root cause analysis as ritual versus RCA as a learning and redesign engine</w:t>
      </w:r>
    </w:p>
    <w:p w14:paraId="7A8A0877" w14:textId="77777777" w:rsidR="009254CE" w:rsidRDefault="00A857DD">
      <w:r>
        <w:rPr>
          <w:i/>
        </w:rPr>
        <w:t>Bagus Dwi Permana | 02 Feb 2026</w:t>
      </w:r>
    </w:p>
    <w:p w14:paraId="1C73C53A" w14:textId="77777777" w:rsidR="009254CE" w:rsidRDefault="00A857DD">
      <w:pPr>
        <w:pStyle w:val="Heading2"/>
      </w:pPr>
      <w:r>
        <w:t>Abstract</w:t>
      </w:r>
    </w:p>
    <w:p w14:paraId="20620FA0" w14:textId="77777777" w:rsidR="009254CE" w:rsidRDefault="00A857DD">
      <w:pPr>
        <w:pStyle w:val="BodyTextCustom"/>
      </w:pPr>
      <w:r>
        <w:br/>
        <w:t>Root Cause Analysis (RCA) is widely practiced in data centers,</w:t>
      </w:r>
      <w:r>
        <w:br/>
        <w:t xml:space="preserve">yet </w:t>
      </w:r>
      <w:r>
        <w:t>repeated incidents continue to occur with familiar patterns.</w:t>
      </w:r>
      <w:r>
        <w:br/>
        <w:t>This article argues that the failure is not analytical capability,</w:t>
      </w:r>
      <w:r>
        <w:br/>
        <w:t>but structural: RCA is performed without design authority.</w:t>
      </w:r>
      <w:r>
        <w:br/>
        <w:t>When findings cannot modify system architecture, workflows,</w:t>
      </w:r>
      <w:r>
        <w:br/>
        <w:t>or decisi</w:t>
      </w:r>
      <w:r>
        <w:t>on boundaries, RCA becomes a reporting ritual rather than</w:t>
      </w:r>
      <w:r>
        <w:br/>
        <w:t>a learning mechanism.</w:t>
      </w:r>
      <w:r>
        <w:br/>
      </w:r>
    </w:p>
    <w:p w14:paraId="6CFE2086" w14:textId="77777777" w:rsidR="009254CE" w:rsidRDefault="00A857DD">
      <w:pPr>
        <w:pStyle w:val="Heading2"/>
      </w:pPr>
      <w:r>
        <w:t>Opening</w:t>
      </w:r>
    </w:p>
    <w:p w14:paraId="6C32A5BE" w14:textId="77777777" w:rsidR="009254CE" w:rsidRDefault="00A857DD">
      <w:pPr>
        <w:pStyle w:val="BodyTextCustom"/>
      </w:pPr>
      <w:r>
        <w:br/>
        <w:t>Most RCAs are technically correct.</w:t>
      </w:r>
      <w:r>
        <w:br/>
        <w:t>Most RCAs also change nothing.</w:t>
      </w:r>
      <w:r>
        <w:br/>
      </w:r>
      <w:r>
        <w:br/>
        <w:t>If the same incident returns in a new form,</w:t>
      </w:r>
      <w:r>
        <w:br/>
        <w:t>the organization has not failed to analyze.</w:t>
      </w:r>
      <w:r>
        <w:br/>
        <w:t>It has fail</w:t>
      </w:r>
      <w:r>
        <w:t>ed to redesign.</w:t>
      </w:r>
      <w:r>
        <w:br/>
      </w:r>
    </w:p>
    <w:p w14:paraId="6E0D6DF8" w14:textId="77777777" w:rsidR="009254CE" w:rsidRDefault="00A857DD">
      <w:pPr>
        <w:pStyle w:val="Heading2"/>
      </w:pPr>
      <w:r>
        <w:t>1. RCA popularity and its paradox</w:t>
      </w:r>
    </w:p>
    <w:p w14:paraId="1440BE5B" w14:textId="77777777" w:rsidR="009254CE" w:rsidRDefault="00A857DD">
      <w:pPr>
        <w:pStyle w:val="BodyTextCustom"/>
      </w:pPr>
      <w:r>
        <w:t>RCA is one of the most standardized practices in critical environments.</w:t>
      </w:r>
      <w:r>
        <w:br/>
        <w:t>Templates, fishbone diagrams, and timelines are well understood.</w:t>
      </w:r>
      <w:r>
        <w:br/>
        <w:t>Yet recurrence rates remain high.</w:t>
      </w:r>
      <w:r>
        <w:br/>
      </w:r>
      <w:r>
        <w:br/>
        <w:t>The paradox is clear:</w:t>
      </w:r>
      <w:r>
        <w:br/>
        <w:t>analysis qu</w:t>
      </w:r>
      <w:r>
        <w:t>ality increases,</w:t>
      </w:r>
      <w:r>
        <w:br/>
        <w:t>but system behavior does not change.</w:t>
      </w:r>
    </w:p>
    <w:p w14:paraId="12D354E5" w14:textId="77777777" w:rsidR="009254CE" w:rsidRDefault="00A857DD">
      <w:pPr>
        <w:pStyle w:val="Heading2"/>
      </w:pPr>
      <w:r>
        <w:t>2. RCA as ritualized compliance</w:t>
      </w:r>
    </w:p>
    <w:p w14:paraId="506C92A2" w14:textId="77777777" w:rsidR="009254CE" w:rsidRDefault="00A857DD">
      <w:pPr>
        <w:pStyle w:val="BodyTextCustom"/>
      </w:pPr>
      <w:r>
        <w:t>In many organizations, RCA primarily serves governance needs:</w:t>
      </w:r>
      <w:r>
        <w:br/>
        <w:t>• to demonstrate diligence,</w:t>
      </w:r>
      <w:r>
        <w:br/>
        <w:t>• to satisfy audit expectations,</w:t>
      </w:r>
      <w:r>
        <w:br/>
        <w:t>• to close incident tickets.</w:t>
      </w:r>
      <w:r>
        <w:br/>
      </w:r>
      <w:r>
        <w:br/>
      </w:r>
      <w:r>
        <w:lastRenderedPageBreak/>
        <w:t>This transforms R</w:t>
      </w:r>
      <w:r>
        <w:t>CA into a ritual.</w:t>
      </w:r>
      <w:r>
        <w:br/>
        <w:t>The output is documentation,</w:t>
      </w:r>
      <w:r>
        <w:br/>
        <w:t>not system change.</w:t>
      </w:r>
    </w:p>
    <w:p w14:paraId="70422897" w14:textId="77777777" w:rsidR="009254CE" w:rsidRDefault="00A857DD">
      <w:pPr>
        <w:pStyle w:val="Heading2"/>
      </w:pPr>
      <w:r>
        <w:t>3. Design authority as the missing control</w:t>
      </w:r>
    </w:p>
    <w:p w14:paraId="351C1D98" w14:textId="77777777" w:rsidR="009254CE" w:rsidRDefault="00A857DD">
      <w:pPr>
        <w:pStyle w:val="BodyTextCustom"/>
      </w:pPr>
      <w:r>
        <w:t>Design authority is the ability to modify system constraints:</w:t>
      </w:r>
      <w:r>
        <w:br/>
        <w:t>architecture, interfaces, decision rights, and standards.</w:t>
      </w:r>
      <w:r>
        <w:br/>
      </w:r>
      <w:r>
        <w:br/>
        <w:t>Without design authority:</w:t>
      </w:r>
      <w:r>
        <w:br/>
      </w:r>
      <w:r>
        <w:t>• findings are downgraded to recommendations,</w:t>
      </w:r>
      <w:r>
        <w:br/>
        <w:t>• systemic issues are reframed as human error,</w:t>
      </w:r>
      <w:r>
        <w:br/>
        <w:t>• corrective actions focus on reminders and retraining.</w:t>
      </w:r>
      <w:r>
        <w:br/>
      </w:r>
      <w:r>
        <w:br/>
        <w:t>Learning stops at the document boundary.</w:t>
      </w:r>
    </w:p>
    <w:p w14:paraId="12A82A10" w14:textId="77777777" w:rsidR="009254CE" w:rsidRDefault="00A857DD">
      <w:pPr>
        <w:pStyle w:val="Heading2"/>
      </w:pPr>
      <w:r>
        <w:t>4. Systems thinking perspective</w:t>
      </w:r>
    </w:p>
    <w:p w14:paraId="5862531F" w14:textId="77777777" w:rsidR="009254CE" w:rsidRDefault="00A857DD">
      <w:pPr>
        <w:pStyle w:val="BodyTextCustom"/>
      </w:pPr>
      <w:r>
        <w:t>Nancy Leveson emphasizes that acc</w:t>
      </w:r>
      <w:r>
        <w:t>idents emerge from inadequate control,</w:t>
      </w:r>
      <w:r>
        <w:br/>
        <w:t>not component failure.</w:t>
      </w:r>
      <w:r>
        <w:br/>
        <w:t>RCA that does not alter control structures</w:t>
      </w:r>
      <w:r>
        <w:br/>
        <w:t>cannot address system-level causes.</w:t>
      </w:r>
      <w:r>
        <w:br/>
      </w:r>
      <w:r>
        <w:br/>
        <w:t>The deeper the system,</w:t>
      </w:r>
      <w:r>
        <w:br/>
        <w:t>the less effective isolated fixes become.</w:t>
      </w:r>
    </w:p>
    <w:p w14:paraId="4F1BA5A7" w14:textId="77777777" w:rsidR="009254CE" w:rsidRDefault="00A857DD">
      <w:pPr>
        <w:pStyle w:val="Heading2"/>
      </w:pPr>
      <w:r>
        <w:t>5. Case pattern: RCA without redesign</w:t>
      </w:r>
    </w:p>
    <w:p w14:paraId="72AEC5E4" w14:textId="77777777" w:rsidR="009254CE" w:rsidRDefault="00A857DD">
      <w:pPr>
        <w:pStyle w:val="BodyTextCustom"/>
      </w:pPr>
      <w:r>
        <w:t>Across repe</w:t>
      </w:r>
      <w:r>
        <w:t>ated events, a familiar pattern appears:</w:t>
      </w:r>
      <w:r>
        <w:br/>
      </w:r>
      <w:r>
        <w:br/>
        <w:t>1. Incident occurs.</w:t>
      </w:r>
      <w:r>
        <w:br/>
        <w:t>2. RCA identifies procedural deviation.</w:t>
      </w:r>
      <w:r>
        <w:br/>
        <w:t>3. Training is reinforced.</w:t>
      </w:r>
      <w:r>
        <w:br/>
        <w:t>4. Similar incident reappears months later.</w:t>
      </w:r>
      <w:r>
        <w:br/>
      </w:r>
      <w:r>
        <w:br/>
        <w:t>The loop closes without modifying</w:t>
      </w:r>
      <w:r>
        <w:br/>
        <w:t>the conditions that made deviation likely.</w:t>
      </w:r>
    </w:p>
    <w:p w14:paraId="35EAADF2" w14:textId="77777777" w:rsidR="009254CE" w:rsidRDefault="00A857DD">
      <w:pPr>
        <w:pStyle w:val="Heading2"/>
      </w:pPr>
      <w:r>
        <w:t>6. Hu</w:t>
      </w:r>
      <w:r>
        <w:t>man factors and normalization</w:t>
      </w:r>
    </w:p>
    <w:p w14:paraId="071FE8F8" w14:textId="77777777" w:rsidR="009254CE" w:rsidRDefault="00A857DD">
      <w:pPr>
        <w:pStyle w:val="BodyTextCustom"/>
      </w:pPr>
      <w:r>
        <w:t>From a human factors view,</w:t>
      </w:r>
      <w:r>
        <w:br/>
        <w:t>people adapt to make work succeed.</w:t>
      </w:r>
      <w:r>
        <w:br/>
        <w:t>If RCA punishes adaptation instead of redesigning constraints,</w:t>
      </w:r>
      <w:r>
        <w:br/>
        <w:t>it encourages workarounds and silence.</w:t>
      </w:r>
      <w:r>
        <w:br/>
      </w:r>
      <w:r>
        <w:br/>
      </w:r>
      <w:r>
        <w:lastRenderedPageBreak/>
        <w:t>Safety-II reframes this:</w:t>
      </w:r>
      <w:r>
        <w:br/>
        <w:t>success and failure share the same m</w:t>
      </w:r>
      <w:r>
        <w:t>echanisms.</w:t>
      </w:r>
    </w:p>
    <w:p w14:paraId="6E393394" w14:textId="77777777" w:rsidR="009254CE" w:rsidRDefault="00A857DD">
      <w:pPr>
        <w:pStyle w:val="Heading2"/>
      </w:pPr>
      <w:r>
        <w:t>7. What effective RCA enables</w:t>
      </w:r>
    </w:p>
    <w:p w14:paraId="237CAB87" w14:textId="77777777" w:rsidR="009254CE" w:rsidRDefault="00A857DD">
      <w:pPr>
        <w:pStyle w:val="BodyTextCustom"/>
      </w:pPr>
      <w:r>
        <w:t>Effective RCA has one defining property:</w:t>
      </w:r>
      <w:r>
        <w:br/>
        <w:t>it can change the system.</w:t>
      </w:r>
      <w:r>
        <w:br/>
      </w:r>
      <w:r>
        <w:br/>
        <w:t>This includes:</w:t>
      </w:r>
      <w:r>
        <w:br/>
        <w:t>• modifying alarm logic,</w:t>
      </w:r>
      <w:r>
        <w:br/>
        <w:t>• redefining authority boundaries,</w:t>
      </w:r>
      <w:r>
        <w:br/>
        <w:t>• changing maintenance workflows,</w:t>
      </w:r>
      <w:r>
        <w:br/>
        <w:t>• redesigning interfaces,</w:t>
      </w:r>
      <w:r>
        <w:br/>
        <w:t>• retiring u</w:t>
      </w:r>
      <w:r>
        <w:t>nsafe assumptions.</w:t>
      </w:r>
      <w:r>
        <w:br/>
      </w:r>
      <w:r>
        <w:br/>
        <w:t>Without this power, RCA cannot mature.</w:t>
      </w:r>
    </w:p>
    <w:p w14:paraId="00CD3024" w14:textId="77777777" w:rsidR="009254CE" w:rsidRDefault="00A857DD">
      <w:pPr>
        <w:pStyle w:val="Heading2"/>
      </w:pPr>
      <w:r>
        <w:t>8. Governance alignment (ISO 55000 &amp; ISO 31000)</w:t>
      </w:r>
    </w:p>
    <w:p w14:paraId="5ABC7D3D" w14:textId="77777777" w:rsidR="009254CE" w:rsidRDefault="00A857DD">
      <w:pPr>
        <w:pStyle w:val="BodyTextCustom"/>
      </w:pPr>
      <w:r>
        <w:t>Asset and risk management standards emphasize feedback and improvement.</w:t>
      </w:r>
      <w:r>
        <w:br/>
        <w:t>RCA without authority breaks the feedback loop,</w:t>
      </w:r>
      <w:r>
        <w:br/>
        <w:t>creating false assurance.</w:t>
      </w:r>
      <w:r>
        <w:br/>
      </w:r>
      <w:r>
        <w:br/>
        <w:t>Go</w:t>
      </w:r>
      <w:r>
        <w:t>vernance that cannot redesign</w:t>
      </w:r>
      <w:r>
        <w:br/>
        <w:t>is governance in name only.</w:t>
      </w:r>
    </w:p>
    <w:p w14:paraId="0C1D74CA" w14:textId="77777777" w:rsidR="009254CE" w:rsidRDefault="00A857DD">
      <w:pPr>
        <w:pStyle w:val="Heading2"/>
      </w:pPr>
      <w:r>
        <w:t>9. Designing an RCA‑to‑design pipeline</w:t>
      </w:r>
    </w:p>
    <w:p w14:paraId="61163057" w14:textId="77777777" w:rsidR="009254CE" w:rsidRDefault="00A857DD">
      <w:pPr>
        <w:pStyle w:val="BodyTextCustom"/>
      </w:pPr>
      <w:r>
        <w:t>Resilient organizations formalize the transition</w:t>
      </w:r>
      <w:r>
        <w:br/>
        <w:t>from RCA to redesign:</w:t>
      </w:r>
      <w:r>
        <w:br/>
      </w:r>
      <w:r>
        <w:br/>
        <w:t>• Explicit classification of findings (local vs systemic)</w:t>
      </w:r>
      <w:r>
        <w:br/>
        <w:t>• Pre‑approved redesign scope</w:t>
      </w:r>
      <w:r>
        <w:t>s</w:t>
      </w:r>
      <w:r>
        <w:br/>
        <w:t>• Design review ownership</w:t>
      </w:r>
      <w:r>
        <w:br/>
        <w:t>• Change authority embedded in ops leadership</w:t>
      </w:r>
      <w:r>
        <w:br/>
      </w:r>
      <w:r>
        <w:br/>
        <w:t>RCA becomes input, not endpoint.</w:t>
      </w:r>
    </w:p>
    <w:p w14:paraId="2B4953F8" w14:textId="77777777" w:rsidR="009254CE" w:rsidRDefault="00A857DD">
      <w:pPr>
        <w:pStyle w:val="Heading2"/>
      </w:pPr>
      <w:r>
        <w:t>10. Conclusion</w:t>
      </w:r>
    </w:p>
    <w:p w14:paraId="37272D2E" w14:textId="77777777" w:rsidR="009254CE" w:rsidRDefault="00A857DD">
      <w:pPr>
        <w:pStyle w:val="BodyTextCustom"/>
      </w:pPr>
      <w:r>
        <w:t>RCA does not fail because teams are incompetent.</w:t>
      </w:r>
      <w:r>
        <w:br/>
        <w:t>It fails because organizations separate analysis from authority.</w:t>
      </w:r>
      <w:r>
        <w:br/>
      </w:r>
      <w:r>
        <w:br/>
        <w:t>When RCA gains the</w:t>
      </w:r>
      <w:r>
        <w:t xml:space="preserve"> power to redesign,</w:t>
      </w:r>
      <w:r>
        <w:br/>
        <w:t>learning becomes real and recurrence declines.</w:t>
      </w:r>
    </w:p>
    <w:p w14:paraId="74FD209D" w14:textId="77777777" w:rsidR="009254CE" w:rsidRDefault="00A857DD">
      <w:r>
        <w:br w:type="page"/>
      </w:r>
    </w:p>
    <w:p w14:paraId="6DD0A1C2" w14:textId="77777777" w:rsidR="009254CE" w:rsidRDefault="00A857DD">
      <w:r>
        <w:lastRenderedPageBreak/>
        <w:br w:type="page"/>
      </w:r>
    </w:p>
    <w:p w14:paraId="77DA797F" w14:textId="77777777" w:rsidR="009254CE" w:rsidRDefault="00A857DD">
      <w:pPr>
        <w:pStyle w:val="Heading2"/>
      </w:pPr>
      <w:r>
        <w:lastRenderedPageBreak/>
        <w:t>References</w:t>
      </w:r>
    </w:p>
    <w:p w14:paraId="1373FE3E" w14:textId="77777777" w:rsidR="009254CE" w:rsidRDefault="00A857DD">
      <w:pPr>
        <w:pStyle w:val="BodyTextCustom"/>
      </w:pPr>
      <w:r>
        <w:t>Leveson, N. (2011). Engineering a Safer World.</w:t>
      </w:r>
    </w:p>
    <w:p w14:paraId="63ED42CC" w14:textId="77777777" w:rsidR="009254CE" w:rsidRDefault="00A857DD">
      <w:pPr>
        <w:pStyle w:val="BodyTextCustom"/>
      </w:pPr>
      <w:r>
        <w:t>Reason, J. (1997). Managing the Risks of Organizational Accidents.</w:t>
      </w:r>
    </w:p>
    <w:p w14:paraId="202887BE" w14:textId="77777777" w:rsidR="009254CE" w:rsidRDefault="00A857DD">
      <w:pPr>
        <w:pStyle w:val="BodyTextCustom"/>
      </w:pPr>
      <w:r>
        <w:t>Hollnagel, E. (2014). Safety‑I and Safety‑II.</w:t>
      </w:r>
    </w:p>
    <w:p w14:paraId="4DEC529F" w14:textId="77777777" w:rsidR="009254CE" w:rsidRDefault="00A857DD">
      <w:pPr>
        <w:pStyle w:val="BodyTextCustom"/>
      </w:pPr>
      <w:r>
        <w:t>ISO 55000 (2014). Asset Management.</w:t>
      </w:r>
    </w:p>
    <w:p w14:paraId="7E2A8C5A" w14:textId="77777777" w:rsidR="009254CE" w:rsidRDefault="00A857DD">
      <w:pPr>
        <w:pStyle w:val="BodyTextCustom"/>
      </w:pPr>
      <w:r>
        <w:t>ISO 31000 (2018). Risk Manag</w:t>
      </w:r>
      <w:r>
        <w:t>ement.</w:t>
      </w:r>
    </w:p>
    <w:sectPr w:rsidR="009254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54CE"/>
    <w:rsid w:val="00A857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8FBA93"/>
  <w14:defaultImageDpi w14:val="300"/>
  <w15:docId w15:val="{49B5E439-A1F4-49CC-BA23-A61B625C4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TextCustom"/>
    <w:rPr>
      <w:rFonts w:ascii="Calibri" w:eastAsia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Bagus Dwi Permana</cp:lastModifiedBy>
  <cp:revision>2</cp:revision>
  <dcterms:created xsi:type="dcterms:W3CDTF">2013-12-23T23:15:00Z</dcterms:created>
  <dcterms:modified xsi:type="dcterms:W3CDTF">2026-02-02T09:32:00Z</dcterms:modified>
  <cp:category/>
</cp:coreProperties>
</file>