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13F23" w14:textId="77777777" w:rsidR="00A3330B" w:rsidRDefault="006B7983">
      <w:pPr>
        <w:pStyle w:val="Heading1"/>
      </w:pPr>
      <w:r>
        <w:t>Article 8 – Why “No Incident” Is Not Evidence of Safety</w:t>
      </w:r>
    </w:p>
    <w:p w14:paraId="431008BE" w14:textId="77777777" w:rsidR="00A3330B" w:rsidRDefault="006B7983">
      <w:r>
        <w:t>Lagging indicators, weak signals, and the illusion of stability in critical data center operations</w:t>
      </w:r>
    </w:p>
    <w:p w14:paraId="592C3192" w14:textId="77777777" w:rsidR="00A3330B" w:rsidRDefault="006B7983">
      <w:r>
        <w:rPr>
          <w:i/>
        </w:rPr>
        <w:t>Bagus Dwi Permana | 02 Feb 2026</w:t>
      </w:r>
    </w:p>
    <w:p w14:paraId="0F7691FF" w14:textId="77777777" w:rsidR="00A3330B" w:rsidRDefault="006B7983">
      <w:pPr>
        <w:pStyle w:val="Heading2"/>
      </w:pPr>
      <w:r>
        <w:t>Abstract</w:t>
      </w:r>
    </w:p>
    <w:p w14:paraId="52CBA2F3" w14:textId="77777777" w:rsidR="00A3330B" w:rsidRDefault="006B7983">
      <w:pPr>
        <w:pStyle w:val="BodyTextCustom"/>
      </w:pPr>
      <w:r>
        <w:br/>
        <w:t xml:space="preserve">In many data centers, safety and reliability are </w:t>
      </w:r>
      <w:r>
        <w:t>inferred from the absence of incidents.</w:t>
      </w:r>
      <w:r>
        <w:br/>
        <w:t>Periods without outages are treated as proof that systems, processes, and behaviors are sound.</w:t>
      </w:r>
      <w:r>
        <w:br/>
        <w:t>This article challenges that assumption.</w:t>
      </w:r>
      <w:r>
        <w:br/>
        <w:t>Drawing from safety science, resilience engineering, and operational experience,</w:t>
      </w:r>
      <w:r>
        <w:br/>
        <w:t>it argues that the absence of incidents is a weak indicator of safety,</w:t>
      </w:r>
      <w:r>
        <w:br/>
        <w:t>and that true operational risk is better revealed through weak signals,</w:t>
      </w:r>
      <w:r>
        <w:br/>
        <w:t>leading indicators, and system drift.</w:t>
      </w:r>
      <w:r>
        <w:br/>
      </w:r>
    </w:p>
    <w:p w14:paraId="693730C5" w14:textId="77777777" w:rsidR="00A3330B" w:rsidRDefault="006B7983">
      <w:pPr>
        <w:pStyle w:val="Heading2"/>
      </w:pPr>
      <w:r>
        <w:t>Opening</w:t>
      </w:r>
    </w:p>
    <w:p w14:paraId="0556F65F" w14:textId="77777777" w:rsidR="00A3330B" w:rsidRDefault="006B7983">
      <w:pPr>
        <w:pStyle w:val="BodyTextCustom"/>
      </w:pPr>
      <w:r>
        <w:br/>
        <w:t>For months, nothing happens.</w:t>
      </w:r>
      <w:r>
        <w:br/>
        <w:t xml:space="preserve">No outages. No customer impact. No </w:t>
      </w:r>
      <w:r>
        <w:t>headlines.</w:t>
      </w:r>
      <w:r>
        <w:br/>
      </w:r>
      <w:r>
        <w:br/>
        <w:t>Then one day, everything fails at once.</w:t>
      </w:r>
      <w:r>
        <w:br/>
      </w:r>
      <w:r>
        <w:br/>
        <w:t>The failure did not appear suddenly.</w:t>
      </w:r>
      <w:r>
        <w:br/>
        <w:t>It accumulated quietly while the dashboard stayed green.</w:t>
      </w:r>
      <w:r>
        <w:br/>
      </w:r>
    </w:p>
    <w:p w14:paraId="74365733" w14:textId="77777777" w:rsidR="00A3330B" w:rsidRDefault="006B7983">
      <w:pPr>
        <w:pStyle w:val="Heading2"/>
      </w:pPr>
      <w:r>
        <w:t>1. The dangerous comfort of zero incidents</w:t>
      </w:r>
    </w:p>
    <w:p w14:paraId="63BC44AC" w14:textId="77777777" w:rsidR="00A3330B" w:rsidRDefault="006B7983">
      <w:pPr>
        <w:pStyle w:val="BodyTextCustom"/>
      </w:pPr>
      <w:r>
        <w:t xml:space="preserve">In critical infrastructure, “no incident” is often celebrated as </w:t>
      </w:r>
      <w:r>
        <w:t>success.</w:t>
      </w:r>
      <w:r>
        <w:br/>
        <w:t>Dashboards glow green, KPIs are met, and confidence increases.</w:t>
      </w:r>
      <w:r>
        <w:br/>
      </w:r>
      <w:r>
        <w:br/>
        <w:t>Yet safety science has repeatedly shown that long accident-free periods</w:t>
      </w:r>
      <w:r>
        <w:br/>
        <w:t>often precede major failures.</w:t>
      </w:r>
      <w:r>
        <w:br/>
        <w:t>Stability breeds normalization.</w:t>
      </w:r>
    </w:p>
    <w:p w14:paraId="48A37225" w14:textId="77777777" w:rsidR="00A3330B" w:rsidRDefault="006B7983">
      <w:pPr>
        <w:pStyle w:val="Heading2"/>
      </w:pPr>
      <w:r>
        <w:t>2. Lagging indicators: what they measure—and what</w:t>
      </w:r>
      <w:r>
        <w:t xml:space="preserve"> they miss</w:t>
      </w:r>
    </w:p>
    <w:p w14:paraId="415ED25A" w14:textId="77777777" w:rsidR="00A3330B" w:rsidRDefault="006B7983">
      <w:pPr>
        <w:pStyle w:val="BodyTextCustom"/>
      </w:pPr>
      <w:r>
        <w:t>Lagging indicators measure outcomes after failure:</w:t>
      </w:r>
      <w:r>
        <w:br/>
        <w:t>• outages,</w:t>
      </w:r>
      <w:r>
        <w:br/>
        <w:t>• SLA breaches,</w:t>
      </w:r>
      <w:r>
        <w:br/>
        <w:t>• safety events.</w:t>
      </w:r>
      <w:r>
        <w:br/>
      </w:r>
      <w:r>
        <w:lastRenderedPageBreak/>
        <w:br/>
        <w:t>They are useful for accountability,</w:t>
      </w:r>
      <w:r>
        <w:br/>
        <w:t>but they are blind to system condition.</w:t>
      </w:r>
      <w:r>
        <w:br/>
        <w:t>By the time a lagging indicator moves, control is already lost.</w:t>
      </w:r>
    </w:p>
    <w:p w14:paraId="6DB8A986" w14:textId="77777777" w:rsidR="00A3330B" w:rsidRDefault="006B7983">
      <w:pPr>
        <w:pStyle w:val="Heading2"/>
      </w:pPr>
      <w:r>
        <w:t>3. The my</w:t>
      </w:r>
      <w:r>
        <w:t>th of predictive absence</w:t>
      </w:r>
    </w:p>
    <w:p w14:paraId="604C69EC" w14:textId="77777777" w:rsidR="00A3330B" w:rsidRDefault="006B7983">
      <w:pPr>
        <w:pStyle w:val="BodyTextCustom"/>
      </w:pPr>
      <w:r>
        <w:t>The absence of incidents does not predict future safety.</w:t>
      </w:r>
      <w:r>
        <w:br/>
        <w:t>It only confirms that boundaries have not yet been crossed.</w:t>
      </w:r>
      <w:r>
        <w:br/>
      </w:r>
      <w:r>
        <w:br/>
        <w:t>Complex systems can operate for long periods</w:t>
      </w:r>
      <w:r>
        <w:br/>
        <w:t>while gradually eroding their safety margins.</w:t>
      </w:r>
    </w:p>
    <w:p w14:paraId="6E886078" w14:textId="77777777" w:rsidR="00A3330B" w:rsidRDefault="006B7983">
      <w:pPr>
        <w:pStyle w:val="Heading2"/>
      </w:pPr>
      <w:r>
        <w:t>4. Weak signals and ea</w:t>
      </w:r>
      <w:r>
        <w:t>rly warnings</w:t>
      </w:r>
    </w:p>
    <w:p w14:paraId="00E9BE5A" w14:textId="77777777" w:rsidR="00A3330B" w:rsidRDefault="006B7983">
      <w:pPr>
        <w:pStyle w:val="BodyTextCustom"/>
      </w:pPr>
      <w:r>
        <w:t>Weak signals are subtle deviations that do not cause immediate failure:</w:t>
      </w:r>
      <w:r>
        <w:br/>
        <w:t>• recurring nuisance alarms,</w:t>
      </w:r>
      <w:r>
        <w:br/>
        <w:t>• informal workarounds,</w:t>
      </w:r>
      <w:r>
        <w:br/>
        <w:t>• small procedural skips,</w:t>
      </w:r>
      <w:r>
        <w:br/>
        <w:t>• increasing reliance on specific individuals.</w:t>
      </w:r>
      <w:r>
        <w:br/>
      </w:r>
      <w:r>
        <w:br/>
        <w:t>Individually, they are easy to ignore.</w:t>
      </w:r>
      <w:r>
        <w:br/>
        <w:t>Colle</w:t>
      </w:r>
      <w:r>
        <w:t>ctively, they are early warnings.</w:t>
      </w:r>
    </w:p>
    <w:p w14:paraId="223845C2" w14:textId="77777777" w:rsidR="00A3330B" w:rsidRDefault="006B7983">
      <w:pPr>
        <w:pStyle w:val="Heading2"/>
      </w:pPr>
      <w:r>
        <w:t>5. Drift toward failure</w:t>
      </w:r>
    </w:p>
    <w:p w14:paraId="63D8ECC1" w14:textId="77777777" w:rsidR="00A3330B" w:rsidRDefault="006B7983">
      <w:pPr>
        <w:pStyle w:val="BodyTextCustom"/>
      </w:pPr>
      <w:r>
        <w:t>James Reason and Erik Hollnagel describe drift as a gradual movement</w:t>
      </w:r>
      <w:r>
        <w:br/>
        <w:t>toward unsafe states driven by efficiency, success, and adaptation.</w:t>
      </w:r>
      <w:r>
        <w:br/>
      </w:r>
      <w:r>
        <w:br/>
        <w:t>Because drift is slow and often rewarded,</w:t>
      </w:r>
      <w:r>
        <w:br/>
        <w:t>it remains invisib</w:t>
      </w:r>
      <w:r>
        <w:t>le until a triggering event occurs.</w:t>
      </w:r>
    </w:p>
    <w:p w14:paraId="13FFA62F" w14:textId="77777777" w:rsidR="00A3330B" w:rsidRDefault="006B7983">
      <w:pPr>
        <w:pStyle w:val="Heading2"/>
      </w:pPr>
      <w:r>
        <w:t>6. Human factors: success masking fragility</w:t>
      </w:r>
    </w:p>
    <w:p w14:paraId="519710D2" w14:textId="77777777" w:rsidR="00A3330B" w:rsidRDefault="006B7983">
      <w:pPr>
        <w:pStyle w:val="BodyTextCustom"/>
      </w:pPr>
      <w:r>
        <w:t>When systems succeed despite degraded conditions,</w:t>
      </w:r>
      <w:r>
        <w:br/>
        <w:t>operators adapt to compensate.</w:t>
      </w:r>
      <w:r>
        <w:br/>
        <w:t>Success reinforces the adaptation,</w:t>
      </w:r>
      <w:r>
        <w:br/>
        <w:t>masking underlying fragility.</w:t>
      </w:r>
      <w:r>
        <w:br/>
      </w:r>
      <w:r>
        <w:br/>
        <w:t>Ironically, high-performing t</w:t>
      </w:r>
      <w:r>
        <w:t>eams may drift faster,</w:t>
      </w:r>
      <w:r>
        <w:br/>
        <w:t>because their skill absorbs design weakness.</w:t>
      </w:r>
    </w:p>
    <w:p w14:paraId="2B6D2786" w14:textId="77777777" w:rsidR="00A3330B" w:rsidRDefault="006B7983">
      <w:pPr>
        <w:pStyle w:val="Heading2"/>
      </w:pPr>
      <w:r>
        <w:t>7. Leading indicators that actually matter</w:t>
      </w:r>
    </w:p>
    <w:p w14:paraId="1592145A" w14:textId="77777777" w:rsidR="00A3330B" w:rsidRDefault="006B7983">
      <w:pPr>
        <w:pStyle w:val="BodyTextCustom"/>
      </w:pPr>
      <w:r>
        <w:t>Effective leading indicators focus on system health, not outcomes:</w:t>
      </w:r>
      <w:r>
        <w:br/>
        <w:t>• MTTR variance (not just averages),</w:t>
      </w:r>
      <w:r>
        <w:br/>
        <w:t>• escalation latency,</w:t>
      </w:r>
      <w:r>
        <w:br/>
      </w:r>
      <w:r>
        <w:lastRenderedPageBreak/>
        <w:t>• deviation backlog</w:t>
      </w:r>
      <w:r>
        <w:t xml:space="preserve"> size,</w:t>
      </w:r>
      <w:r>
        <w:br/>
        <w:t>• alarm rationalization debt,</w:t>
      </w:r>
      <w:r>
        <w:br/>
        <w:t>• technical debt aging,</w:t>
      </w:r>
      <w:r>
        <w:br/>
        <w:t>• RCA recurrence suppression.</w:t>
      </w:r>
      <w:r>
        <w:br/>
      </w:r>
      <w:r>
        <w:br/>
        <w:t>These indicators reveal trajectory, not just history.</w:t>
      </w:r>
    </w:p>
    <w:p w14:paraId="20237DEA" w14:textId="77777777" w:rsidR="00A3330B" w:rsidRDefault="006B7983">
      <w:pPr>
        <w:pStyle w:val="Heading2"/>
      </w:pPr>
      <w:r>
        <w:t>8. Case pattern: green dashboards before failure</w:t>
      </w:r>
    </w:p>
    <w:p w14:paraId="0CA23CD9" w14:textId="77777777" w:rsidR="00A3330B" w:rsidRDefault="006B7983">
      <w:pPr>
        <w:pStyle w:val="BodyTextCustom"/>
      </w:pPr>
      <w:r>
        <w:t>Across multiple major incidents,</w:t>
      </w:r>
      <w:r>
        <w:br/>
        <w:t xml:space="preserve">post-event analysis reveals </w:t>
      </w:r>
      <w:r>
        <w:t>the same story:</w:t>
      </w:r>
      <w:r>
        <w:br/>
        <w:t>• dashboards were green,</w:t>
      </w:r>
      <w:r>
        <w:br/>
        <w:t>• audits were passed,</w:t>
      </w:r>
      <w:r>
        <w:br/>
        <w:t>• confidence was high.</w:t>
      </w:r>
      <w:r>
        <w:br/>
      </w:r>
      <w:r>
        <w:br/>
        <w:t>Weak signals were present,</w:t>
      </w:r>
      <w:r>
        <w:br/>
        <w:t>but unmeasured, unowned, or normalized.</w:t>
      </w:r>
    </w:p>
    <w:p w14:paraId="47050535" w14:textId="77777777" w:rsidR="00A3330B" w:rsidRDefault="006B7983">
      <w:pPr>
        <w:pStyle w:val="Heading2"/>
      </w:pPr>
      <w:r>
        <w:t>9. Designing a weak-signal detection system</w:t>
      </w:r>
    </w:p>
    <w:p w14:paraId="26A59AD2" w14:textId="77777777" w:rsidR="00A3330B" w:rsidRDefault="006B7983">
      <w:pPr>
        <w:pStyle w:val="BodyTextCustom"/>
      </w:pPr>
      <w:r>
        <w:t>Resilient organizations deliberately surface weak signals:</w:t>
      </w:r>
      <w:r>
        <w:br/>
        <w:t>• safe reporting channels,</w:t>
      </w:r>
      <w:r>
        <w:br/>
        <w:t>• structured near-miss capture,</w:t>
      </w:r>
      <w:r>
        <w:br/>
        <w:t>• trend analysis over time,</w:t>
      </w:r>
      <w:r>
        <w:br/>
        <w:t>• explicit ownership of anomalies.</w:t>
      </w:r>
      <w:r>
        <w:br/>
      </w:r>
      <w:r>
        <w:br/>
        <w:t>The goal is not alarmism,</w:t>
      </w:r>
      <w:r>
        <w:br/>
        <w:t>but sensitivity to change.</w:t>
      </w:r>
    </w:p>
    <w:p w14:paraId="3A313897" w14:textId="77777777" w:rsidR="00A3330B" w:rsidRDefault="006B7983">
      <w:pPr>
        <w:pStyle w:val="Heading2"/>
      </w:pPr>
      <w:r>
        <w:t>10. Conclusion</w:t>
      </w:r>
    </w:p>
    <w:p w14:paraId="0D54CB94" w14:textId="77777777" w:rsidR="00A3330B" w:rsidRDefault="006B7983">
      <w:pPr>
        <w:pStyle w:val="BodyTextCustom"/>
      </w:pPr>
      <w:r>
        <w:t>“No incident” is a lagging comfort.</w:t>
      </w:r>
      <w:r>
        <w:br/>
        <w:t>Safety lives in signals that</w:t>
      </w:r>
      <w:r>
        <w:t xml:space="preserve"> precede failure,</w:t>
      </w:r>
      <w:r>
        <w:br/>
        <w:t>not in the absence of visible harm.</w:t>
      </w:r>
      <w:r>
        <w:br/>
      </w:r>
      <w:r>
        <w:br/>
        <w:t>Organizations that learn to see weak signals</w:t>
      </w:r>
      <w:r>
        <w:br/>
        <w:t>trade false confidence for true resilience.</w:t>
      </w:r>
    </w:p>
    <w:p w14:paraId="0912B4A0" w14:textId="77777777" w:rsidR="00A3330B" w:rsidRDefault="006B7983">
      <w:r>
        <w:br w:type="page"/>
      </w:r>
    </w:p>
    <w:p w14:paraId="0CEA03F8" w14:textId="77777777" w:rsidR="00A3330B" w:rsidRDefault="006B7983">
      <w:r>
        <w:lastRenderedPageBreak/>
        <w:br w:type="page"/>
      </w:r>
    </w:p>
    <w:p w14:paraId="08A6E7AF" w14:textId="77777777" w:rsidR="00A3330B" w:rsidRDefault="006B7983">
      <w:pPr>
        <w:pStyle w:val="Heading2"/>
      </w:pPr>
      <w:r>
        <w:lastRenderedPageBreak/>
        <w:t>References</w:t>
      </w:r>
    </w:p>
    <w:p w14:paraId="0612ECF5" w14:textId="77777777" w:rsidR="00A3330B" w:rsidRDefault="006B7983">
      <w:pPr>
        <w:pStyle w:val="BodyTextCustom"/>
      </w:pPr>
      <w:r>
        <w:t>Rea</w:t>
      </w:r>
      <w:r>
        <w:t>son, J. (1997). Managing the Risks of Organizational Accidents.</w:t>
      </w:r>
    </w:p>
    <w:p w14:paraId="1F193851" w14:textId="77777777" w:rsidR="00A3330B" w:rsidRDefault="006B7983">
      <w:pPr>
        <w:pStyle w:val="BodyTextCustom"/>
      </w:pPr>
      <w:r>
        <w:t>Hollnagel, E. (2014). Safety-I and Safety-II.</w:t>
      </w:r>
    </w:p>
    <w:p w14:paraId="25922F94" w14:textId="77777777" w:rsidR="00A3330B" w:rsidRDefault="006B7983">
      <w:pPr>
        <w:pStyle w:val="BodyTextCustom"/>
      </w:pPr>
      <w:r>
        <w:t>Dekker, S. (2011). Drift into Failure.</w:t>
      </w:r>
    </w:p>
    <w:p w14:paraId="7438046C" w14:textId="77777777" w:rsidR="00A3330B" w:rsidRDefault="006B7983">
      <w:pPr>
        <w:pStyle w:val="BodyTextCustom"/>
      </w:pPr>
      <w:r>
        <w:t>Weick, K. E., &amp; Sutcliffe, K. M. (2015). Managing the Unexpected.</w:t>
      </w:r>
    </w:p>
    <w:p w14:paraId="240EA443" w14:textId="77777777" w:rsidR="00A3330B" w:rsidRDefault="006B7983">
      <w:pPr>
        <w:pStyle w:val="BodyTextCustom"/>
      </w:pPr>
      <w:r>
        <w:t>Leveson, N. (2011). Engineering a Safer W</w:t>
      </w:r>
      <w:r>
        <w:t>orld.</w:t>
      </w:r>
    </w:p>
    <w:sectPr w:rsidR="00A333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7983"/>
    <w:rsid w:val="00A333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98DC59"/>
  <w14:defaultImageDpi w14:val="300"/>
  <w15:docId w15:val="{9E36485A-5858-44B1-A246-D212F284C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TextCustom"/>
    <w:rPr>
      <w:rFonts w:ascii="Calibri" w:eastAsia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Bagus Dwi Permana</cp:lastModifiedBy>
  <cp:revision>2</cp:revision>
  <dcterms:created xsi:type="dcterms:W3CDTF">2013-12-23T23:15:00Z</dcterms:created>
  <dcterms:modified xsi:type="dcterms:W3CDTF">2026-02-02T09:47:00Z</dcterms:modified>
  <cp:category/>
</cp:coreProperties>
</file>