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166D73"/>
          <w:sz w:val="20"/>
        </w:rPr>
        <w:t>KATILIMCI REHBERİ</w:t>
      </w:r>
    </w:p>
    <w:p>
      <w:pPr>
        <w:pStyle w:val="Title"/>
      </w:pPr>
      <w:r>
        <w:t>Build the Builder</w:t>
      </w:r>
    </w:p>
    <w:p>
      <w:pPr>
        <w:pStyle w:val="Subtitle"/>
      </w:pPr>
      <w:r>
        <w:t>Toplantı dökümü + hackathon sayfası</w:t>
        <w:br/>
        <w:t>Birleştirilmiş Türkçe doküman</w:t>
      </w:r>
    </w:p>
    <w:p>
      <w:r>
        <w:t>Hazırlanma ve web erişim tarihi: 10 Ekim 2026. Bu metin bir kaynak derlemesidir; organizatör tarafından yayımlanmış yeni bir şartname değildir.</w:t>
      </w:r>
    </w:p>
    <w:p>
      <w:pPr>
        <w:pStyle w:val="Heading2"/>
      </w:pPr>
      <w:r>
        <w:t>Temel fikir</w:t>
      </w:r>
    </w:p>
    <w:p>
      <w:r>
        <w:t>Sizden yalnızca müşteriyi arayan bir telefon ajanı hazırlamanız istenmiyor. Asıl ürün, banka talimatlarını okuyup Freya üzerinde o telefon ajanını oluşturan, deneyen ve iyileştiren bir “builder” sistemidir. Değerlendirilen esas çıktı, builderın ürettiği telefon ajanının davranışıdır.</w:t>
      </w:r>
      <w:r>
        <w:rPr>
          <w:color w:val="586674"/>
          <w:sz w:val="16"/>
        </w:rPr>
        <w:t xml:space="preserve">  [T2]</w:t>
      </w:r>
    </w:p>
    <w:tbl>
      <w:tblPr>
        <w:tblW w:type="auto" w:w="0"/>
        <w:jc w:val="center"/>
        <w:tblLook w:firstColumn="1" w:firstRow="1" w:lastColumn="0" w:lastRow="0" w:noHBand="0" w:noVBand="1" w:val="04A0"/>
      </w:tblPr>
      <w:tblGrid>
        <w:gridCol w:w="9524"/>
      </w:tblGrid>
      <w:tr>
        <w:trPr>
          <w:cantSplit/>
        </w:trPr>
        <w:tc>
          <w:tcPr>
            <w:tcW w:type="dxa" w:w="9524"/>
            <w:shd w:fill="EDF4F4"/>
            <w:tcMar>
              <w:top w:w="130" w:type="dxa"/>
              <w:bottom w:w="130" w:type="dxa"/>
              <w:left w:w="170" w:type="dxa"/>
              <w:right w:w="170" w:type="dxa"/>
            </w:tcMar>
          </w:tcPr>
          <w:p>
            <w:pPr>
              <w:spacing w:after="80"/>
            </w:pPr>
            <w:r>
              <w:rPr>
                <w:b/>
                <w:color w:val="166D73"/>
                <w:sz w:val="20"/>
              </w:rPr>
              <w:t>BİR CÜMLEDE</w:t>
            </w:r>
          </w:p>
          <w:p>
            <w:pPr>
              <w:spacing w:after="0" w:line="252" w:lineRule="auto"/>
            </w:pPr>
            <w:r>
              <w:rPr>
                <w:sz w:val="21"/>
              </w:rPr>
              <w:t>Banka talimatları → sizin builderınız → Freya workflow’u → müşteri simülasyonları → hatalardan öğrenerek yeni sürüm. [T1–T2]</w:t>
            </w:r>
          </w:p>
        </w:tc>
      </w:tr>
    </w:tbl>
    <w:p>
      <w:pPr>
        <w:spacing w:after="0"/>
      </w:pPr>
    </w:p>
    <w:p>
      <w:pPr>
        <w:pStyle w:val="Heading2"/>
      </w:pPr>
      <w:r>
        <w:t>Yüklenen dosyanın içeriği</w:t>
      </w:r>
    </w:p>
    <w:p>
      <w:r>
        <w:t>Dosya, “Build the Builder kickoff - October 10” başlıklı açılış toplantısının dökümüdür. Freya’nın araştırma ve ürün yaklaşımını, tahsilat ajanı gösterimini, builder görevinin açıklamasını, platformdaki test ve izleme işleyişini ve katılımcı sorularını içerir.</w:t>
      </w:r>
      <w:r>
        <w:rPr>
          <w:color w:val="586674"/>
          <w:sz w:val="16"/>
        </w:rPr>
        <w:t xml:space="preserve">  [T1–T5]</w:t>
      </w:r>
    </w:p>
    <w:tbl>
      <w:tblPr>
        <w:tblW w:type="auto" w:w="0"/>
        <w:jc w:val="center"/>
        <w:tblLayout w:type="fixed"/>
        <w:tblLook w:firstColumn="1" w:firstRow="1" w:lastColumn="0" w:lastRow="0" w:noHBand="0" w:noVBand="1" w:val="04A0"/>
      </w:tblPr>
      <w:tblGrid>
        <w:gridCol w:w="8561"/>
        <w:gridCol w:w="964"/>
      </w:tblGrid>
      <w:tr>
        <w:trPr>
          <w:tblHeader/>
          <w:cantSplit/>
        </w:trPr>
        <w:tc>
          <w:tcPr>
            <w:tcW w:type="dxa" w:w="8561"/>
            <w:shd w:fill="203348"/>
            <w:vAlign w:val="center"/>
            <w:tcMar>
              <w:top w:w="90" w:type="dxa"/>
              <w:bottom w:w="90" w:type="dxa"/>
              <w:left w:w="120" w:type="dxa"/>
              <w:right w:w="120" w:type="dxa"/>
            </w:tcMar>
          </w:tcPr>
          <w:p>
            <w:pPr>
              <w:spacing w:before="0" w:after="0" w:line="247" w:lineRule="auto"/>
            </w:pPr>
            <w:r>
              <w:rPr>
                <w:b/>
                <w:color w:val="FFFFFF"/>
                <w:sz w:val="20"/>
              </w:rPr>
              <w:t>Bu dokümanda</w:t>
            </w:r>
          </w:p>
        </w:tc>
        <w:tc>
          <w:tcPr>
            <w:tcW w:type="dxa" w:w="964"/>
            <w:shd w:fill="203348"/>
            <w:vAlign w:val="center"/>
            <w:tcMar>
              <w:top w:w="90" w:type="dxa"/>
              <w:bottom w:w="90" w:type="dxa"/>
              <w:left w:w="120" w:type="dxa"/>
              <w:right w:w="120" w:type="dxa"/>
            </w:tcMar>
          </w:tcPr>
          <w:p>
            <w:pPr>
              <w:spacing w:before="0" w:after="0" w:line="247" w:lineRule="auto"/>
            </w:pPr>
            <w:r>
              <w:rPr>
                <w:b/>
                <w:color w:val="FFFFFF"/>
                <w:sz w:val="20"/>
              </w:rPr>
              <w:t>Sayfa</w:t>
            </w:r>
          </w:p>
        </w:tc>
      </w:tr>
      <w:tr>
        <w:trPr>
          <w:cantSplit/>
        </w:trPr>
        <w:tc>
          <w:tcPr>
            <w:tcW w:type="dxa" w:w="8561"/>
            <w:shd w:fill="F1F5F7"/>
            <w:vAlign w:val="center"/>
            <w:tcMar>
              <w:top w:w="90" w:type="dxa"/>
              <w:bottom w:w="90" w:type="dxa"/>
              <w:left w:w="120" w:type="dxa"/>
              <w:right w:w="120" w:type="dxa"/>
            </w:tcMar>
          </w:tcPr>
          <w:p>
            <w:pPr>
              <w:spacing w:before="0" w:after="0" w:line="247" w:lineRule="auto"/>
            </w:pPr>
            <w:r>
              <w:rPr>
                <w:sz w:val="20"/>
              </w:rPr>
              <w:t>01  Toplantının içeriği ve Freya bağlamı</w:t>
            </w:r>
          </w:p>
        </w:tc>
        <w:tc>
          <w:tcPr>
            <w:tcW w:type="dxa" w:w="964"/>
            <w:shd w:fill="F1F5F7"/>
            <w:vAlign w:val="center"/>
            <w:tcMar>
              <w:top w:w="90" w:type="dxa"/>
              <w:bottom w:w="90" w:type="dxa"/>
              <w:left w:w="120" w:type="dxa"/>
              <w:right w:w="120" w:type="dxa"/>
            </w:tcMar>
          </w:tcPr>
          <w:p>
            <w:pPr>
              <w:spacing w:before="0" w:after="0" w:line="247" w:lineRule="auto"/>
            </w:pPr>
            <w:r>
              <w:rPr>
                <w:sz w:val="20"/>
              </w:rPr>
              <w:t>2</w:t>
            </w:r>
          </w:p>
        </w:tc>
      </w:tr>
      <w:tr>
        <w:trPr>
          <w:cantSplit/>
        </w:trPr>
        <w:tc>
          <w:tcPr>
            <w:tcW w:type="dxa" w:w="8561"/>
            <w:vAlign w:val="center"/>
            <w:tcMar>
              <w:top w:w="90" w:type="dxa"/>
              <w:bottom w:w="90" w:type="dxa"/>
              <w:left w:w="120" w:type="dxa"/>
              <w:right w:w="120" w:type="dxa"/>
            </w:tcMar>
          </w:tcPr>
          <w:p>
            <w:pPr>
              <w:spacing w:before="0" w:after="0" w:line="247" w:lineRule="auto"/>
            </w:pPr>
            <w:r>
              <w:rPr>
                <w:sz w:val="20"/>
              </w:rPr>
              <w:t>02  Geliştirilecek sistem ve iş akışı</w:t>
            </w:r>
          </w:p>
        </w:tc>
        <w:tc>
          <w:tcPr>
            <w:tcW w:type="dxa" w:w="964"/>
            <w:vAlign w:val="center"/>
            <w:tcMar>
              <w:top w:w="90" w:type="dxa"/>
              <w:bottom w:w="90" w:type="dxa"/>
              <w:left w:w="120" w:type="dxa"/>
              <w:right w:w="120" w:type="dxa"/>
            </w:tcMar>
          </w:tcPr>
          <w:p>
            <w:pPr>
              <w:spacing w:before="0" w:after="0" w:line="247" w:lineRule="auto"/>
            </w:pPr>
            <w:r>
              <w:rPr>
                <w:sz w:val="20"/>
              </w:rPr>
              <w:t>3</w:t>
            </w:r>
          </w:p>
        </w:tc>
      </w:tr>
      <w:tr>
        <w:trPr>
          <w:cantSplit/>
        </w:trPr>
        <w:tc>
          <w:tcPr>
            <w:tcW w:type="dxa" w:w="8561"/>
            <w:shd w:fill="F1F5F7"/>
            <w:vAlign w:val="center"/>
            <w:tcMar>
              <w:top w:w="90" w:type="dxa"/>
              <w:bottom w:w="90" w:type="dxa"/>
              <w:left w:w="120" w:type="dxa"/>
              <w:right w:w="120" w:type="dxa"/>
            </w:tcMar>
          </w:tcPr>
          <w:p>
            <w:pPr>
              <w:spacing w:before="0" w:after="0" w:line="247" w:lineRule="auto"/>
            </w:pPr>
            <w:r>
              <w:rPr>
                <w:sz w:val="20"/>
              </w:rPr>
              <w:t>03  Web sayfasının yazılı şartlar kartı</w:t>
            </w:r>
          </w:p>
        </w:tc>
        <w:tc>
          <w:tcPr>
            <w:tcW w:type="dxa" w:w="964"/>
            <w:shd w:fill="F1F5F7"/>
            <w:vAlign w:val="center"/>
            <w:tcMar>
              <w:top w:w="90" w:type="dxa"/>
              <w:bottom w:w="90" w:type="dxa"/>
              <w:left w:w="120" w:type="dxa"/>
              <w:right w:w="120" w:type="dxa"/>
            </w:tcMar>
          </w:tcPr>
          <w:p>
            <w:pPr>
              <w:spacing w:before="0" w:after="0" w:line="247" w:lineRule="auto"/>
            </w:pPr>
            <w:r>
              <w:rPr>
                <w:sz w:val="20"/>
              </w:rPr>
              <w:t>4</w:t>
            </w:r>
          </w:p>
        </w:tc>
      </w:tr>
      <w:tr>
        <w:trPr>
          <w:cantSplit/>
        </w:trPr>
        <w:tc>
          <w:tcPr>
            <w:tcW w:type="dxa" w:w="8561"/>
            <w:vAlign w:val="center"/>
            <w:tcMar>
              <w:top w:w="90" w:type="dxa"/>
              <w:bottom w:w="90" w:type="dxa"/>
              <w:left w:w="120" w:type="dxa"/>
              <w:right w:w="120" w:type="dxa"/>
            </w:tcMar>
          </w:tcPr>
          <w:p>
            <w:pPr>
              <w:spacing w:before="0" w:after="0" w:line="247" w:lineRule="auto"/>
            </w:pPr>
            <w:r>
              <w:rPr>
                <w:sz w:val="20"/>
              </w:rPr>
              <w:t>04  Kaynaklar arasındaki farklılıklar</w:t>
            </w:r>
          </w:p>
        </w:tc>
        <w:tc>
          <w:tcPr>
            <w:tcW w:type="dxa" w:w="964"/>
            <w:vAlign w:val="center"/>
            <w:tcMar>
              <w:top w:w="90" w:type="dxa"/>
              <w:bottom w:w="90" w:type="dxa"/>
              <w:left w:w="120" w:type="dxa"/>
              <w:right w:w="120" w:type="dxa"/>
            </w:tcMar>
          </w:tcPr>
          <w:p>
            <w:pPr>
              <w:spacing w:before="0" w:after="0" w:line="247" w:lineRule="auto"/>
            </w:pPr>
            <w:r>
              <w:rPr>
                <w:sz w:val="20"/>
              </w:rPr>
              <w:t>5</w:t>
            </w:r>
          </w:p>
        </w:tc>
      </w:tr>
      <w:tr>
        <w:trPr>
          <w:cantSplit/>
        </w:trPr>
        <w:tc>
          <w:tcPr>
            <w:tcW w:type="dxa" w:w="8561"/>
            <w:shd w:fill="F1F5F7"/>
            <w:vAlign w:val="center"/>
            <w:tcMar>
              <w:top w:w="90" w:type="dxa"/>
              <w:bottom w:w="90" w:type="dxa"/>
              <w:left w:w="120" w:type="dxa"/>
              <w:right w:w="120" w:type="dxa"/>
            </w:tcMar>
          </w:tcPr>
          <w:p>
            <w:pPr>
              <w:spacing w:before="0" w:after="0" w:line="247" w:lineRule="auto"/>
            </w:pPr>
            <w:r>
              <w:rPr>
                <w:sz w:val="20"/>
              </w:rPr>
              <w:t>05  Hazırlık ve uygulama planı</w:t>
            </w:r>
          </w:p>
        </w:tc>
        <w:tc>
          <w:tcPr>
            <w:tcW w:type="dxa" w:w="964"/>
            <w:shd w:fill="F1F5F7"/>
            <w:vAlign w:val="center"/>
            <w:tcMar>
              <w:top w:w="90" w:type="dxa"/>
              <w:bottom w:w="90" w:type="dxa"/>
              <w:left w:w="120" w:type="dxa"/>
              <w:right w:w="120" w:type="dxa"/>
            </w:tcMar>
          </w:tcPr>
          <w:p>
            <w:pPr>
              <w:spacing w:before="0" w:after="0" w:line="247" w:lineRule="auto"/>
            </w:pPr>
            <w:r>
              <w:rPr>
                <w:sz w:val="20"/>
              </w:rPr>
              <w:t>6</w:t>
            </w:r>
          </w:p>
        </w:tc>
      </w:tr>
      <w:tr>
        <w:trPr>
          <w:cantSplit/>
        </w:trPr>
        <w:tc>
          <w:tcPr>
            <w:tcW w:type="dxa" w:w="8561"/>
            <w:vAlign w:val="center"/>
            <w:tcMar>
              <w:top w:w="90" w:type="dxa"/>
              <w:bottom w:w="90" w:type="dxa"/>
              <w:left w:w="120" w:type="dxa"/>
              <w:right w:w="120" w:type="dxa"/>
            </w:tcMar>
          </w:tcPr>
          <w:p>
            <w:pPr>
              <w:spacing w:before="0" w:after="0" w:line="247" w:lineRule="auto"/>
            </w:pPr>
            <w:r>
              <w:rPr>
                <w:sz w:val="20"/>
              </w:rPr>
              <w:t>06  Açık konular, kapsam ve kaynaklar</w:t>
            </w:r>
          </w:p>
        </w:tc>
        <w:tc>
          <w:tcPr>
            <w:tcW w:type="dxa" w:w="964"/>
            <w:vAlign w:val="center"/>
            <w:tcMar>
              <w:top w:w="90" w:type="dxa"/>
              <w:bottom w:w="90" w:type="dxa"/>
              <w:left w:w="120" w:type="dxa"/>
              <w:right w:w="120" w:type="dxa"/>
            </w:tcMar>
          </w:tcPr>
          <w:p>
            <w:pPr>
              <w:spacing w:before="0" w:after="0" w:line="247" w:lineRule="auto"/>
            </w:pPr>
            <w:r>
              <w:rPr>
                <w:sz w:val="20"/>
              </w:rPr>
              <w:t>7</w:t>
            </w:r>
          </w:p>
        </w:tc>
      </w:tr>
    </w:tbl>
    <w:p>
      <w:pPr>
        <w:spacing w:after="0"/>
      </w:pPr>
    </w:p>
    <w:p>
      <w:r>
        <w:rPr>
          <w:b/>
        </w:rPr>
        <w:t>Okuma ilkesi:</w:t>
      </w:r>
      <w:r>
        <w:t xml:space="preserve"> toplantı anlatımı bağlamı sağlar; uygulama kontrolü için erişilen web sayfasının yazılı kuralları kullanılmıştır. Uyuşmayan noktalar 5. sayfada açıkça gösterilir. Başlangıç paketinin dosyaları veya sonradan gönderilen e-postalar incelenmiş gibi sunulmaz.</w:t>
      </w:r>
    </w:p>
    <w:p>
      <w:r>
        <w:br w:type="page"/>
      </w:r>
    </w:p>
    <w:p>
      <w:pPr>
        <w:spacing w:after="80"/>
      </w:pPr>
      <w:r>
        <w:rPr>
          <w:b/>
          <w:color w:val="166D73"/>
          <w:sz w:val="20"/>
        </w:rPr>
        <w:t>01</w:t>
      </w:r>
    </w:p>
    <w:p>
      <w:pPr>
        <w:pStyle w:val="Heading1"/>
      </w:pPr>
      <w:r>
        <w:t>Toplantıda neler var?</w:t>
      </w:r>
    </w:p>
    <w:p>
      <w:pPr>
        <w:pStyle w:val="Heading2"/>
      </w:pPr>
      <w:r>
        <w:t>Freya neden bu problemi seçiyor?</w:t>
      </w:r>
    </w:p>
    <w:p>
      <w:r>
        <w:t>Sunumda Freya, araştırma geçmişinden gelen; ses teknolojisini bankacılık ve sigortacılıkta müşteri iletişimine uygulayan bir şirket olarak anlatılıyor. İlk ürün deneyimlerinden, gecikmeli sesli sohbetlerden ve daha sonra bankalar için yapay zekâ çağrı merkezine yönelmekten söz ediliyor. Temel gerekçe, bu alanlarda hatalı bilgi üretiminin ve kurallardan sapmanın tolere edilememesi.</w:t>
      </w:r>
      <w:r>
        <w:rPr>
          <w:color w:val="586674"/>
          <w:sz w:val="16"/>
        </w:rPr>
        <w:t xml:space="preserve">  [T1]</w:t>
      </w:r>
    </w:p>
    <w:p>
      <w:r>
        <w:t>Vizyon, banka müşterisinin yalnızca standart bir çağrı merkeziyle değil, kendisine uyarlanan bir dijital bankacıyla etkileşmesi olarak tarif ediliyor. İlerleyen yıllarda bir “AI bank” kurma hedefi de sunumda yer alıyor; bu, gerçekleşmiş bir sonuç değil, konuşmacının gelecek hedefi.</w:t>
      </w:r>
      <w:r>
        <w:rPr>
          <w:color w:val="586674"/>
          <w:sz w:val="16"/>
        </w:rPr>
        <w:t xml:space="preserve">  [T1]</w:t>
      </w:r>
    </w:p>
    <w:p>
      <w:pPr>
        <w:pStyle w:val="Heading2"/>
      </w:pPr>
      <w:r>
        <w:t>Gösterilen telefon ajanı ne yapıyor?</w:t>
      </w:r>
    </w:p>
    <w:p>
      <w:r>
        <w:t>Türkçe tahsilat örneğinde ajan önce doğru kişiyle konuştuğunu doğrulamaya çalışıyor; ardından gecikmeyi açıklıyor ve ödeme olanağını soruyor. Müşteri dolandırıcılık şüphesi dile getiriyor, kısmi ödeme öneriyor ve sonunda ödeme sözü vermiyor. Ajanın bu itirazlara yanıt verip görüşmenin sonucunu kayda geçirmesi gösteriliyor.</w:t>
      </w:r>
      <w:r>
        <w:rPr>
          <w:color w:val="586674"/>
          <w:sz w:val="16"/>
        </w:rPr>
        <w:t xml:space="preserve">  [T1]</w:t>
      </w:r>
    </w:p>
    <w:p>
      <w:r>
        <w:t>İngilizce örnekte kimlik doğrulama ile tahsilat ayrı workflow adımları olarak anlatılıyor. Doğum tarihi ve telefonun son rakamları gibi bilgiler üzerinden API çağrıları gösteriliyor. Bunlar örnek senaryonun alanlarıdır; her yeni briefte aynı doğrulama sorularının kullanılacağı sonucu çıkarılamaz.</w:t>
      </w:r>
      <w:r>
        <w:rPr>
          <w:color w:val="586674"/>
          <w:sz w:val="16"/>
        </w:rPr>
        <w:t xml:space="preserve">  [T2]</w:t>
      </w:r>
    </w:p>
    <w:p>
      <w:pPr>
        <w:pStyle w:val="Heading2"/>
      </w:pPr>
      <w:r>
        <w:t>Platformda hangi bilgiler görülebiliyor?</w:t>
      </w:r>
    </w:p>
    <w:p>
      <w:r>
        <w:t>Görüşme sonrasında konuşma dökümü, yapılan API çağrıları, gecikme ölçümleri ve hata geri bildirimleri görüntüleniyor. Hatalar; dil modeli, konuşmayı yazıya çevirme, konuşma etkinliğini algılama veya ses üretimi gibi kök nedenlerle ilişkilendiriliyor. Önerilen değişiklikler yeni workflow sürümlerine dönüştürülüyor ve geçmiş değişiklikler izlenebiliyor.</w:t>
      </w:r>
      <w:r>
        <w:rPr>
          <w:color w:val="586674"/>
          <w:sz w:val="16"/>
        </w:rPr>
        <w:t xml:space="preserve">  [T1, T5]</w:t>
      </w:r>
    </w:p>
    <w:p>
      <w:pPr>
        <w:pStyle w:val="Heading2"/>
      </w:pPr>
      <w:r>
        <w:t>Neden tek tek ajan yapmak yeterli görülmüyor?</w:t>
      </w:r>
    </w:p>
    <w:p>
      <w:r>
        <w:t>Bankaların tahsilat, kart işlemleri ve başka müşteri süreçleri için farklı kuralları bulunuyor. Konuşmacılar, her senaryoyu insan emeğiyle kurmanın yavaş ve kişiselleştirme açısından sınırlı olduğunu vurguluyor. Hackathonun builder odağı, bu kurulum ve iyileştirme işini otomatikleştirme ihtiyacından doğuyor.</w:t>
      </w:r>
      <w:r>
        <w:rPr>
          <w:color w:val="586674"/>
          <w:sz w:val="16"/>
        </w:rPr>
        <w:t xml:space="preserve">  [T1–T2]</w:t>
      </w:r>
    </w:p>
    <w:tbl>
      <w:tblPr>
        <w:tblW w:type="auto" w:w="0"/>
        <w:jc w:val="center"/>
        <w:tblLook w:firstColumn="1" w:firstRow="1" w:lastColumn="0" w:lastRow="0" w:noHBand="0" w:noVBand="1" w:val="04A0"/>
      </w:tblPr>
      <w:tblGrid>
        <w:gridCol w:w="9524"/>
      </w:tblGrid>
      <w:tr>
        <w:trPr>
          <w:cantSplit/>
        </w:trPr>
        <w:tc>
          <w:tcPr>
            <w:tcW w:type="dxa" w:w="9524"/>
            <w:shd w:fill="EDF4F4"/>
            <w:tcMar>
              <w:top w:w="130" w:type="dxa"/>
              <w:bottom w:w="130" w:type="dxa"/>
              <w:left w:w="170" w:type="dxa"/>
              <w:right w:w="170" w:type="dxa"/>
            </w:tcMar>
          </w:tcPr>
          <w:p>
            <w:pPr>
              <w:spacing w:after="80"/>
            </w:pPr>
            <w:r>
              <w:rPr>
                <w:b/>
                <w:color w:val="166D73"/>
                <w:sz w:val="20"/>
              </w:rPr>
              <w:t>ŞİRKET İDDİASI İLE DOĞRULANMIŞ BULGU AYRIMI</w:t>
            </w:r>
          </w:p>
          <w:p>
            <w:pPr>
              <w:spacing w:after="0" w:line="252" w:lineRule="auto"/>
            </w:pPr>
            <w:r>
              <w:rPr>
                <w:sz w:val="21"/>
              </w:rPr>
              <w:t>Sunumda insan tahsilat oranı %51, Freya ajanının oranı %53 olarak veriliyor; “dünyada ilk” ve ses modeli üstünlüğü iddiaları da dile getiriliyor. Bunlar konuşmacının beyanlarıdır. Dökümde veri seti, deney tasarımı veya bağımsız doğrulama sunulmadığından yarışmanın garantisi ya da genel performans kanıtı olarak alınmamalıdır. [T1]</w:t>
            </w:r>
          </w:p>
        </w:tc>
      </w:tr>
    </w:tbl>
    <w:p>
      <w:pPr>
        <w:spacing w:after="0"/>
      </w:pPr>
    </w:p>
    <w:p>
      <w:r>
        <w:br w:type="page"/>
      </w:r>
    </w:p>
    <w:p>
      <w:pPr>
        <w:spacing w:after="80"/>
      </w:pPr>
      <w:r>
        <w:rPr>
          <w:b/>
          <w:color w:val="166D73"/>
          <w:sz w:val="20"/>
        </w:rPr>
        <w:t>02</w:t>
      </w:r>
    </w:p>
    <w:p>
      <w:pPr>
        <w:pStyle w:val="Heading1"/>
      </w:pPr>
      <w:r>
        <w:t>Geliştirilecek sistem</w:t>
      </w:r>
    </w:p>
    <w:tbl>
      <w:tblPr>
        <w:tblW w:type="auto" w:w="0"/>
        <w:jc w:val="center"/>
        <w:tblLayout w:type="fixed"/>
        <w:tblLook w:firstColumn="1" w:firstRow="1" w:lastColumn="0" w:lastRow="0" w:noHBand="0" w:noVBand="1" w:val="04A0"/>
      </w:tblPr>
      <w:tblGrid>
        <w:gridCol w:w="1814"/>
        <w:gridCol w:w="7710"/>
      </w:tblGrid>
      <w:tr>
        <w:trPr>
          <w:tblHeader/>
          <w:cantSplit/>
        </w:trPr>
        <w:tc>
          <w:tcPr>
            <w:tcW w:type="dxa" w:w="1814"/>
            <w:shd w:fill="203348"/>
            <w:vAlign w:val="center"/>
            <w:tcMar>
              <w:top w:w="90" w:type="dxa"/>
              <w:bottom w:w="90" w:type="dxa"/>
              <w:left w:w="120" w:type="dxa"/>
              <w:right w:w="120" w:type="dxa"/>
            </w:tcMar>
          </w:tcPr>
          <w:p>
            <w:pPr>
              <w:spacing w:before="0" w:after="0" w:line="247" w:lineRule="auto"/>
            </w:pPr>
            <w:r>
              <w:rPr>
                <w:b/>
                <w:color w:val="FFFFFF"/>
                <w:sz w:val="21"/>
              </w:rPr>
              <w:t>Kavram</w:t>
            </w:r>
          </w:p>
        </w:tc>
        <w:tc>
          <w:tcPr>
            <w:tcW w:type="dxa" w:w="7710"/>
            <w:shd w:fill="203348"/>
            <w:vAlign w:val="center"/>
            <w:tcMar>
              <w:top w:w="90" w:type="dxa"/>
              <w:bottom w:w="90" w:type="dxa"/>
              <w:left w:w="120" w:type="dxa"/>
              <w:right w:w="120" w:type="dxa"/>
            </w:tcMar>
          </w:tcPr>
          <w:p>
            <w:pPr>
              <w:spacing w:before="0" w:after="0" w:line="247" w:lineRule="auto"/>
            </w:pPr>
            <w:r>
              <w:rPr>
                <w:b/>
                <w:color w:val="FFFFFF"/>
                <w:sz w:val="21"/>
              </w:rPr>
              <w:t>Bu görevdeki anlamı</w:t>
            </w:r>
          </w:p>
        </w:tc>
      </w:tr>
      <w:tr>
        <w:trPr>
          <w:cantSplit/>
        </w:trPr>
        <w:tc>
          <w:tcPr>
            <w:tcW w:type="dxa" w:w="1814"/>
            <w:shd w:fill="F1F5F7"/>
            <w:vAlign w:val="center"/>
            <w:tcMar>
              <w:top w:w="90" w:type="dxa"/>
              <w:bottom w:w="90" w:type="dxa"/>
              <w:left w:w="120" w:type="dxa"/>
              <w:right w:w="120" w:type="dxa"/>
            </w:tcMar>
          </w:tcPr>
          <w:p>
            <w:pPr>
              <w:spacing w:before="0" w:after="0" w:line="247" w:lineRule="auto"/>
            </w:pPr>
            <w:r>
              <w:rPr>
                <w:sz w:val="21"/>
              </w:rPr>
              <w:t>Brief</w:t>
            </w:r>
          </w:p>
        </w:tc>
        <w:tc>
          <w:tcPr>
            <w:tcW w:type="dxa" w:w="7710"/>
            <w:shd w:fill="F1F5F7"/>
            <w:vAlign w:val="center"/>
            <w:tcMar>
              <w:top w:w="90" w:type="dxa"/>
              <w:bottom w:w="90" w:type="dxa"/>
              <w:left w:w="120" w:type="dxa"/>
              <w:right w:w="120" w:type="dxa"/>
            </w:tcMar>
          </w:tcPr>
          <w:p>
            <w:pPr>
              <w:spacing w:before="0" w:after="0" w:line="247" w:lineRule="auto"/>
            </w:pPr>
            <w:r>
              <w:rPr>
                <w:sz w:val="21"/>
              </w:rPr>
              <w:t>Bankanın beklentileri ve kuralları: kimin aranacağı, kimlik kontrolü, işlem koşulları ve görüşme sonucu.</w:t>
            </w:r>
          </w:p>
        </w:tc>
      </w:tr>
      <w:tr>
        <w:trPr>
          <w:cantSplit/>
        </w:trPr>
        <w:tc>
          <w:tcPr>
            <w:tcW w:type="dxa" w:w="1814"/>
            <w:vAlign w:val="center"/>
            <w:tcMar>
              <w:top w:w="90" w:type="dxa"/>
              <w:bottom w:w="90" w:type="dxa"/>
              <w:left w:w="120" w:type="dxa"/>
              <w:right w:w="120" w:type="dxa"/>
            </w:tcMar>
          </w:tcPr>
          <w:p>
            <w:pPr>
              <w:spacing w:before="0" w:after="0" w:line="247" w:lineRule="auto"/>
            </w:pPr>
            <w:r>
              <w:rPr>
                <w:sz w:val="21"/>
              </w:rPr>
              <w:t>Builder</w:t>
            </w:r>
          </w:p>
        </w:tc>
        <w:tc>
          <w:tcPr>
            <w:tcW w:type="dxa" w:w="7710"/>
            <w:vAlign w:val="center"/>
            <w:tcMar>
              <w:top w:w="90" w:type="dxa"/>
              <w:bottom w:w="90" w:type="dxa"/>
              <w:left w:w="120" w:type="dxa"/>
              <w:right w:w="120" w:type="dxa"/>
            </w:tcMar>
          </w:tcPr>
          <w:p>
            <w:pPr>
              <w:spacing w:before="0" w:after="0" w:line="247" w:lineRule="auto"/>
            </w:pPr>
            <w:r>
              <w:rPr>
                <w:sz w:val="21"/>
              </w:rPr>
              <w:t>Bu girdileri okuyup Freya üzerinde ajan oluşturan ve test ederek iyileştiren sizin programınız.</w:t>
            </w:r>
          </w:p>
        </w:tc>
      </w:tr>
      <w:tr>
        <w:trPr>
          <w:cantSplit/>
        </w:trPr>
        <w:tc>
          <w:tcPr>
            <w:tcW w:type="dxa" w:w="1814"/>
            <w:shd w:fill="F1F5F7"/>
            <w:vAlign w:val="center"/>
            <w:tcMar>
              <w:top w:w="90" w:type="dxa"/>
              <w:bottom w:w="90" w:type="dxa"/>
              <w:left w:w="120" w:type="dxa"/>
              <w:right w:w="120" w:type="dxa"/>
            </w:tcMar>
          </w:tcPr>
          <w:p>
            <w:pPr>
              <w:spacing w:before="0" w:after="0" w:line="247" w:lineRule="auto"/>
            </w:pPr>
            <w:r>
              <w:rPr>
                <w:sz w:val="21"/>
              </w:rPr>
              <w:t>Phone agent</w:t>
            </w:r>
          </w:p>
        </w:tc>
        <w:tc>
          <w:tcPr>
            <w:tcW w:type="dxa" w:w="7710"/>
            <w:shd w:fill="F1F5F7"/>
            <w:vAlign w:val="center"/>
            <w:tcMar>
              <w:top w:w="90" w:type="dxa"/>
              <w:bottom w:w="90" w:type="dxa"/>
              <w:left w:w="120" w:type="dxa"/>
              <w:right w:w="120" w:type="dxa"/>
            </w:tcMar>
          </w:tcPr>
          <w:p>
            <w:pPr>
              <w:spacing w:before="0" w:after="0" w:line="247" w:lineRule="auto"/>
            </w:pPr>
            <w:r>
              <w:rPr>
                <w:sz w:val="21"/>
              </w:rPr>
              <w:t>Müşteriyle konuşan, gerekli araçları çağıran ve builder tarafından üretilen nihai ajan.</w:t>
            </w:r>
          </w:p>
        </w:tc>
      </w:tr>
    </w:tbl>
    <w:p>
      <w:pPr>
        <w:spacing w:after="0"/>
      </w:pPr>
    </w:p>
    <w:p>
      <w:r>
        <w:t>Bu ayrım toplantıda özellikle vurgulanıyor: builder başka bir ortamda çalışabilir; ürettiği nihai ajan Freya platformunda bulunmalıdır.</w:t>
      </w:r>
      <w:r>
        <w:rPr>
          <w:color w:val="586674"/>
          <w:sz w:val="16"/>
        </w:rPr>
        <w:t xml:space="preserve">  [T2, T4]</w:t>
      </w:r>
    </w:p>
    <w:p>
      <w:pPr>
        <w:pStyle w:val="Heading2"/>
      </w:pPr>
      <w:r>
        <w:t>Girdiden çalışır workflow’a</w:t>
      </w:r>
    </w:p>
    <w:p>
      <w:r>
        <w:rPr>
          <w:b/>
        </w:rPr>
        <w:t>Girdiyi anlama.</w:t>
      </w:r>
      <w:r>
        <w:t xml:space="preserve"> Buildera tek bir temiz talimat metni yerine toplantı notları, e-postalar, senaryo dosyaları ve farklı yerlerdeki müşteri bilgileri gelebilir. Amaç bu malzemeleri okuyup müşterinin istediği davranışı çıkarmaktır. Toplantıda belirsiz noktalar için müşteri rolündeki organizatöre soru sorma yaklaşımı da anlatılır.</w:t>
      </w:r>
      <w:r>
        <w:rPr>
          <w:color w:val="586674"/>
          <w:sz w:val="16"/>
        </w:rPr>
        <w:t xml:space="preserve">  [T2–T3]</w:t>
      </w:r>
    </w:p>
    <w:p>
      <w:r>
        <w:rPr>
          <w:b/>
        </w:rPr>
        <w:t>Ajanı üretme.</w:t>
      </w:r>
      <w:r>
        <w:t xml:space="preserve"> Freya arayüzünde görülen adımlar, istemler, araçlar ve geçişler kodla temsil edilebilir. Builderın bu yapıyı okuyup güncelleyebileceği API ve MCP bağlantıları sağlanacağı söylenir. Örnekte gösterilen JSON uzunluğu bir demo özelliğidir; zorunlu bir satır sayısı değildir.</w:t>
      </w:r>
      <w:r>
        <w:rPr>
          <w:color w:val="586674"/>
          <w:sz w:val="16"/>
        </w:rPr>
        <w:t xml:space="preserve">  [T2]</w:t>
      </w:r>
    </w:p>
    <w:p>
      <w:r>
        <w:rPr>
          <w:b/>
        </w:rPr>
        <w:t>Test edip düzeltme.</w:t>
      </w:r>
      <w:r>
        <w:t xml:space="preserve"> Simüle müşteriler ajanla konuşur. Builder konuşma ve araç kayıtlarını inceleyip başarısız davranışı düzeltir; ardından yeni sürümü tekrar test eder. Toplantının önerisi, önce platformu elle öğrenmek, sonra aynı işlemleri tekrar kullanılabilir becerilere ve otomasyona dönüştürmektir.</w:t>
      </w:r>
      <w:r>
        <w:rPr>
          <w:color w:val="586674"/>
          <w:sz w:val="16"/>
        </w:rPr>
        <w:t xml:space="preserve">  [T1–T2]</w:t>
      </w:r>
    </w:p>
    <w:p>
      <w:r>
        <w:rPr>
          <w:b/>
        </w:rPr>
        <w:t>Yeni girdiye uyarlama.</w:t>
      </w:r>
      <w:r>
        <w:t xml:space="preserve"> Alıştırma senaryosunu ezberlemek yeterli değildir. Sonradan açıklanacak, daha önce görülmemiş müşteri talepleri verildiğinde builderın yeni bir ajan oluşturabilmesi beklenir. Bu nedenle süreç ve araç kullanımı yeniden uygulanabilir olmalıdır.</w:t>
      </w:r>
      <w:r>
        <w:rPr>
          <w:color w:val="586674"/>
          <w:sz w:val="16"/>
        </w:rPr>
        <w:t xml:space="preserve">  [T2, T4]</w:t>
      </w:r>
    </w:p>
    <w:p>
      <w:pPr>
        <w:pStyle w:val="Heading2"/>
      </w:pPr>
      <w:r>
        <w:t>Korunması gereken davranış sınırları</w:t>
      </w:r>
    </w:p>
    <w:p>
      <w:r>
        <w:t>Kimlik doğrulanmadan borç bilgisine geçilmemesi ve yetkisiz bir kişiye bilgi verilmemesi örneklenen kritik sınırlardır. Bu sınırların yalnızca konuşmanın üslubunda değil, adımlar arası yönlendirmede de korunması istenir. Müşterinin talimatı değiştirmeye veya doğrulama aşamasını atlatmaya çalışması da test senaryolarının parçasıdır.</w:t>
      </w:r>
      <w:r>
        <w:rPr>
          <w:color w:val="586674"/>
          <w:sz w:val="16"/>
        </w:rPr>
        <w:t xml:space="preserve">  [T2, T4]</w:t>
      </w:r>
    </w:p>
    <w:p>
      <w:r>
        <w:t>Başarı her koşulda ödeme sözü almak değildir. Soru-cevap bölümünde, banka talimatı iki kez sormaya izin veriyorsa üçüncü kez sormanın hata sayılacağı anlatılır. “İki kez” burada evrensel kural değil, bankanın belirlediği sınıra uymanın önemini açıklayan örnektir.</w:t>
      </w:r>
      <w:r>
        <w:rPr>
          <w:color w:val="586674"/>
          <w:sz w:val="16"/>
        </w:rPr>
        <w:t xml:space="preserve">  [T3]</w:t>
      </w:r>
    </w:p>
    <w:p>
      <w:r>
        <w:br w:type="page"/>
      </w:r>
    </w:p>
    <w:p>
      <w:pPr>
        <w:spacing w:after="80"/>
      </w:pPr>
      <w:r>
        <w:rPr>
          <w:b/>
          <w:color w:val="166D73"/>
          <w:sz w:val="20"/>
        </w:rPr>
        <w:t>03</w:t>
      </w:r>
    </w:p>
    <w:p>
      <w:pPr>
        <w:pStyle w:val="Heading1"/>
      </w:pPr>
      <w:r>
        <w:t>Web sayfası: yazılı şartlar kartı</w:t>
      </w:r>
    </w:p>
    <w:p>
      <w:r>
        <w:t>Aşağıdaki kontrol satırları, 10 Ekim 2026 tarihinde erişilen resmî sayfadan derlenmiştir. W kodları, sonraki sayfadaki farklılık tablosunda bu satırlara yapılan başvurulardır. [W]</w:t>
      </w:r>
    </w:p>
    <w:tbl>
      <w:tblPr>
        <w:tblW w:type="auto" w:w="0"/>
        <w:jc w:val="center"/>
        <w:tblLayout w:type="fixed"/>
        <w:tblLook w:firstColumn="1" w:firstRow="1" w:lastColumn="0" w:lastRow="0" w:noHBand="0" w:noVBand="1" w:val="04A0"/>
      </w:tblPr>
      <w:tblGrid>
        <w:gridCol w:w="1871"/>
        <w:gridCol w:w="7654"/>
      </w:tblGrid>
      <w:tr>
        <w:trPr>
          <w:tblHeader/>
          <w:cantSplit/>
        </w:trPr>
        <w:tc>
          <w:tcPr>
            <w:tcW w:type="dxa" w:w="1871"/>
            <w:shd w:fill="203348"/>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b/>
                <w:color w:val="FFFFFF"/>
                <w:sz w:val="21"/>
              </w:rPr>
              <w:t>Kontrol</w:t>
            </w:r>
          </w:p>
        </w:tc>
        <w:tc>
          <w:tcPr>
            <w:tcW w:type="dxa" w:w="7654"/>
            <w:shd w:fill="203348"/>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b/>
                <w:color w:val="FFFFFF"/>
                <w:sz w:val="21"/>
              </w:rPr>
              <w:t>Sayfada belirtilen koşul</w:t>
            </w:r>
          </w:p>
        </w:tc>
      </w:tr>
      <w:tr>
        <w:trPr>
          <w:cantSplit/>
        </w:trPr>
        <w:tc>
          <w:tcPr>
            <w:tcW w:type="dxa" w:w="1871"/>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W1 · Takvim</w:t>
            </w:r>
          </w:p>
        </w:tc>
        <w:tc>
          <w:tcPr>
            <w:tcW w:type="dxa" w:w="7654"/>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UTC/Türkiye: 10.10.2026 başlangıç 10:00/13:00; 11.10.2026 brief 17:00/20:00, teslim 20:00/23:00.</w:t>
            </w:r>
          </w:p>
        </w:tc>
      </w:tr>
      <w:tr>
        <w:trPr>
          <w:cantSplit/>
        </w:trPr>
        <w:tc>
          <w:tcPr>
            <w:tcW w:type="dxa" w:w="1871"/>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W2 · Format</w:t>
            </w:r>
          </w:p>
        </w:tc>
        <w:tc>
          <w:tcPr>
            <w:tcW w:type="dxa" w:w="7654"/>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Çevrimiçi; 1–2 kişi; İngilizce/metin; tahsilat; tarih: now.</w:t>
            </w:r>
          </w:p>
        </w:tc>
      </w:tr>
      <w:tr>
        <w:trPr>
          <w:cantSplit/>
        </w:trPr>
        <w:tc>
          <w:tcPr>
            <w:tcW w:type="dxa" w:w="1871"/>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W3 · Kit</w:t>
            </w:r>
          </w:p>
        </w:tc>
        <w:tc>
          <w:tcPr>
            <w:tcW w:type="dxa" w:w="7654"/>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v3: 2 brief, 13 vaka (10 A/3 B), API, referanslar, örnek builder.</w:t>
            </w:r>
          </w:p>
        </w:tc>
      </w:tr>
      <w:tr>
        <w:trPr>
          <w:cantSplit/>
        </w:trPr>
        <w:tc>
          <w:tcPr>
            <w:tcW w:type="dxa" w:w="1871"/>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W4 · Araçlar</w:t>
            </w:r>
          </w:p>
        </w:tc>
        <w:tc>
          <w:tcPr>
            <w:tcW w:type="dxa" w:w="7654"/>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verify_identity, get_account, create_promise, add_note, schedule_callback, transfer_to_agent, close_call. Adlar sabit; alanlar/değerler değişebilir.</w:t>
            </w:r>
          </w:p>
        </w:tc>
      </w:tr>
      <w:tr>
        <w:trPr>
          <w:cantSplit/>
        </w:trPr>
        <w:tc>
          <w:tcPr>
            <w:tcW w:type="dxa" w:w="1871"/>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W5 · Skor</w:t>
            </w:r>
          </w:p>
        </w:tc>
        <w:tc>
          <w:tcPr>
            <w:tcW w:type="dxa" w:w="7654"/>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2 gizli brief × 30 müşteri; 3 tekrarın tamamı geçmeli. Skor: geçen/60.</w:t>
            </w:r>
          </w:p>
        </w:tc>
      </w:tr>
      <w:tr>
        <w:trPr>
          <w:cantSplit/>
        </w:trPr>
        <w:tc>
          <w:tcPr>
            <w:tcW w:type="dxa" w:w="1871"/>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W6 · Başarı</w:t>
            </w:r>
          </w:p>
        </w:tc>
        <w:tc>
          <w:tcPr>
            <w:tcW w:type="dxa" w:w="7654"/>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Kayıt, politika ve dürüstlük birlikte geçmeli. Kısmi puan yok; API kısıtlamaz.</w:t>
            </w:r>
          </w:p>
        </w:tc>
      </w:tr>
      <w:tr>
        <w:trPr>
          <w:cantSplit/>
        </w:trPr>
        <w:tc>
          <w:tcPr>
            <w:tcW w:type="dxa" w:w="1871"/>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W7 · Eşitlik</w:t>
            </w:r>
          </w:p>
        </w:tc>
        <w:tc>
          <w:tcPr>
            <w:tcW w:type="dxa" w:w="7654"/>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Başarılı vakalardaki vaat tutarı → build süresi → teslim zamanı.</w:t>
            </w:r>
          </w:p>
        </w:tc>
      </w:tr>
      <w:tr>
        <w:trPr>
          <w:cantSplit/>
        </w:trPr>
        <w:tc>
          <w:tcPr>
            <w:tcW w:type="dxa" w:w="1871"/>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W8 · Teslim</w:t>
            </w:r>
          </w:p>
        </w:tc>
        <w:tc>
          <w:tcPr>
            <w:tcW w:type="dxa" w:w="7654"/>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2 workflow JSON, depo/commit, komut, 2 trace. Çıktı elle düzenlenemez.</w:t>
            </w:r>
          </w:p>
        </w:tc>
      </w:tr>
      <w:tr>
        <w:trPr>
          <w:cantSplit/>
        </w:trPr>
        <w:tc>
          <w:tcPr>
            <w:tcW w:type="dxa" w:w="1871"/>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W9 · Limitler</w:t>
            </w:r>
          </w:p>
        </w:tc>
        <w:tc>
          <w:tcPr>
            <w:tcW w:type="dxa" w:w="7654"/>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30 dakika/çalıştırma/brief (testler dahil). Çalışma alanında: 200 workflow, eşzamanlı 1 simülasyon.</w:t>
            </w:r>
          </w:p>
        </w:tc>
      </w:tr>
      <w:tr>
        <w:trPr>
          <w:cantSplit/>
        </w:trPr>
        <w:tc>
          <w:tcPr>
            <w:tcW w:type="dxa" w:w="1871"/>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W10 · Değişiklik</w:t>
            </w:r>
          </w:p>
        </w:tc>
        <w:tc>
          <w:tcPr>
            <w:tcW w:type="dxa" w:w="7654"/>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Builder hataları düzeltilebilir; gizli bilgi koda/promptlara elle gömülemez.</w:t>
            </w:r>
          </w:p>
        </w:tc>
      </w:tr>
      <w:tr>
        <w:trPr>
          <w:cantSplit/>
        </w:trPr>
        <w:tc>
          <w:tcPr>
            <w:tcW w:type="dxa" w:w="1871"/>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W11 · Doğrulama</w:t>
            </w:r>
          </w:p>
        </w:tc>
        <w:tc>
          <w:tcPr>
            <w:tcW w:type="dxa" w:w="7654"/>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İlk 10 builder yeniden çalıştırılır.</w:t>
            </w:r>
          </w:p>
        </w:tc>
      </w:tr>
      <w:tr>
        <w:trPr>
          <w:cantSplit/>
        </w:trPr>
        <w:tc>
          <w:tcPr>
            <w:tcW w:type="dxa" w:w="1871"/>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W12 · İzinler</w:t>
            </w:r>
          </w:p>
        </w:tc>
        <w:tc>
          <w:tcPr>
            <w:tcW w:type="dxa" w:w="7654"/>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Telefon: kit API’si/ortak model. Builder: serbest model; maliyet katılımcıda.</w:t>
            </w:r>
          </w:p>
        </w:tc>
      </w:tr>
      <w:tr>
        <w:trPr>
          <w:cantSplit/>
        </w:trPr>
        <w:tc>
          <w:tcPr>
            <w:tcW w:type="dxa" w:w="1871"/>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W13 · Trace</w:t>
            </w:r>
          </w:p>
        </w:tc>
        <w:tc>
          <w:tcPr>
            <w:tcW w:type="dxa" w:w="7654"/>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Başlangıç/bitiş, model çağrıları, workflow/agent kimlikleri, adım/araç sayıları, testler; API anahtarsız.</w:t>
            </w:r>
          </w:p>
        </w:tc>
      </w:tr>
      <w:tr>
        <w:trPr>
          <w:cantSplit/>
        </w:trPr>
        <w:tc>
          <w:tcPr>
            <w:tcW w:type="dxa" w:w="1871"/>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W14 · Ödüller</w:t>
            </w:r>
          </w:p>
        </w:tc>
        <w:tc>
          <w:tcPr>
            <w:tcW w:type="dxa" w:w="7654"/>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Birinci: YC mülakatı; ikinci: AirPods; ilk 3: Freya mülakatı; Freya kredi havuzu: 3.000 $.</w:t>
            </w:r>
          </w:p>
        </w:tc>
      </w:tr>
      <w:tr>
        <w:trPr>
          <w:cantSplit/>
        </w:trPr>
        <w:tc>
          <w:tcPr>
            <w:tcW w:type="dxa" w:w="1871"/>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W15 · Veriler</w:t>
            </w:r>
          </w:p>
        </w:tc>
        <w:tc>
          <w:tcPr>
            <w:tcW w:type="dxa" w:w="7654"/>
            <w:shd w:fill="F1F5F7"/>
            <w:vAlign w:val="center"/>
            <w:tcMar>
              <w:top w:w="90" w:type="dxa"/>
              <w:bottom w:w="90" w:type="dxa"/>
              <w:left w:w="120" w:type="dxa"/>
              <w:right w:w="120" w:type="dxa"/>
            </w:tcMar>
            <w:tcMar>
              <w:top w:w="135" w:type="dxa"/>
              <w:bottom w:w="135" w:type="dxa"/>
              <w:left w:w="135" w:type="dxa"/>
              <w:right w:w="135" w:type="dxa"/>
            </w:tcMar>
          </w:tcPr>
          <w:p>
            <w:pPr>
              <w:spacing w:before="0" w:after="0" w:line="254" w:lineRule="auto"/>
            </w:pPr>
            <w:r>
              <w:rPr>
                <w:sz w:val="21"/>
              </w:rPr>
              <w:t>Sentetik; gerçek müşteri verisi yasak.</w:t>
            </w:r>
          </w:p>
        </w:tc>
      </w:tr>
    </w:tbl>
    <w:p>
      <w:pPr>
        <w:spacing w:after="0"/>
      </w:pPr>
    </w:p>
    <w:p>
      <w:r>
        <w:t>Saat notu: Türkiye karşılıkları, UTC saatlerine üç saat eklenerek gösterilmiştir. Tarihler gün.ay.yıl biçimindedir. Bu dönüşümde Meteoroloji Genel Müdürlüğünün saat açıklaması kullanılmıştır. [M]</w:t>
      </w:r>
    </w:p>
    <w:p>
      <w:r>
        <w:rPr>
          <w:b/>
        </w:rPr>
        <w:t xml:space="preserve">Kaynak erişimi: </w:t>
      </w:r>
      <w:r/>
      <w:hyperlink r:id="rId11">
        <w:r>
          <w:rPr>
            <w:color w:val="166D73"/>
            <w:u w:val="single"/>
          </w:rPr>
          <w:t>Freya — Build the Builder hackathon sayfası</w:t>
        </w:r>
      </w:hyperlink>
    </w:p>
    <w:p>
      <w:r>
        <w:br w:type="page"/>
      </w:r>
    </w:p>
    <w:p>
      <w:pPr>
        <w:spacing w:after="80"/>
      </w:pPr>
      <w:r>
        <w:rPr>
          <w:b/>
          <w:color w:val="166D73"/>
          <w:sz w:val="20"/>
        </w:rPr>
        <w:t>04</w:t>
      </w:r>
    </w:p>
    <w:p>
      <w:pPr>
        <w:pStyle w:val="Heading1"/>
      </w:pPr>
      <w:r>
        <w:t>Kaynaklar arasındaki farklılıklar</w:t>
      </w:r>
    </w:p>
    <w:p>
      <w:r>
        <w:t>Aşağıdaki ifadeler toplantıda geçmektedir. Sağ sütun, aynı konuda yazılı şartlar kartında kontrol edilmesi gereken yeri gösterir. Toplantı ifadesi tek başına güncel uygulama kuralı olarak kullanılmamalıdır.</w:t>
      </w:r>
    </w:p>
    <w:tbl>
      <w:tblPr>
        <w:tblW w:type="auto" w:w="0"/>
        <w:jc w:val="center"/>
        <w:tblLayout w:type="fixed"/>
        <w:tblLook w:firstColumn="1" w:firstRow="1" w:lastColumn="0" w:lastRow="0" w:noHBand="0" w:noVBand="1" w:val="04A0"/>
      </w:tblPr>
      <w:tblGrid>
        <w:gridCol w:w="1701"/>
        <w:gridCol w:w="6633"/>
        <w:gridCol w:w="1191"/>
      </w:tblGrid>
      <w:tr>
        <w:trPr>
          <w:tblHeader/>
          <w:cantSplit/>
        </w:trPr>
        <w:tc>
          <w:tcPr>
            <w:tcW w:type="dxa" w:w="1701"/>
            <w:shd w:fill="203348"/>
            <w:vAlign w:val="center"/>
            <w:tcMar>
              <w:top w:w="90" w:type="dxa"/>
              <w:bottom w:w="90" w:type="dxa"/>
              <w:left w:w="120" w:type="dxa"/>
              <w:right w:w="120" w:type="dxa"/>
            </w:tcMar>
          </w:tcPr>
          <w:p>
            <w:pPr>
              <w:spacing w:before="0" w:after="0" w:line="247" w:lineRule="auto"/>
            </w:pPr>
            <w:r>
              <w:rPr>
                <w:b/>
                <w:color w:val="FFFFFF"/>
                <w:sz w:val="20"/>
              </w:rPr>
              <w:t>Konu</w:t>
            </w:r>
          </w:p>
        </w:tc>
        <w:tc>
          <w:tcPr>
            <w:tcW w:type="dxa" w:w="6633"/>
            <w:shd w:fill="203348"/>
            <w:vAlign w:val="center"/>
            <w:tcMar>
              <w:top w:w="90" w:type="dxa"/>
              <w:bottom w:w="90" w:type="dxa"/>
              <w:left w:w="120" w:type="dxa"/>
              <w:right w:w="120" w:type="dxa"/>
            </w:tcMar>
          </w:tcPr>
          <w:p>
            <w:pPr>
              <w:spacing w:before="0" w:after="0" w:line="247" w:lineRule="auto"/>
            </w:pPr>
            <w:r>
              <w:rPr>
                <w:b/>
                <w:color w:val="FFFFFF"/>
                <w:sz w:val="20"/>
              </w:rPr>
              <w:t>Toplantı dökümündeki ifade</w:t>
            </w:r>
          </w:p>
        </w:tc>
        <w:tc>
          <w:tcPr>
            <w:tcW w:type="dxa" w:w="1191"/>
            <w:shd w:fill="203348"/>
            <w:vAlign w:val="center"/>
            <w:tcMar>
              <w:top w:w="90" w:type="dxa"/>
              <w:bottom w:w="90" w:type="dxa"/>
              <w:left w:w="120" w:type="dxa"/>
              <w:right w:w="120" w:type="dxa"/>
            </w:tcMar>
          </w:tcPr>
          <w:p>
            <w:pPr>
              <w:spacing w:before="0" w:after="0" w:line="247" w:lineRule="auto"/>
            </w:pPr>
            <w:r>
              <w:rPr>
                <w:b/>
                <w:color w:val="FFFFFF"/>
                <w:sz w:val="20"/>
              </w:rPr>
              <w:t>Kontrol</w:t>
            </w:r>
          </w:p>
        </w:tc>
      </w:tr>
      <w:tr>
        <w:trPr>
          <w:cantSplit/>
        </w:trPr>
        <w:tc>
          <w:tcPr>
            <w:tcW w:type="dxa" w:w="1701"/>
            <w:shd w:fill="F1F5F7"/>
            <w:vAlign w:val="center"/>
            <w:tcMar>
              <w:top w:w="90" w:type="dxa"/>
              <w:bottom w:w="90" w:type="dxa"/>
              <w:left w:w="120" w:type="dxa"/>
              <w:right w:w="120" w:type="dxa"/>
            </w:tcMar>
          </w:tcPr>
          <w:p>
            <w:pPr>
              <w:spacing w:before="0" w:after="0" w:line="247" w:lineRule="auto"/>
            </w:pPr>
            <w:r>
              <w:rPr>
                <w:sz w:val="20"/>
              </w:rPr>
              <w:t>Teslim kapsamı</w:t>
            </w:r>
          </w:p>
        </w:tc>
        <w:tc>
          <w:tcPr>
            <w:tcW w:type="dxa" w:w="6633"/>
            <w:shd w:fill="F1F5F7"/>
            <w:vAlign w:val="center"/>
            <w:tcMar>
              <w:top w:w="90" w:type="dxa"/>
              <w:bottom w:w="90" w:type="dxa"/>
              <w:left w:w="120" w:type="dxa"/>
              <w:right w:w="120" w:type="dxa"/>
            </w:tcMar>
          </w:tcPr>
          <w:p>
            <w:pPr>
              <w:spacing w:before="0" w:after="0" w:line="247" w:lineRule="auto"/>
            </w:pPr>
            <w:r>
              <w:rPr>
                <w:sz w:val="20"/>
              </w:rPr>
              <w:t>38:17’de nihai teslim “tek bir JSON dosyası” olarak anlatılıyor. Önceki açıklamalarda beceriler ve builder iz kayıtları da isteniyor. [T4–T5]</w:t>
            </w:r>
          </w:p>
        </w:tc>
        <w:tc>
          <w:tcPr>
            <w:tcW w:type="dxa" w:w="1191"/>
            <w:shd w:fill="F1F5F7"/>
            <w:vAlign w:val="center"/>
            <w:tcMar>
              <w:top w:w="90" w:type="dxa"/>
              <w:bottom w:w="90" w:type="dxa"/>
              <w:left w:w="120" w:type="dxa"/>
              <w:right w:w="120" w:type="dxa"/>
            </w:tcMar>
          </w:tcPr>
          <w:p>
            <w:pPr>
              <w:spacing w:before="0" w:after="0" w:line="247" w:lineRule="auto"/>
            </w:pPr>
            <w:r>
              <w:rPr>
                <w:sz w:val="20"/>
              </w:rPr>
              <w:t>W8, W13</w:t>
            </w:r>
          </w:p>
        </w:tc>
      </w:tr>
      <w:tr>
        <w:trPr>
          <w:cantSplit/>
        </w:trPr>
        <w:tc>
          <w:tcPr>
            <w:tcW w:type="dxa" w:w="1701"/>
            <w:vAlign w:val="center"/>
            <w:tcMar>
              <w:top w:w="90" w:type="dxa"/>
              <w:bottom w:w="90" w:type="dxa"/>
              <w:left w:w="120" w:type="dxa"/>
              <w:right w:w="120" w:type="dxa"/>
            </w:tcMar>
          </w:tcPr>
          <w:p>
            <w:pPr>
              <w:spacing w:before="0" w:after="0" w:line="247" w:lineRule="auto"/>
            </w:pPr>
            <w:r>
              <w:rPr>
                <w:sz w:val="20"/>
              </w:rPr>
              <w:t>Elle çalışma</w:t>
            </w:r>
          </w:p>
        </w:tc>
        <w:tc>
          <w:tcPr>
            <w:tcW w:type="dxa" w:w="6633"/>
            <w:vAlign w:val="center"/>
            <w:tcMar>
              <w:top w:w="90" w:type="dxa"/>
              <w:bottom w:w="90" w:type="dxa"/>
              <w:left w:w="120" w:type="dxa"/>
              <w:right w:w="120" w:type="dxa"/>
            </w:tcMar>
          </w:tcPr>
          <w:p>
            <w:pPr>
              <w:spacing w:before="0" w:after="0" w:line="247" w:lineRule="auto"/>
            </w:pPr>
            <w:r>
              <w:rPr>
                <w:sz w:val="20"/>
              </w:rPr>
              <w:t>29:22 bölümünde yeni bilgiler açılınca bunlarla elle de çalışılabileceği söyleniyor. Yeniden üretilebilirliğin önemli olduğu ayrıca vurgulanıyor. [T4]</w:t>
            </w:r>
          </w:p>
        </w:tc>
        <w:tc>
          <w:tcPr>
            <w:tcW w:type="dxa" w:w="1191"/>
            <w:vAlign w:val="center"/>
            <w:tcMar>
              <w:top w:w="90" w:type="dxa"/>
              <w:bottom w:w="90" w:type="dxa"/>
              <w:left w:w="120" w:type="dxa"/>
              <w:right w:w="120" w:type="dxa"/>
            </w:tcMar>
          </w:tcPr>
          <w:p>
            <w:pPr>
              <w:spacing w:before="0" w:after="0" w:line="247" w:lineRule="auto"/>
            </w:pPr>
            <w:r>
              <w:rPr>
                <w:sz w:val="20"/>
              </w:rPr>
              <w:t>W8, W10</w:t>
            </w:r>
          </w:p>
        </w:tc>
      </w:tr>
      <w:tr>
        <w:trPr>
          <w:cantSplit/>
        </w:trPr>
        <w:tc>
          <w:tcPr>
            <w:tcW w:type="dxa" w:w="1701"/>
            <w:shd w:fill="F1F5F7"/>
            <w:vAlign w:val="center"/>
            <w:tcMar>
              <w:top w:w="90" w:type="dxa"/>
              <w:bottom w:w="90" w:type="dxa"/>
              <w:left w:w="120" w:type="dxa"/>
              <w:right w:w="120" w:type="dxa"/>
            </w:tcMar>
          </w:tcPr>
          <w:p>
            <w:pPr>
              <w:spacing w:before="0" w:after="0" w:line="247" w:lineRule="auto"/>
            </w:pPr>
            <w:r>
              <w:rPr>
                <w:sz w:val="20"/>
              </w:rPr>
              <w:t>Ses ve dil</w:t>
            </w:r>
          </w:p>
        </w:tc>
        <w:tc>
          <w:tcPr>
            <w:tcW w:type="dxa" w:w="6633"/>
            <w:shd w:fill="F1F5F7"/>
            <w:vAlign w:val="center"/>
            <w:tcMar>
              <w:top w:w="90" w:type="dxa"/>
              <w:bottom w:w="90" w:type="dxa"/>
              <w:left w:w="120" w:type="dxa"/>
              <w:right w:w="120" w:type="dxa"/>
            </w:tcMar>
          </w:tcPr>
          <w:p>
            <w:pPr>
              <w:spacing w:before="0" w:after="0" w:line="247" w:lineRule="auto"/>
            </w:pPr>
            <w:r>
              <w:rPr>
                <w:sz w:val="20"/>
              </w:rPr>
              <w:t>13:48’de önce sohbetle hızlı test, finalde ses modu öneriliyor. Gösterimlerin biri Türkçe, diğeri İngilizce. [T1–T2]</w:t>
            </w:r>
          </w:p>
        </w:tc>
        <w:tc>
          <w:tcPr>
            <w:tcW w:type="dxa" w:w="1191"/>
            <w:shd w:fill="F1F5F7"/>
            <w:vAlign w:val="center"/>
            <w:tcMar>
              <w:top w:w="90" w:type="dxa"/>
              <w:bottom w:w="90" w:type="dxa"/>
              <w:left w:w="120" w:type="dxa"/>
              <w:right w:w="120" w:type="dxa"/>
            </w:tcMar>
          </w:tcPr>
          <w:p>
            <w:pPr>
              <w:spacing w:before="0" w:after="0" w:line="247" w:lineRule="auto"/>
            </w:pPr>
            <w:r>
              <w:rPr>
                <w:sz w:val="20"/>
              </w:rPr>
              <w:t>W2</w:t>
            </w:r>
          </w:p>
        </w:tc>
      </w:tr>
      <w:tr>
        <w:trPr>
          <w:cantSplit/>
        </w:trPr>
        <w:tc>
          <w:tcPr>
            <w:tcW w:type="dxa" w:w="1701"/>
            <w:vAlign w:val="center"/>
            <w:tcMar>
              <w:top w:w="90" w:type="dxa"/>
              <w:bottom w:w="90" w:type="dxa"/>
              <w:left w:w="120" w:type="dxa"/>
              <w:right w:w="120" w:type="dxa"/>
            </w:tcMar>
          </w:tcPr>
          <w:p>
            <w:pPr>
              <w:spacing w:before="0" w:after="0" w:line="247" w:lineRule="auto"/>
            </w:pPr>
            <w:r>
              <w:rPr>
                <w:sz w:val="20"/>
              </w:rPr>
              <w:t>Senaryo alanı</w:t>
            </w:r>
          </w:p>
        </w:tc>
        <w:tc>
          <w:tcPr>
            <w:tcW w:type="dxa" w:w="6633"/>
            <w:vAlign w:val="center"/>
            <w:tcMar>
              <w:top w:w="90" w:type="dxa"/>
              <w:bottom w:w="90" w:type="dxa"/>
              <w:left w:w="120" w:type="dxa"/>
              <w:right w:w="120" w:type="dxa"/>
            </w:tcMar>
          </w:tcPr>
          <w:p>
            <w:pPr>
              <w:spacing w:before="0" w:after="0" w:line="247" w:lineRule="auto"/>
            </w:pPr>
            <w:r>
              <w:rPr>
                <w:sz w:val="20"/>
              </w:rPr>
              <w:t>33:09’da yeni vakanın bankacılık veya sigortadan gelebileceği ve builderın aşırı dar tasarlanmaması gerektiği söyleniyor. [T4]</w:t>
            </w:r>
          </w:p>
        </w:tc>
        <w:tc>
          <w:tcPr>
            <w:tcW w:type="dxa" w:w="1191"/>
            <w:vAlign w:val="center"/>
            <w:tcMar>
              <w:top w:w="90" w:type="dxa"/>
              <w:bottom w:w="90" w:type="dxa"/>
              <w:left w:w="120" w:type="dxa"/>
              <w:right w:w="120" w:type="dxa"/>
            </w:tcMar>
          </w:tcPr>
          <w:p>
            <w:pPr>
              <w:spacing w:before="0" w:after="0" w:line="247" w:lineRule="auto"/>
            </w:pPr>
            <w:r>
              <w:rPr>
                <w:sz w:val="20"/>
              </w:rPr>
              <w:t>W2</w:t>
            </w:r>
          </w:p>
        </w:tc>
      </w:tr>
      <w:tr>
        <w:trPr>
          <w:cantSplit/>
        </w:trPr>
        <w:tc>
          <w:tcPr>
            <w:tcW w:type="dxa" w:w="1701"/>
            <w:shd w:fill="F1F5F7"/>
            <w:vAlign w:val="center"/>
            <w:tcMar>
              <w:top w:w="90" w:type="dxa"/>
              <w:bottom w:w="90" w:type="dxa"/>
              <w:left w:w="120" w:type="dxa"/>
              <w:right w:w="120" w:type="dxa"/>
            </w:tcMar>
          </w:tcPr>
          <w:p>
            <w:pPr>
              <w:spacing w:before="0" w:after="0" w:line="247" w:lineRule="auto"/>
            </w:pPr>
            <w:r>
              <w:rPr>
                <w:sz w:val="20"/>
              </w:rPr>
              <w:t>Saat dilimi</w:t>
            </w:r>
          </w:p>
        </w:tc>
        <w:tc>
          <w:tcPr>
            <w:tcW w:type="dxa" w:w="6633"/>
            <w:shd w:fill="F1F5F7"/>
            <w:vAlign w:val="center"/>
            <w:tcMar>
              <w:top w:w="90" w:type="dxa"/>
              <w:bottom w:w="90" w:type="dxa"/>
              <w:left w:w="120" w:type="dxa"/>
              <w:right w:w="120" w:type="dxa"/>
            </w:tcMar>
          </w:tcPr>
          <w:p>
            <w:pPr>
              <w:spacing w:before="0" w:after="0" w:line="247" w:lineRule="auto"/>
            </w:pPr>
            <w:r>
              <w:rPr>
                <w:sz w:val="20"/>
              </w:rPr>
              <w:t>17:00–20:00 çalışma, ardından 20:00–23:00 değerlendirme konuşuluyor; saat dilimi belirtilmiyor. Takvimin değişebileceği de söyleniyor. [T4]</w:t>
            </w:r>
          </w:p>
        </w:tc>
        <w:tc>
          <w:tcPr>
            <w:tcW w:type="dxa" w:w="1191"/>
            <w:shd w:fill="F1F5F7"/>
            <w:vAlign w:val="center"/>
            <w:tcMar>
              <w:top w:w="90" w:type="dxa"/>
              <w:bottom w:w="90" w:type="dxa"/>
              <w:left w:w="120" w:type="dxa"/>
              <w:right w:w="120" w:type="dxa"/>
            </w:tcMar>
          </w:tcPr>
          <w:p>
            <w:pPr>
              <w:spacing w:before="0" w:after="0" w:line="247" w:lineRule="auto"/>
            </w:pPr>
            <w:r>
              <w:rPr>
                <w:sz w:val="20"/>
              </w:rPr>
              <w:t>W1</w:t>
            </w:r>
          </w:p>
        </w:tc>
      </w:tr>
      <w:tr>
        <w:trPr>
          <w:cantSplit/>
        </w:trPr>
        <w:tc>
          <w:tcPr>
            <w:tcW w:type="dxa" w:w="1701"/>
            <w:vAlign w:val="center"/>
            <w:tcMar>
              <w:top w:w="90" w:type="dxa"/>
              <w:bottom w:w="90" w:type="dxa"/>
              <w:left w:w="120" w:type="dxa"/>
              <w:right w:w="120" w:type="dxa"/>
            </w:tcMar>
          </w:tcPr>
          <w:p>
            <w:pPr>
              <w:spacing w:before="0" w:after="0" w:line="247" w:lineRule="auto"/>
            </w:pPr>
            <w:r>
              <w:rPr>
                <w:sz w:val="20"/>
              </w:rPr>
              <w:t>Test hakları</w:t>
            </w:r>
          </w:p>
        </w:tc>
        <w:tc>
          <w:tcPr>
            <w:tcW w:type="dxa" w:w="6633"/>
            <w:vAlign w:val="center"/>
            <w:tcMar>
              <w:top w:w="90" w:type="dxa"/>
              <w:bottom w:w="90" w:type="dxa"/>
              <w:left w:w="120" w:type="dxa"/>
              <w:right w:w="120" w:type="dxa"/>
            </w:tcMar>
          </w:tcPr>
          <w:p>
            <w:pPr>
              <w:spacing w:before="0" w:after="0" w:line="247" w:lineRule="auto"/>
            </w:pPr>
            <w:r>
              <w:rPr>
                <w:sz w:val="20"/>
              </w:rPr>
              <w:t>36:14–36:48’de platform testlerine sınır geleceği, yerelde ise istenildiği kadar test yapılabileceği söyleniyor. Sayısal sınır sonraya bırakılıyor. [T5]</w:t>
            </w:r>
          </w:p>
        </w:tc>
        <w:tc>
          <w:tcPr>
            <w:tcW w:type="dxa" w:w="1191"/>
            <w:vAlign w:val="center"/>
            <w:tcMar>
              <w:top w:w="90" w:type="dxa"/>
              <w:bottom w:w="90" w:type="dxa"/>
              <w:left w:w="120" w:type="dxa"/>
              <w:right w:w="120" w:type="dxa"/>
            </w:tcMar>
          </w:tcPr>
          <w:p>
            <w:pPr>
              <w:spacing w:before="0" w:after="0" w:line="247" w:lineRule="auto"/>
            </w:pPr>
            <w:r>
              <w:rPr>
                <w:sz w:val="20"/>
              </w:rPr>
              <w:t>W9</w:t>
            </w:r>
          </w:p>
        </w:tc>
      </w:tr>
      <w:tr>
        <w:trPr>
          <w:cantSplit/>
        </w:trPr>
        <w:tc>
          <w:tcPr>
            <w:tcW w:type="dxa" w:w="1701"/>
            <w:shd w:fill="F1F5F7"/>
            <w:vAlign w:val="center"/>
            <w:tcMar>
              <w:top w:w="90" w:type="dxa"/>
              <w:bottom w:w="90" w:type="dxa"/>
              <w:left w:w="120" w:type="dxa"/>
              <w:right w:w="120" w:type="dxa"/>
            </w:tcMar>
          </w:tcPr>
          <w:p>
            <w:pPr>
              <w:spacing w:before="0" w:after="0" w:line="247" w:lineRule="auto"/>
            </w:pPr>
            <w:r>
              <w:rPr>
                <w:sz w:val="20"/>
              </w:rPr>
              <w:t>Hızın önemi</w:t>
            </w:r>
          </w:p>
        </w:tc>
        <w:tc>
          <w:tcPr>
            <w:tcW w:type="dxa" w:w="6633"/>
            <w:shd w:fill="F1F5F7"/>
            <w:vAlign w:val="center"/>
            <w:tcMar>
              <w:top w:w="90" w:type="dxa"/>
              <w:bottom w:w="90" w:type="dxa"/>
              <w:left w:w="120" w:type="dxa"/>
              <w:right w:w="120" w:type="dxa"/>
            </w:tcMar>
          </w:tcPr>
          <w:p>
            <w:pPr>
              <w:spacing w:before="0" w:after="0" w:line="247" w:lineRule="auto"/>
            </w:pPr>
            <w:r>
              <w:rPr>
                <w:sz w:val="20"/>
              </w:rPr>
              <w:t>29:22’de hem hızlı üretim hem iyi sonuç vurgulanıyor; konuşmada bunların puan içindeki ağırlığı tanımlanmıyor. [T4]</w:t>
            </w:r>
          </w:p>
        </w:tc>
        <w:tc>
          <w:tcPr>
            <w:tcW w:type="dxa" w:w="1191"/>
            <w:shd w:fill="F1F5F7"/>
            <w:vAlign w:val="center"/>
            <w:tcMar>
              <w:top w:w="90" w:type="dxa"/>
              <w:bottom w:w="90" w:type="dxa"/>
              <w:left w:w="120" w:type="dxa"/>
              <w:right w:w="120" w:type="dxa"/>
            </w:tcMar>
          </w:tcPr>
          <w:p>
            <w:pPr>
              <w:spacing w:before="0" w:after="0" w:line="247" w:lineRule="auto"/>
            </w:pPr>
            <w:r>
              <w:rPr>
                <w:sz w:val="20"/>
              </w:rPr>
              <w:t>W5, W7</w:t>
            </w:r>
          </w:p>
        </w:tc>
      </w:tr>
    </w:tbl>
    <w:p>
      <w:pPr>
        <w:spacing w:after="0"/>
      </w:pPr>
    </w:p>
    <w:p>
      <w:pPr>
        <w:pStyle w:val="Heading2"/>
      </w:pPr>
      <w:r>
        <w:t>Bu farklar nasıl ele alındı?</w:t>
      </w:r>
    </w:p>
    <w:p>
      <w:r>
        <w:t>Bu derlemede iki anlatım sessizce birleştirilip tek ve çelişkisiz bir şartnameye dönüştürülmedi. Toplantı ifadeleri kendi bağlamında korundu; teslim ve uygulama kontrolü için erişilen yazılı sayfaya başvuruldu. Bu, belgenin düzenleme tercihidir; organizatörün yayımlanmış bir sürüm geçmişi olduğu iddia edilmez.</w:t>
      </w:r>
    </w:p>
    <w:p>
      <w:r>
        <w:t>Özellikle nihai teslim hazırlığında, sohbet sırasında söylenen kısa yanıtların tüm gereklilikleri kapsadığı varsayılmamalıdır. Ek e-posta duyuruları veya başlangıç paketi farklı bir açıklama içeriyorsa, uyuşmazlık organizatöre açıkça sorulmalıdır. Bu materyaller mevcut derlemede incelenmedi.</w:t>
      </w:r>
    </w:p>
    <w:p>
      <w:r>
        <w:br w:type="page"/>
      </w:r>
    </w:p>
    <w:p>
      <w:pPr>
        <w:spacing w:after="80"/>
      </w:pPr>
      <w:r>
        <w:rPr>
          <w:b/>
          <w:color w:val="166D73"/>
          <w:sz w:val="20"/>
        </w:rPr>
        <w:t>05</w:t>
      </w:r>
    </w:p>
    <w:p>
      <w:pPr>
        <w:pStyle w:val="Heading1"/>
      </w:pPr>
      <w:r>
        <w:t>Hazırlık ve uygulama planı</w:t>
      </w:r>
    </w:p>
    <w:p>
      <w:r>
        <w:t>Bu bölüm toplantıdaki önerilerin uygulanabilir bir sıraya konmuş hâlidir. Yeni yarışma kuralları koymaz; teknik çözümün ayrıntıları sizin builder tasarımınıza bağlıdır.</w:t>
      </w:r>
    </w:p>
    <w:p>
      <w:pPr>
        <w:pStyle w:val="Heading2"/>
      </w:pPr>
      <w:r>
        <w:t>1. Önce platformdaki örneği anlayın</w:t>
      </w:r>
    </w:p>
    <w:p>
      <w:r>
        <w:t>Çalışma alanına erişimi doğrulayın. Örnek workflow’u açıp kimlik adımını, tahsilat adımını, araç tanımlarını, değişkenleri ve geçişleri inceleyin. Doğru ve yanlış kimlik bilgileriyle birer deneme yaparak hangi bilginin ne zaman erişilebilir olduğunu gözlemleyin. Bu ilk elle çalışma, platformun mantığını öğrenme alıştırmasıdır.</w:t>
      </w:r>
      <w:r>
        <w:rPr>
          <w:color w:val="586674"/>
          <w:sz w:val="16"/>
        </w:rPr>
        <w:t xml:space="preserve">  [T2, T4]</w:t>
      </w:r>
    </w:p>
    <w:p>
      <w:pPr>
        <w:pStyle w:val="Heading2"/>
      </w:pPr>
      <w:r>
        <w:t>2. Elle öğrendiğiniz işlemleri buildera aktarın</w:t>
      </w:r>
    </w:p>
    <w:p>
      <w:r>
        <w:t>Workflow oluşturma, mevcut yapıyı okuma, değiştirme ve deneme adımlarını tekrar kullanılabilir beceriler veya program adımları hâline getirin. Yeni bir brief geldiğinde aynı sürecin yeniden işletilebildiğini gösterin. Toplantı, belirli bir kodlama ajanını zorunlu tutmaz; önemli olan sürecin yeniden üretilebilir olmasıdır.</w:t>
      </w:r>
      <w:r>
        <w:rPr>
          <w:color w:val="586674"/>
          <w:sz w:val="16"/>
        </w:rPr>
        <w:t xml:space="preserve">  [T2, T4]</w:t>
      </w:r>
    </w:p>
    <w:p>
      <w:pPr>
        <w:pStyle w:val="Heading2"/>
      </w:pPr>
      <w:r>
        <w:t>3. Senaryoyu değil, talimatları işleyen süreci kurun</w:t>
      </w:r>
    </w:p>
    <w:p>
      <w:r>
        <w:t>Örnek bankanın isimlerini, doğrulama sorularını veya müşteri değerlerini değişmez kabuller gibi ele almayın. Hangi davranışın müşterinin briefinden, hangisinin platform biçiminden geldiğini ayırt edin. Özellikle “önce bunu yap”, “doğrulanmadan bunu söyleme” ve “bu aşamadan sonra bu işleme dönme” türü koşulları görünür hâle getirin.</w:t>
      </w:r>
      <w:r>
        <w:rPr>
          <w:color w:val="586674"/>
          <w:sz w:val="16"/>
        </w:rPr>
        <w:t xml:space="preserve">  [T2, T4]</w:t>
      </w:r>
    </w:p>
    <w:p>
      <w:pPr>
        <w:pStyle w:val="Heading2"/>
      </w:pPr>
      <w:r>
        <w:t>4. Farklı müşteri davranışlarıyla kendinizi sınayın</w:t>
      </w:r>
    </w:p>
    <w:p>
      <w:r>
        <w:t>Yalnızca uyumlu müşteriyi test etmeyin. Öfkeli, şüpheci, yanlış bilgi veren veya ajanı talimatlarından saptırmaya çalışan kişilikler de oluşturun. Yerel simülasyonların hazırlanması toplantıda özellikle öneriliyor. Her başarısızlıkta konuşmayı, kullanılan araçları ve geçiş kararını birlikte inceleyin.</w:t>
      </w:r>
      <w:r>
        <w:rPr>
          <w:color w:val="586674"/>
          <w:sz w:val="16"/>
        </w:rPr>
        <w:t xml:space="preserve">  [T2, T5]</w:t>
      </w:r>
    </w:p>
    <w:p>
      <w:pPr>
        <w:pStyle w:val="Heading2"/>
      </w:pPr>
      <w:r>
        <w:t>5. Sonucu değil, üretim yolunu da kaydedin</w:t>
      </w:r>
    </w:p>
    <w:p>
      <w:r>
        <w:t>Builderın hangi girdiyi okuyarak hangi workflow’u ürettiğini ve neyi test ettiğini izlenebilir tutun. Platformun sürüm geçmişini kullanın. Toplantıda, yalnızca son ajanın değil, onu kuran becerilerin ve iz kayıtlarının paylaşılmasının da beklendiği söyleniyor. Ayrıntılı teslim kontrolü için şartlar kartına başvurun.</w:t>
      </w:r>
      <w:r>
        <w:rPr>
          <w:color w:val="586674"/>
          <w:sz w:val="16"/>
        </w:rPr>
        <w:t xml:space="preserve">  [T1, T4–T5]</w:t>
      </w:r>
    </w:p>
    <w:tbl>
      <w:tblPr>
        <w:tblW w:type="auto" w:w="0"/>
        <w:jc w:val="center"/>
        <w:tblLook w:firstColumn="1" w:firstRow="1" w:lastColumn="0" w:lastRow="0" w:noHBand="0" w:noVBand="1" w:val="04A0"/>
      </w:tblPr>
      <w:tblGrid>
        <w:gridCol w:w="9524"/>
      </w:tblGrid>
      <w:tr>
        <w:trPr>
          <w:cantSplit/>
        </w:trPr>
        <w:tc>
          <w:tcPr>
            <w:tcW w:type="dxa" w:w="9524"/>
            <w:shd w:fill="EDF4F4"/>
            <w:tcMar>
              <w:top w:w="130" w:type="dxa"/>
              <w:bottom w:w="130" w:type="dxa"/>
              <w:left w:w="170" w:type="dxa"/>
              <w:right w:w="170" w:type="dxa"/>
            </w:tcMar>
          </w:tcPr>
          <w:p>
            <w:pPr>
              <w:spacing w:after="80"/>
            </w:pPr>
            <w:r>
              <w:rPr>
                <w:b/>
                <w:color w:val="166D73"/>
                <w:sz w:val="20"/>
              </w:rPr>
              <w:t>HAZIRLIK SONUNDA YANITLANMASI GEREKEN SORU</w:t>
            </w:r>
          </w:p>
          <w:p>
            <w:pPr>
              <w:spacing w:after="0" w:line="252" w:lineRule="auto"/>
            </w:pPr>
            <w:r>
              <w:rPr>
                <w:sz w:val="21"/>
              </w:rPr>
              <w:t>Daha önce görmediğim bir banka talimatı geldiğinde, kullandığım süreç bu talimatı okuyup Freya’da uygun ajanı kurabiliyor ve kendi hatalarını test yoluyla bulabiliyor mu? Toplantının builder hedefi bu soruda özetleniyor. [T2, T4–T5]</w:t>
            </w:r>
          </w:p>
        </w:tc>
      </w:tr>
    </w:tbl>
    <w:p>
      <w:pPr>
        <w:spacing w:after="0"/>
      </w:pPr>
    </w:p>
    <w:p>
      <w:r>
        <w:br w:type="page"/>
      </w:r>
    </w:p>
    <w:p>
      <w:pPr>
        <w:spacing w:after="80"/>
      </w:pPr>
      <w:r>
        <w:rPr>
          <w:b/>
          <w:color w:val="166D73"/>
          <w:sz w:val="20"/>
        </w:rPr>
        <w:t>06</w:t>
      </w:r>
    </w:p>
    <w:p>
      <w:pPr>
        <w:pStyle w:val="Heading1"/>
      </w:pPr>
      <w:r>
        <w:t>Açık konular ve kaynaklar</w:t>
      </w:r>
    </w:p>
    <w:p>
      <w:pPr>
        <w:pStyle w:val="Heading2"/>
      </w:pPr>
      <w:r>
        <w:t>Bu derlemenin doğrulamadığı noktalar</w:t>
      </w:r>
    </w:p>
    <w:p>
      <w:r>
        <w:t>Başlangıç paketi ve örnek dosyalar. Resmî sayfadaki paket bağlantısı incelendi, ancak ZIP dosyası bu oturumda indirilemedi. Bu nedenle paketin README metni, gerçek API şemaları, örnek kodları ve test vakalarının tam içerikleri bu belgenin hazırlanmasında okunmadı. Araç parametreleri veya müşteri vakaları tahmin edilerek eklenmedi.</w:t>
      </w:r>
    </w:p>
    <w:p>
      <w:r>
        <w:t>E-postalar, kayıt ve destek bilgileri. Yüklenen metin bir toplantı dökümüdür; video kaydı izlenmedi. Toplantıda hesap bilgileri, başlangıç paketi, Loom, Mock Banking API ve teslim ayrıntılarının e-postayla gönderileceği söylenir. Bu iletiler görülmediği için alıcı adresi, hesap anahtarı veya teslim kanalı uydurulmadı.</w:t>
      </w:r>
      <w:r>
        <w:rPr>
          <w:color w:val="586674"/>
          <w:sz w:val="16"/>
        </w:rPr>
        <w:t xml:space="preserve">  [T3–T5]</w:t>
      </w:r>
    </w:p>
    <w:p>
      <w:r>
        <w:t>Ek limit ve bakiye duyuruları. Toplantıda final dönemine ilişkin test sınırının sonradan açıklanacağı ve başlangıç bakiyesinin artırılabileceği belirtilir. Sonraki duyurular incelenmediğinden yeni bir sayı veya tutar doğrulanmış kabul edilmez.</w:t>
      </w:r>
      <w:r>
        <w:rPr>
          <w:color w:val="586674"/>
          <w:sz w:val="16"/>
        </w:rPr>
        <w:t xml:space="preserve">  [T4–T5]</w:t>
      </w:r>
    </w:p>
    <w:p>
      <w:r>
        <w:t>Mevzuat ve üstünlük iddiaları. Sunumdaki ceza tutarları, “dünyada ilk” beyanları ve performans üstünlüğü örnekleri bağımsız araştırmayla doğrulanmadı. Bu doküman bunları hukuki görüş veya denetlenmiş deney sonucu olarak kullanmaz.</w:t>
      </w:r>
      <w:r>
        <w:rPr>
          <w:color w:val="586674"/>
          <w:sz w:val="16"/>
        </w:rPr>
        <w:t xml:space="preserve">  [T1–T2]</w:t>
      </w:r>
    </w:p>
    <w:p>
      <w:pPr>
        <w:pStyle w:val="Heading2"/>
      </w:pPr>
      <w:r>
        <w:t>Kaynak anahtarı</w:t>
      </w:r>
    </w:p>
    <w:tbl>
      <w:tblPr>
        <w:tblW w:type="auto" w:w="0"/>
        <w:jc w:val="center"/>
        <w:tblLayout w:type="fixed"/>
        <w:tblLook w:firstColumn="1" w:firstRow="1" w:lastColumn="0" w:lastRow="0" w:noHBand="0" w:noVBand="1" w:val="04A0"/>
      </w:tblPr>
      <w:tblGrid>
        <w:gridCol w:w="907"/>
        <w:gridCol w:w="8617"/>
      </w:tblGrid>
      <w:tr>
        <w:trPr>
          <w:tblHeader/>
          <w:cantSplit/>
        </w:trPr>
        <w:tc>
          <w:tcPr>
            <w:tcW w:type="dxa" w:w="907"/>
            <w:shd w:fill="203348"/>
            <w:vAlign w:val="center"/>
            <w:tcMar>
              <w:top w:w="90" w:type="dxa"/>
              <w:bottom w:w="90" w:type="dxa"/>
              <w:left w:w="120" w:type="dxa"/>
              <w:right w:w="120" w:type="dxa"/>
            </w:tcMar>
          </w:tcPr>
          <w:p>
            <w:pPr>
              <w:spacing w:before="0" w:after="0" w:line="247" w:lineRule="auto"/>
            </w:pPr>
            <w:r>
              <w:rPr>
                <w:b/>
                <w:color w:val="FFFFFF"/>
                <w:sz w:val="19"/>
              </w:rPr>
              <w:t>Kod</w:t>
            </w:r>
          </w:p>
        </w:tc>
        <w:tc>
          <w:tcPr>
            <w:tcW w:type="dxa" w:w="8617"/>
            <w:shd w:fill="203348"/>
            <w:vAlign w:val="center"/>
            <w:tcMar>
              <w:top w:w="90" w:type="dxa"/>
              <w:bottom w:w="90" w:type="dxa"/>
              <w:left w:w="120" w:type="dxa"/>
              <w:right w:w="120" w:type="dxa"/>
            </w:tcMar>
          </w:tcPr>
          <w:p>
            <w:pPr>
              <w:spacing w:before="0" w:after="0" w:line="247" w:lineRule="auto"/>
            </w:pPr>
            <w:r>
              <w:rPr>
                <w:b/>
                <w:color w:val="FFFFFF"/>
                <w:sz w:val="19"/>
              </w:rPr>
              <w:t>Kaynak ve kapsadığı bölüm</w:t>
            </w:r>
          </w:p>
        </w:tc>
      </w:tr>
      <w:tr>
        <w:trPr>
          <w:cantSplit/>
        </w:trPr>
        <w:tc>
          <w:tcPr>
            <w:tcW w:type="dxa" w:w="907"/>
            <w:shd w:fill="F1F5F7"/>
            <w:vAlign w:val="center"/>
            <w:tcMar>
              <w:top w:w="90" w:type="dxa"/>
              <w:bottom w:w="90" w:type="dxa"/>
              <w:left w:w="120" w:type="dxa"/>
              <w:right w:w="120" w:type="dxa"/>
            </w:tcMar>
          </w:tcPr>
          <w:p>
            <w:pPr>
              <w:spacing w:before="0" w:after="0" w:line="247" w:lineRule="auto"/>
            </w:pPr>
            <w:r>
              <w:rPr>
                <w:sz w:val="19"/>
              </w:rPr>
              <w:t>T1</w:t>
            </w:r>
          </w:p>
        </w:tc>
        <w:tc>
          <w:tcPr>
            <w:tcW w:type="dxa" w:w="8617"/>
            <w:shd w:fill="F1F5F7"/>
            <w:vAlign w:val="center"/>
            <w:tcMar>
              <w:top w:w="90" w:type="dxa"/>
              <w:bottom w:w="90" w:type="dxa"/>
              <w:left w:w="120" w:type="dxa"/>
              <w:right w:w="120" w:type="dxa"/>
            </w:tcMar>
          </w:tcPr>
          <w:p>
            <w:pPr>
              <w:spacing w:before="0" w:after="0" w:line="247" w:lineRule="auto"/>
            </w:pPr>
            <w:r>
              <w:rPr>
                <w:sz w:val="19"/>
              </w:rPr>
              <w:t>Yapıştırılan metin.txt · 00:00. Freya’nın geçmişi, ürün vizyonu, tahsilat gösterimi, geri bildirim ve sürüm iyileştirme. Döküm satırları 6–7.</w:t>
            </w:r>
          </w:p>
        </w:tc>
      </w:tr>
      <w:tr>
        <w:trPr>
          <w:cantSplit/>
        </w:trPr>
        <w:tc>
          <w:tcPr>
            <w:tcW w:type="dxa" w:w="907"/>
            <w:vAlign w:val="center"/>
            <w:tcMar>
              <w:top w:w="90" w:type="dxa"/>
              <w:bottom w:w="90" w:type="dxa"/>
              <w:left w:w="120" w:type="dxa"/>
              <w:right w:w="120" w:type="dxa"/>
            </w:tcMar>
          </w:tcPr>
          <w:p>
            <w:pPr>
              <w:spacing w:before="0" w:after="0" w:line="247" w:lineRule="auto"/>
            </w:pPr>
            <w:r>
              <w:rPr>
                <w:sz w:val="19"/>
              </w:rPr>
              <w:t>T2</w:t>
            </w:r>
          </w:p>
        </w:tc>
        <w:tc>
          <w:tcPr>
            <w:tcW w:type="dxa" w:w="8617"/>
            <w:vAlign w:val="center"/>
            <w:tcMar>
              <w:top w:w="90" w:type="dxa"/>
              <w:bottom w:w="90" w:type="dxa"/>
              <w:left w:w="120" w:type="dxa"/>
              <w:right w:w="120" w:type="dxa"/>
            </w:tcMar>
          </w:tcPr>
          <w:p>
            <w:pPr>
              <w:spacing w:before="0" w:after="0" w:line="247" w:lineRule="auto"/>
            </w:pPr>
            <w:r>
              <w:rPr>
                <w:sz w:val="19"/>
              </w:rPr>
              <w:t>Aynı döküm · 13:48. Builder/phone agent ayrımı, girdiler, workflow, API, simülasyon ve yeni senaryo hedefi. Satırlar 9–10.</w:t>
            </w:r>
          </w:p>
        </w:tc>
      </w:tr>
      <w:tr>
        <w:trPr>
          <w:cantSplit/>
        </w:trPr>
        <w:tc>
          <w:tcPr>
            <w:tcW w:type="dxa" w:w="907"/>
            <w:shd w:fill="F1F5F7"/>
            <w:vAlign w:val="center"/>
            <w:tcMar>
              <w:top w:w="90" w:type="dxa"/>
              <w:bottom w:w="90" w:type="dxa"/>
              <w:left w:w="120" w:type="dxa"/>
              <w:right w:w="120" w:type="dxa"/>
            </w:tcMar>
          </w:tcPr>
          <w:p>
            <w:pPr>
              <w:spacing w:before="0" w:after="0" w:line="247" w:lineRule="auto"/>
            </w:pPr>
            <w:r>
              <w:rPr>
                <w:sz w:val="19"/>
              </w:rPr>
              <w:t>T3</w:t>
            </w:r>
          </w:p>
        </w:tc>
        <w:tc>
          <w:tcPr>
            <w:tcW w:type="dxa" w:w="8617"/>
            <w:shd w:fill="F1F5F7"/>
            <w:vAlign w:val="center"/>
            <w:tcMar>
              <w:top w:w="90" w:type="dxa"/>
              <w:bottom w:w="90" w:type="dxa"/>
              <w:left w:w="120" w:type="dxa"/>
              <w:right w:w="120" w:type="dxa"/>
            </w:tcMar>
          </w:tcPr>
          <w:p>
            <w:pPr>
              <w:spacing w:before="0" w:after="0" w:line="247" w:lineRule="auto"/>
            </w:pPr>
            <w:r>
              <w:rPr>
                <w:sz w:val="19"/>
              </w:rPr>
              <w:t>Aynı döküm · 24:37–27:43. Farklı kaynaklardan talimat toplama, destek ve banka talimatlarına uyma. Satırlar 12–25.</w:t>
            </w:r>
          </w:p>
        </w:tc>
      </w:tr>
      <w:tr>
        <w:trPr>
          <w:cantSplit/>
        </w:trPr>
        <w:tc>
          <w:tcPr>
            <w:tcW w:type="dxa" w:w="907"/>
            <w:vAlign w:val="center"/>
            <w:tcMar>
              <w:top w:w="90" w:type="dxa"/>
              <w:bottom w:w="90" w:type="dxa"/>
              <w:left w:w="120" w:type="dxa"/>
              <w:right w:w="120" w:type="dxa"/>
            </w:tcMar>
          </w:tcPr>
          <w:p>
            <w:pPr>
              <w:spacing w:before="0" w:after="0" w:line="247" w:lineRule="auto"/>
            </w:pPr>
            <w:r>
              <w:rPr>
                <w:sz w:val="19"/>
              </w:rPr>
              <w:t>T4</w:t>
            </w:r>
          </w:p>
        </w:tc>
        <w:tc>
          <w:tcPr>
            <w:tcW w:type="dxa" w:w="8617"/>
            <w:vAlign w:val="center"/>
            <w:tcMar>
              <w:top w:w="90" w:type="dxa"/>
              <w:bottom w:w="90" w:type="dxa"/>
              <w:left w:w="120" w:type="dxa"/>
              <w:right w:w="120" w:type="dxa"/>
            </w:tcMar>
          </w:tcPr>
          <w:p>
            <w:pPr>
              <w:spacing w:before="0" w:after="0" w:line="247" w:lineRule="auto"/>
            </w:pPr>
            <w:r>
              <w:rPr>
                <w:sz w:val="19"/>
              </w:rPr>
              <w:t>Aynı döküm · 28:46–33:09. Takvim, araç seçimi, yeniden üretilebilirlik, alan ve platform kapsamı. Satırlar 27–37.</w:t>
            </w:r>
          </w:p>
        </w:tc>
      </w:tr>
      <w:tr>
        <w:trPr>
          <w:cantSplit/>
        </w:trPr>
        <w:tc>
          <w:tcPr>
            <w:tcW w:type="dxa" w:w="907"/>
            <w:shd w:fill="F1F5F7"/>
            <w:vAlign w:val="center"/>
            <w:tcMar>
              <w:top w:w="90" w:type="dxa"/>
              <w:bottom w:w="90" w:type="dxa"/>
              <w:left w:w="120" w:type="dxa"/>
              <w:right w:w="120" w:type="dxa"/>
            </w:tcMar>
          </w:tcPr>
          <w:p>
            <w:pPr>
              <w:spacing w:before="0" w:after="0" w:line="247" w:lineRule="auto"/>
            </w:pPr>
            <w:r>
              <w:rPr>
                <w:sz w:val="19"/>
              </w:rPr>
              <w:t>T5</w:t>
            </w:r>
          </w:p>
        </w:tc>
        <w:tc>
          <w:tcPr>
            <w:tcW w:type="dxa" w:w="8617"/>
            <w:shd w:fill="F1F5F7"/>
            <w:vAlign w:val="center"/>
            <w:tcMar>
              <w:top w:w="90" w:type="dxa"/>
              <w:bottom w:w="90" w:type="dxa"/>
              <w:left w:w="120" w:type="dxa"/>
              <w:right w:w="120" w:type="dxa"/>
            </w:tcMar>
          </w:tcPr>
          <w:p>
            <w:pPr>
              <w:spacing w:before="0" w:after="0" w:line="247" w:lineRule="auto"/>
            </w:pPr>
            <w:r>
              <w:rPr>
                <w:sz w:val="19"/>
              </w:rPr>
              <w:t>Aynı döküm · 36:14–41:00. Test limitleri, JSON teslimi, geçmiş kayıtları, e-postalar ve kapanış. Satırlar 39–62.</w:t>
            </w:r>
          </w:p>
        </w:tc>
      </w:tr>
      <w:tr>
        <w:trPr>
          <w:cantSplit/>
        </w:trPr>
        <w:tc>
          <w:tcPr>
            <w:tcW w:type="dxa" w:w="907"/>
            <w:vAlign w:val="center"/>
            <w:tcMar>
              <w:top w:w="90" w:type="dxa"/>
              <w:bottom w:w="90" w:type="dxa"/>
              <w:left w:w="120" w:type="dxa"/>
              <w:right w:w="120" w:type="dxa"/>
            </w:tcMar>
          </w:tcPr>
          <w:p>
            <w:pPr>
              <w:spacing w:before="0" w:after="0" w:line="247" w:lineRule="auto"/>
            </w:pPr>
            <w:r>
              <w:rPr>
                <w:sz w:val="19"/>
              </w:rPr>
              <w:t>W</w:t>
            </w:r>
          </w:p>
        </w:tc>
        <w:tc>
          <w:tcPr>
            <w:tcW w:type="dxa" w:w="8617"/>
            <w:vAlign w:val="center"/>
            <w:tcMar>
              <w:top w:w="90" w:type="dxa"/>
              <w:bottom w:w="90" w:type="dxa"/>
              <w:left w:w="120" w:type="dxa"/>
              <w:right w:w="120" w:type="dxa"/>
            </w:tcMar>
          </w:tcPr>
          <w:p>
            <w:pPr>
              <w:spacing w:before="0" w:after="0" w:line="247" w:lineRule="auto"/>
            </w:pPr>
            <w:r>
              <w:rPr>
                <w:sz w:val="19"/>
              </w:rPr>
              <w:t>Freya resmî hackathon sayfası: Build the Builder. Erişim tarihi 10 Ekim 2026. Yazılı koşullar 4. sayfada özetlenmiştir.</w:t>
            </w:r>
          </w:p>
        </w:tc>
      </w:tr>
      <w:tr>
        <w:trPr>
          <w:cantSplit/>
        </w:trPr>
        <w:tc>
          <w:tcPr>
            <w:tcW w:type="dxa" w:w="907"/>
            <w:shd w:fill="F1F5F7"/>
            <w:vAlign w:val="center"/>
            <w:tcMar>
              <w:top w:w="90" w:type="dxa"/>
              <w:bottom w:w="90" w:type="dxa"/>
              <w:left w:w="120" w:type="dxa"/>
              <w:right w:w="120" w:type="dxa"/>
            </w:tcMar>
          </w:tcPr>
          <w:p>
            <w:pPr>
              <w:spacing w:before="0" w:after="0" w:line="247" w:lineRule="auto"/>
            </w:pPr>
            <w:r>
              <w:rPr>
                <w:sz w:val="19"/>
              </w:rPr>
              <w:t>M</w:t>
            </w:r>
          </w:p>
        </w:tc>
        <w:tc>
          <w:tcPr>
            <w:tcW w:type="dxa" w:w="8617"/>
            <w:shd w:fill="F1F5F7"/>
            <w:vAlign w:val="center"/>
            <w:tcMar>
              <w:top w:w="90" w:type="dxa"/>
              <w:bottom w:w="90" w:type="dxa"/>
              <w:left w:w="120" w:type="dxa"/>
              <w:right w:w="120" w:type="dxa"/>
            </w:tcMar>
          </w:tcPr>
          <w:p>
            <w:pPr>
              <w:spacing w:before="0" w:after="0" w:line="247" w:lineRule="auto"/>
            </w:pPr>
            <w:r>
              <w:rPr>
                <w:sz w:val="19"/>
              </w:rPr>
              <w:t>Meteoroloji Genel Müdürlüğü · Radar sayfasındaki UTC/yerel saat açıklaması. Yalnızca Türkiye saati dönüşümü için ek doğrulama. Erişim: 10 Ekim 2026.</w:t>
            </w:r>
          </w:p>
        </w:tc>
      </w:tr>
    </w:tbl>
    <w:p>
      <w:pPr>
        <w:spacing w:after="0"/>
      </w:pPr>
    </w:p>
    <w:p>
      <w:r>
        <w:t xml:space="preserve">Web kaynağı: </w:t>
      </w:r>
      <w:hyperlink r:id="rId11">
        <w:r>
          <w:rPr>
            <w:color w:val="166D73"/>
            <w:u w:val="single"/>
          </w:rPr>
          <w:t>Freya — Build the Builder</w:t>
        </w:r>
      </w:hyperlink>
      <w:r>
        <w:t xml:space="preserve">  |  </w:t>
      </w:r>
      <w:hyperlink r:id="rId12">
        <w:r>
          <w:rPr>
            <w:color w:val="166D73"/>
            <w:u w:val="single"/>
          </w:rPr>
          <w:t>MGM saat açıklaması</w:t>
        </w:r>
      </w:hyperlink>
    </w:p>
    <w:p>
      <w:r>
        <w:t>Döküm notu: Başlıkta 50 dakikalık kayıt ifadesi bulunuyor; paylaşılan metindeki son zaman damgası 41:00. Kaynak haritası video süresini değil, erişilen metindeki zaman damgalarını kullanır.</w:t>
      </w:r>
      <w:r>
        <w:rPr>
          <w:color w:val="586674"/>
          <w:sz w:val="16"/>
        </w:rPr>
        <w:t xml:space="preserve">  [T1, T5]</w:t>
      </w:r>
    </w:p>
    <w:sectPr w:rsidR="00FC693F" w:rsidRPr="0006063C" w:rsidSect="00034616">
      <w:headerReference w:type="default" r:id="rId9"/>
      <w:footerReference w:type="default" r:id="rId10"/>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rPr>
        <w:color w:val="586674"/>
        <w:sz w:val="16"/>
      </w:rPr>
      <w:t>Türkçe derleme  •  10 Ekim 2026</w:t>
    </w:r>
    <w:r>
      <w:tab/>
    </w: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DCE4E9"/>
      </w:pBdr>
    </w:pPr>
    <w:r>
      <w:rPr>
        <w:b/>
        <w:color w:val="586674"/>
        <w:sz w:val="16"/>
      </w:rPr>
      <w:t>FREYA  /  BUILD THE BUILDER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203348"/>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b/>
      <w:bCs/>
      <w:color w:val="203348"/>
      <w:sz w:val="44"/>
      <w:szCs w:val="28"/>
      <w:lang w:val="tr-TR"/>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6D73"/>
      <w:sz w:val="26"/>
      <w:szCs w:val="26"/>
      <w:lang w:val="tr-TR"/>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66D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203348"/>
      <w:spacing w:val="5"/>
      <w:kern w:val="28"/>
      <w:sz w:val="68"/>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166D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yavoice.ai/hackathon" TargetMode="External"/><Relationship Id="rId12" Type="http://schemas.openxmlformats.org/officeDocument/2006/relationships/hyperlink" Target="https://www.mgm.gov.tr/sondurum/radar.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Freya Build the Builder — Birleştirilmiş Türkçe Rehber</dc:title>
  <dc:subject>Açılış toplantısı dökümü ile resmî hackathon sayfasının kaynaklı derlemesi</dc:subject>
  <dc:creator/>
  <cp:keywords>Freya, Build the Builder, hackathon, builder, workflow, Türkçe</cp:keywords>
  <dc:description/>
  <cp:lastModifiedBy/>
  <cp:revision>1</cp:revision>
  <dcterms:created xsi:type="dcterms:W3CDTF">2013-12-23T23:15:00Z</dcterms:created>
  <dcterms:modified xsi:type="dcterms:W3CDTF">2013-12-23T23:15:00Z</dcterms:modified>
  <cp:category/>
</cp:coreProperties>
</file>