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Pair reposu:</w:t>
      </w:r>
    </w:p>
    <w:p>
      <w:pPr>
        <w:pStyle w:val="Body"/>
        <w:bidi w:val="0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"https://github.com/tamerakdeniz/telcox"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https://github.com/tamerakdeniz/telcox</w:t>
      </w:r>
      <w:r>
        <w:rPr/>
        <w:fldChar w:fldCharType="end" w:fldLock="0"/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Bireysel </w:t>
      </w:r>
      <w:r>
        <w:rPr>
          <w:rtl w:val="0"/>
        </w:rPr>
        <w:t>Ö</w:t>
      </w:r>
      <w:r>
        <w:rPr>
          <w:rtl w:val="0"/>
        </w:rPr>
        <w:t>dev reposu (microservices-spring):</w:t>
      </w:r>
    </w:p>
    <w:p>
      <w:pPr>
        <w:pStyle w:val="Body"/>
        <w:bidi w:val="0"/>
      </w:pPr>
      <w:r>
        <w:rPr>
          <w:rtl w:val="0"/>
        </w:rPr>
        <w:t>https://github.com/tamerakdeniz/Microservices-Spring-GYGY-5.0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