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A89F8" w14:textId="18646203" w:rsidR="00866A47" w:rsidRPr="00972ACA" w:rsidRDefault="00972ACA">
      <w:pPr>
        <w:pStyle w:val="Titre"/>
        <w:rPr>
          <w:lang w:val="fr-FR"/>
        </w:rPr>
      </w:pPr>
      <w:r w:rsidRPr="00972ACA">
        <w:rPr>
          <w:lang w:val="fr-FR"/>
        </w:rPr>
        <w:t xml:space="preserve">Formules Financières </w:t>
      </w:r>
    </w:p>
    <w:p w14:paraId="7F3BC316" w14:textId="77777777" w:rsidR="00866A47" w:rsidRPr="00972ACA" w:rsidRDefault="00866A47">
      <w:pPr>
        <w:rPr>
          <w:lang w:val="fr-FR"/>
        </w:rPr>
      </w:pPr>
    </w:p>
    <w:p w14:paraId="32B81496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GESTION DES LIQUIDITÉS</w:t>
      </w:r>
    </w:p>
    <w:p w14:paraId="5AFA800E" w14:textId="77777777" w:rsidR="00866A47" w:rsidRPr="004E746A" w:rsidRDefault="00866A47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570F7074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Ratio de liquidité générale = Actifs Courants / Passifs Courants</w:t>
      </w:r>
    </w:p>
    <w:p w14:paraId="0659E40B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Ratio de liquidité réduite = (Actifs Courants - Stocks) / Passifs Courants</w:t>
      </w:r>
    </w:p>
    <w:p w14:paraId="418E1B90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Ratio de liquidité immédiate = Liquidités / Passifs Courants</w:t>
      </w:r>
    </w:p>
    <w:p w14:paraId="03C44B8B" w14:textId="4ECE0068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Intervalle défensif réduit = Liquidités / (</w:t>
      </w:r>
      <w:r w:rsidRPr="004E746A">
        <w:rPr>
          <w:rFonts w:ascii="Times New Roman" w:hAnsi="Times New Roman" w:cs="Times New Roman"/>
          <w:b/>
          <w:bCs/>
          <w:color w:val="FF0000"/>
          <w:sz w:val="24"/>
          <w:szCs w:val="24"/>
          <w:lang w:val="fr-FR"/>
        </w:rPr>
        <w:t>Charges d’exploitation</w:t>
      </w:r>
      <w:r w:rsidR="00166037"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-</w:t>
      </w:r>
      <w:r w:rsidR="00166037" w:rsidRPr="004E746A">
        <w:rPr>
          <w:rFonts w:ascii="Times New Roman" w:hAnsi="Times New Roman" w:cs="Times New Roman"/>
          <w:color w:val="FF0000"/>
          <w:sz w:val="24"/>
          <w:szCs w:val="24"/>
          <w:lang w:val="fr-FR"/>
        </w:rPr>
        <w:t xml:space="preserve">dotation amort </w:t>
      </w:r>
      <w:r w:rsidR="00166037" w:rsidRPr="004E746A">
        <w:rPr>
          <w:rFonts w:ascii="Times New Roman" w:hAnsi="Times New Roman" w:cs="Times New Roman"/>
          <w:sz w:val="24"/>
          <w:szCs w:val="24"/>
          <w:lang w:val="fr-FR"/>
        </w:rPr>
        <w:t>/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365)</w:t>
      </w:r>
    </w:p>
    <w:p w14:paraId="1C92BA03" w14:textId="66F478F4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Intervalle défensif = (Liquidités + Clients nets) / (</w:t>
      </w: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Charges </w:t>
      </w:r>
      <w:r w:rsidRPr="004E746A">
        <w:rPr>
          <w:rFonts w:ascii="Times New Roman" w:hAnsi="Times New Roman" w:cs="Times New Roman"/>
          <w:b/>
          <w:bCs/>
          <w:color w:val="FF0000"/>
          <w:sz w:val="24"/>
          <w:szCs w:val="24"/>
          <w:lang w:val="fr-FR"/>
        </w:rPr>
        <w:t>d’exploitation</w:t>
      </w:r>
      <w:r w:rsidR="00166037" w:rsidRPr="004E746A">
        <w:rPr>
          <w:rFonts w:ascii="Times New Roman" w:hAnsi="Times New Roman" w:cs="Times New Roman"/>
          <w:b/>
          <w:bCs/>
          <w:color w:val="FF0000"/>
          <w:sz w:val="24"/>
          <w:szCs w:val="24"/>
          <w:lang w:val="fr-FR"/>
        </w:rPr>
        <w:t>-</w:t>
      </w:r>
      <w:r w:rsidR="00166037" w:rsidRPr="004E746A">
        <w:rPr>
          <w:rFonts w:ascii="Times New Roman" w:hAnsi="Times New Roman" w:cs="Times New Roman"/>
          <w:color w:val="FF0000"/>
          <w:sz w:val="24"/>
          <w:szCs w:val="24"/>
          <w:lang w:val="fr-FR"/>
        </w:rPr>
        <w:t xml:space="preserve"> </w:t>
      </w:r>
      <w:r w:rsidR="00166037" w:rsidRPr="004E746A">
        <w:rPr>
          <w:rFonts w:ascii="Times New Roman" w:hAnsi="Times New Roman" w:cs="Times New Roman"/>
          <w:color w:val="FF0000"/>
          <w:sz w:val="24"/>
          <w:szCs w:val="24"/>
          <w:lang w:val="fr-FR"/>
        </w:rPr>
        <w:t>dotation amort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/ 365)</w:t>
      </w:r>
    </w:p>
    <w:p w14:paraId="43F6C681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Ratio de fonds de roulement = Actifs Courants / Passifs Courants</w:t>
      </w:r>
    </w:p>
    <w:p w14:paraId="1D109C75" w14:textId="08B4BFC7" w:rsidR="00166037" w:rsidRPr="004E746A" w:rsidRDefault="00166037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color w:val="FF0000"/>
          <w:sz w:val="24"/>
          <w:szCs w:val="24"/>
          <w:lang w:val="fr-FR"/>
        </w:rPr>
        <w:t>Fonds de roulement (FR)</w:t>
      </w:r>
      <w:r w:rsidRPr="004E746A">
        <w:rPr>
          <w:rFonts w:ascii="Times New Roman" w:hAnsi="Times New Roman" w:cs="Times New Roman"/>
          <w:b/>
          <w:bCs/>
          <w:color w:val="FF0000"/>
          <w:sz w:val="24"/>
          <w:szCs w:val="24"/>
          <w:lang w:val="fr-FR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color w:val="FF0000"/>
            <w:sz w:val="24"/>
            <w:szCs w:val="24"/>
            <w:lang w:val="fr-FR"/>
          </w:rPr>
          <m:t>FR=Ressources Stables-Actifs Immobilis</m:t>
        </m:r>
        <m:acc>
          <m:accPr>
            <m:chr m:val="ˊ"/>
            <m:ctrlPr>
              <w:rPr>
                <w:rFonts w:ascii="Cambria Math" w:hAnsi="Cambria Math" w:cs="Times New Roman"/>
                <w:color w:val="FF0000"/>
                <w:sz w:val="24"/>
                <w:szCs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color w:val="FF0000"/>
                <w:sz w:val="24"/>
                <w:szCs w:val="24"/>
                <w:lang w:val="fr-FR"/>
              </w:rPr>
              <m:t>e</m:t>
            </m:r>
          </m:e>
        </m:acc>
        <m:r>
          <m:rPr>
            <m:sty m:val="p"/>
          </m:rPr>
          <w:rPr>
            <w:rFonts w:ascii="Cambria Math" w:hAnsi="Cambria Math" w:cs="Times New Roman"/>
            <w:color w:val="FF0000"/>
            <w:sz w:val="24"/>
            <w:szCs w:val="24"/>
            <w:lang w:val="fr-FR"/>
          </w:rPr>
          <m:t>s</m:t>
        </m:r>
      </m:oMath>
      <w:r w:rsidRPr="004E746A">
        <w:rPr>
          <w:rFonts w:ascii="Times New Roman" w:hAnsi="Times New Roman" w:cs="Times New Roman"/>
          <w:color w:val="FF0000"/>
          <w:sz w:val="24"/>
          <w:szCs w:val="24"/>
          <w:lang w:val="fr-FR"/>
        </w:rPr>
        <w:br/>
      </w:r>
    </w:p>
    <w:p w14:paraId="6D2A0C4A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Couverture des immobilisations = Ressources Stables / Actifs Immobilisés</w:t>
      </w:r>
    </w:p>
    <w:p w14:paraId="01267364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BFR = Stocks nets + Clients nets - Fournisseurs</w:t>
      </w:r>
    </w:p>
    <w:p w14:paraId="3B256439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Ratio BFR = BFR / (Revenus / 365)</w:t>
      </w:r>
    </w:p>
    <w:p w14:paraId="1ACEA482" w14:textId="32C7EB6B" w:rsidR="00166037" w:rsidRPr="004E746A" w:rsidRDefault="00166037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color w:val="FF0000"/>
          <w:sz w:val="24"/>
          <w:szCs w:val="24"/>
          <w:lang w:val="fr-FR"/>
        </w:rPr>
        <w:t xml:space="preserve">Taux de couverture du BFR </w:t>
      </w:r>
      <m:oMath>
        <m:r>
          <m:rPr>
            <m:sty m:val="p"/>
          </m:rPr>
          <w:rPr>
            <w:rFonts w:ascii="Cambria Math" w:hAnsi="Cambria Math" w:cs="Times New Roman"/>
            <w:color w:val="FF0000"/>
            <w:sz w:val="24"/>
            <w:szCs w:val="24"/>
            <w:lang w:val="fr-FR"/>
          </w:rPr>
          <m:t>FR/BFR</m:t>
        </m:r>
      </m:oMath>
    </w:p>
    <w:p w14:paraId="4821BE83" w14:textId="77777777" w:rsidR="00935D42" w:rsidRPr="004E746A" w:rsidRDefault="00935D42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44706132" w14:textId="6D4D4375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GESTION DES ACTIFS</w:t>
      </w:r>
    </w:p>
    <w:p w14:paraId="09BBD4A4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Ratio levier économique = Total Actifs / Capitaux Propres</w:t>
      </w:r>
    </w:p>
    <w:p w14:paraId="05D957F2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Poids des immobilisations = Actifs Immobilisés / Total Actifs</w:t>
      </w:r>
    </w:p>
    <w:p w14:paraId="7E0F9383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Financement des immobilisations = Ressources Stables / Actifs Immobilisés</w:t>
      </w:r>
    </w:p>
    <w:p w14:paraId="369AF610" w14:textId="175F209B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Vétusté des actifs</w:t>
      </w:r>
      <w:r w:rsidR="00CB6CEE"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CB6CEE" w:rsidRPr="004E746A">
        <w:rPr>
          <w:rFonts w:ascii="Times New Roman" w:hAnsi="Times New Roman" w:cs="Times New Roman"/>
          <w:color w:val="FF0000"/>
          <w:sz w:val="24"/>
          <w:szCs w:val="24"/>
          <w:lang w:val="fr-FR"/>
        </w:rPr>
        <w:t xml:space="preserve">subdivise corporelle et </w:t>
      </w:r>
      <w:proofErr w:type="spellStart"/>
      <w:r w:rsidR="00CB6CEE" w:rsidRPr="004E746A">
        <w:rPr>
          <w:rFonts w:ascii="Times New Roman" w:hAnsi="Times New Roman" w:cs="Times New Roman"/>
          <w:color w:val="FF0000"/>
          <w:sz w:val="24"/>
          <w:szCs w:val="24"/>
          <w:lang w:val="fr-FR"/>
        </w:rPr>
        <w:t>incorpor</w:t>
      </w:r>
      <w:proofErr w:type="spellEnd"/>
      <w:r w:rsidRPr="004E746A">
        <w:rPr>
          <w:rFonts w:ascii="Times New Roman" w:hAnsi="Times New Roman" w:cs="Times New Roman"/>
          <w:color w:val="FF0000"/>
          <w:sz w:val="24"/>
          <w:szCs w:val="24"/>
          <w:lang w:val="fr-FR"/>
        </w:rPr>
        <w:t xml:space="preserve"> 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>= Amortissements / Immobilisations corporelles</w:t>
      </w:r>
    </w:p>
    <w:p w14:paraId="71DE85D2" w14:textId="77777777" w:rsidR="00866A47" w:rsidRPr="004E746A" w:rsidRDefault="00866A47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00C0CA78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lastRenderedPageBreak/>
        <w:t>GESTION DES PASSIFS</w:t>
      </w:r>
    </w:p>
    <w:p w14:paraId="7F2416C3" w14:textId="77777777" w:rsidR="00866A47" w:rsidRPr="004E746A" w:rsidRDefault="00866A47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268A2763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Ratio d’endettement global = Total Dettes / Total Actifs</w:t>
      </w:r>
    </w:p>
    <w:p w14:paraId="1D15B93D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Ratio d’endettement à terme = Dettes Long Terme / Capitaux Propres</w:t>
      </w:r>
    </w:p>
    <w:p w14:paraId="65701C72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Indépendance financière = Capitaux Propres / Total Dettes</w:t>
      </w:r>
    </w:p>
    <w:p w14:paraId="19001F9A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Autonomie financière = Capitaux Propres / Total Actifs</w:t>
      </w:r>
    </w:p>
    <w:p w14:paraId="34C916C9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Solvabilité = Total Actifs / Total Dettes</w:t>
      </w:r>
    </w:p>
    <w:p w14:paraId="217BED92" w14:textId="77777777" w:rsidR="00866A47" w:rsidRPr="004E746A" w:rsidRDefault="00866A47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2A55B7A2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GESTION DES RESSOURCES HUMAINES</w:t>
      </w:r>
    </w:p>
    <w:p w14:paraId="3572812B" w14:textId="77777777" w:rsidR="00866A47" w:rsidRPr="004E746A" w:rsidRDefault="00866A47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04D214C2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Efficacité brute RH = Revenus / Charges de personnel</w:t>
      </w:r>
    </w:p>
    <w:p w14:paraId="0A730A8E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Efficacité nette RH = Résultat net / Charges de personnel</w:t>
      </w:r>
    </w:p>
    <w:p w14:paraId="797BBB4B" w14:textId="212CE4C0" w:rsidR="00CB6CEE" w:rsidRPr="004E746A" w:rsidRDefault="00CB6CEE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color w:val="FF0000"/>
          <w:sz w:val="24"/>
          <w:szCs w:val="24"/>
          <w:lang w:val="fr-FR"/>
        </w:rPr>
        <w:t>Valeur ajoutée par salarié</w:t>
      </w:r>
      <w:r w:rsidRPr="004E746A">
        <w:rPr>
          <w:rFonts w:ascii="Times New Roman" w:hAnsi="Times New Roman" w:cs="Times New Roman"/>
          <w:color w:val="FF0000"/>
          <w:sz w:val="24"/>
          <w:szCs w:val="24"/>
          <w:lang w:val="fr-FR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color w:val="FF0000"/>
            <w:sz w:val="24"/>
            <w:szCs w:val="24"/>
            <w:lang w:val="fr-FR"/>
          </w:rPr>
          <m:t>Valeur Ajout</m:t>
        </m:r>
        <m:acc>
          <m:accPr>
            <m:chr m:val="ˊ"/>
            <m:ctrlPr>
              <w:rPr>
                <w:rFonts w:ascii="Cambria Math" w:hAnsi="Cambria Math" w:cs="Times New Roman"/>
                <w:color w:val="FF0000"/>
                <w:sz w:val="24"/>
                <w:szCs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color w:val="FF0000"/>
                <w:sz w:val="24"/>
                <w:szCs w:val="24"/>
                <w:lang w:val="fr-FR"/>
              </w:rPr>
              <m:t>e</m:t>
            </m:r>
          </m:e>
        </m:acc>
        <m:r>
          <m:rPr>
            <m:sty m:val="p"/>
          </m:rPr>
          <w:rPr>
            <w:rFonts w:ascii="Cambria Math" w:hAnsi="Cambria Math" w:cs="Times New Roman"/>
            <w:color w:val="FF0000"/>
            <w:sz w:val="24"/>
            <w:szCs w:val="24"/>
            <w:lang w:val="fr-FR"/>
          </w:rPr>
          <m:t>e/Effectif</m:t>
        </m:r>
      </m:oMath>
      <w:r w:rsidRPr="004E746A">
        <w:rPr>
          <w:rFonts w:ascii="Times New Roman" w:hAnsi="Times New Roman" w:cs="Times New Roman"/>
          <w:color w:val="FF0000"/>
          <w:sz w:val="24"/>
          <w:szCs w:val="24"/>
          <w:lang w:val="fr-FR"/>
        </w:rPr>
        <w:br/>
        <w:t>Revenus par salarié</w:t>
      </w:r>
      <w:r w:rsidRPr="004E746A">
        <w:rPr>
          <w:rFonts w:ascii="Times New Roman" w:hAnsi="Times New Roman" w:cs="Times New Roman"/>
          <w:color w:val="FF0000"/>
          <w:sz w:val="24"/>
          <w:szCs w:val="24"/>
          <w:lang w:val="fr-FR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color w:val="FF0000"/>
            <w:sz w:val="24"/>
            <w:szCs w:val="24"/>
            <w:lang w:val="fr-FR"/>
          </w:rPr>
          <m:t>Revenus/Effectif</m:t>
        </m:r>
      </m:oMath>
      <w:r w:rsidRPr="004E746A">
        <w:rPr>
          <w:rFonts w:ascii="Times New Roman" w:hAnsi="Times New Roman" w:cs="Times New Roman"/>
          <w:color w:val="FF0000"/>
          <w:sz w:val="24"/>
          <w:szCs w:val="24"/>
          <w:lang w:val="fr-FR"/>
        </w:rPr>
        <w:br/>
        <w:t>Résultat net par salarié</w:t>
      </w:r>
      <w:r w:rsidRPr="004E746A">
        <w:rPr>
          <w:rFonts w:ascii="Times New Roman" w:hAnsi="Times New Roman" w:cs="Times New Roman"/>
          <w:color w:val="FF0000"/>
          <w:sz w:val="24"/>
          <w:szCs w:val="24"/>
          <w:lang w:val="fr-FR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color w:val="FF0000"/>
            <w:sz w:val="24"/>
            <w:szCs w:val="24"/>
            <w:lang w:val="fr-FR"/>
          </w:rPr>
          <m:t>R</m:t>
        </m:r>
        <m:acc>
          <m:accPr>
            <m:chr m:val="ˊ"/>
            <m:ctrlPr>
              <w:rPr>
                <w:rFonts w:ascii="Cambria Math" w:hAnsi="Cambria Math" w:cs="Times New Roman"/>
                <w:color w:val="FF0000"/>
                <w:sz w:val="24"/>
                <w:szCs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color w:val="FF0000"/>
                <w:sz w:val="24"/>
                <w:szCs w:val="24"/>
                <w:lang w:val="fr-FR"/>
              </w:rPr>
              <m:t>e</m:t>
            </m:r>
          </m:e>
        </m:acc>
        <m:r>
          <m:rPr>
            <m:sty m:val="p"/>
          </m:rPr>
          <w:rPr>
            <w:rFonts w:ascii="Cambria Math" w:hAnsi="Cambria Math" w:cs="Times New Roman"/>
            <w:color w:val="FF0000"/>
            <w:sz w:val="24"/>
            <w:szCs w:val="24"/>
            <w:lang w:val="fr-FR"/>
          </w:rPr>
          <m:t>sultat Net/Effectif</m:t>
        </m:r>
      </m:oMath>
      <w:r w:rsidRPr="004E746A">
        <w:rPr>
          <w:rFonts w:ascii="Times New Roman" w:hAnsi="Times New Roman" w:cs="Times New Roman"/>
          <w:sz w:val="24"/>
          <w:szCs w:val="24"/>
          <w:lang w:val="fr-FR"/>
        </w:rPr>
        <w:br/>
      </w:r>
    </w:p>
    <w:p w14:paraId="1BBFD094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GESTION DES RISQUES</w:t>
      </w:r>
    </w:p>
    <w:p w14:paraId="3ECA35B9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Risque de placement = Placements / Actifs Courants</w:t>
      </w:r>
    </w:p>
    <w:p w14:paraId="6E7BDD09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Risque commercial = Clients Bruts / Revenus</w:t>
      </w:r>
    </w:p>
    <w:p w14:paraId="20DB9284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Crédit moyen clients = Clients Bruts / (Revenus / 365)</w:t>
      </w:r>
    </w:p>
    <w:p w14:paraId="22908954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Crédit moyen fournisseurs = Fournisseurs / (Achats Consommés / 365)</w:t>
      </w:r>
    </w:p>
    <w:p w14:paraId="452F088E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Score Conan &amp; Holder =</w:t>
      </w:r>
    </w:p>
    <w:p w14:paraId="3868114B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0.24*(Actifs Courants - </w:t>
      </w:r>
      <w:proofErr w:type="gramStart"/>
      <w:r w:rsidRPr="004E746A">
        <w:rPr>
          <w:rFonts w:ascii="Times New Roman" w:hAnsi="Times New Roman" w:cs="Times New Roman"/>
          <w:sz w:val="24"/>
          <w:szCs w:val="24"/>
          <w:lang w:val="fr-FR"/>
        </w:rPr>
        <w:t>Stocks)/</w:t>
      </w:r>
      <w:proofErr w:type="gramEnd"/>
      <w:r w:rsidRPr="004E746A">
        <w:rPr>
          <w:rFonts w:ascii="Times New Roman" w:hAnsi="Times New Roman" w:cs="Times New Roman"/>
          <w:sz w:val="24"/>
          <w:szCs w:val="24"/>
          <w:lang w:val="fr-FR"/>
        </w:rPr>
        <w:t>Total Actifs</w:t>
      </w:r>
    </w:p>
    <w:p w14:paraId="0B6C3EB2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+ 0.22*(Résultat net / Total Actifs)</w:t>
      </w:r>
    </w:p>
    <w:p w14:paraId="52ADDAFA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+ 0.16*(Revenus / Total Actifs)</w:t>
      </w:r>
    </w:p>
    <w:p w14:paraId="72B67804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- 0.87*(Charges de personnel / Total Actifs)</w:t>
      </w:r>
    </w:p>
    <w:p w14:paraId="5D27316E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lastRenderedPageBreak/>
        <w:t>- 0.10*(Dettes Long Terme / Total Actifs)</w:t>
      </w:r>
    </w:p>
    <w:p w14:paraId="43A02C17" w14:textId="77777777" w:rsidR="00866A47" w:rsidRPr="004E746A" w:rsidRDefault="00866A47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72C8541B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RENTABILITÉ</w:t>
      </w:r>
    </w:p>
    <w:p w14:paraId="276BEAD3" w14:textId="2574B174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Rentabilité commerciale = Résultat </w:t>
      </w:r>
      <w:r w:rsidR="00C9491E"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d’exploitation 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>Net / Revenus</w:t>
      </w:r>
    </w:p>
    <w:p w14:paraId="721C64AF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Marge nette = (Résultat Net / Revenus) * 100</w:t>
      </w:r>
    </w:p>
    <w:p w14:paraId="464F8B14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Rotation des capitaux = Revenus / Total Actifs</w:t>
      </w:r>
    </w:p>
    <w:p w14:paraId="749761B1" w14:textId="0CF993F0" w:rsidR="00866A47" w:rsidRPr="004E746A" w:rsidRDefault="00C9491E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</w:rPr>
        <w:t xml:space="preserve">ROA = Return </w:t>
      </w:r>
      <w:proofErr w:type="gramStart"/>
      <w:r w:rsidRPr="004E746A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Pr="004E746A">
        <w:rPr>
          <w:rFonts w:ascii="Times New Roman" w:hAnsi="Times New Roman" w:cs="Times New Roman"/>
          <w:sz w:val="24"/>
          <w:szCs w:val="24"/>
        </w:rPr>
        <w:t xml:space="preserve"> </w:t>
      </w:r>
      <w:r w:rsidR="00227F15" w:rsidRPr="004E746A">
        <w:rPr>
          <w:rFonts w:ascii="Times New Roman" w:hAnsi="Times New Roman" w:cs="Times New Roman"/>
          <w:sz w:val="24"/>
          <w:szCs w:val="24"/>
        </w:rPr>
        <w:t>Assets</w:t>
      </w:r>
      <w:r w:rsidR="00227F15"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(</w:t>
      </w:r>
      <w:r w:rsidR="00227F15" w:rsidRPr="004E746A">
        <w:rPr>
          <w:rFonts w:ascii="Times New Roman" w:hAnsi="Times New Roman" w:cs="Times New Roman"/>
          <w:color w:val="FF0000"/>
          <w:sz w:val="24"/>
          <w:szCs w:val="24"/>
          <w:lang w:val="fr-FR"/>
        </w:rPr>
        <w:t xml:space="preserve">Résultat d’Exploitation </w:t>
      </w:r>
      <w:r w:rsidR="00972ACA" w:rsidRPr="004E746A">
        <w:rPr>
          <w:rFonts w:ascii="Times New Roman" w:hAnsi="Times New Roman" w:cs="Times New Roman"/>
          <w:sz w:val="24"/>
          <w:szCs w:val="24"/>
          <w:lang w:val="fr-FR"/>
        </w:rPr>
        <w:t>/ Total Actifs) * 100</w:t>
      </w:r>
    </w:p>
    <w:p w14:paraId="6E8BC4ED" w14:textId="796AC93B" w:rsidR="00866A47" w:rsidRPr="004E746A" w:rsidRDefault="00C9491E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</w:rPr>
        <w:t xml:space="preserve">ROCE = Return On Capital </w:t>
      </w:r>
      <w:r w:rsidR="00227F15" w:rsidRPr="004E746A">
        <w:rPr>
          <w:rFonts w:ascii="Times New Roman" w:hAnsi="Times New Roman" w:cs="Times New Roman"/>
          <w:sz w:val="24"/>
          <w:szCs w:val="24"/>
        </w:rPr>
        <w:t>Employed</w:t>
      </w:r>
      <w:r w:rsidR="00227F15"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ROCE</w:t>
      </w:r>
      <w:r w:rsidR="00972ACA"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= (Résultat d’Exploitation / Ressources Stables) * 100</w:t>
      </w:r>
    </w:p>
    <w:p w14:paraId="030E9B3B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Rendement brut immobilisations = (EBE / Actifs Immobilisés) * 100</w:t>
      </w:r>
    </w:p>
    <w:p w14:paraId="6265E5E5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Rendement brut ressources stables = (EBE / Ressources Stables) * 100</w:t>
      </w:r>
    </w:p>
    <w:p w14:paraId="7A317CA0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Marge brute d’exploitation = (EBE / Revenus) * 100</w:t>
      </w:r>
    </w:p>
    <w:p w14:paraId="5786EF53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Marge bénéficiaire d’exploitation = (Résultat d’Exploitation / Revenus) * 100</w:t>
      </w:r>
    </w:p>
    <w:p w14:paraId="6E981DE3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Rendement de production = (Résultat d’Exploitation / Production) * 100</w:t>
      </w:r>
    </w:p>
    <w:p w14:paraId="5CBF8C64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Rotation des stocks = Achats Consommés / Stocks</w:t>
      </w:r>
    </w:p>
    <w:p w14:paraId="3B79CD24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Profit opérationnel = Résultat d’Exploitation</w:t>
      </w:r>
    </w:p>
    <w:p w14:paraId="4ABFBEBC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Création de valeur annuelle = Valeur Ajoutée</w:t>
      </w:r>
    </w:p>
    <w:p w14:paraId="39051846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ROE = (Résultat Net / Capitaux Propres) * 100</w:t>
      </w:r>
    </w:p>
    <w:p w14:paraId="13811770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Performance des placements = (Produits des placements / Placements) * 100</w:t>
      </w:r>
    </w:p>
    <w:p w14:paraId="5A6CEDA4" w14:textId="77777777" w:rsidR="00866A47" w:rsidRPr="004E746A" w:rsidRDefault="00972ACA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ROI = (Résultat Net / Ressources Stables) * 100</w:t>
      </w:r>
    </w:p>
    <w:p w14:paraId="619277CE" w14:textId="77777777" w:rsidR="00227F15" w:rsidRPr="004E746A" w:rsidRDefault="00227F15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171B4C40" w14:textId="078A0951" w:rsidR="00227F15" w:rsidRPr="004E746A" w:rsidRDefault="00227F15" w:rsidP="004E746A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  <w:lang w:val="fr-FR"/>
        </w:rPr>
      </w:pPr>
      <w:r w:rsidRPr="004E746A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  <w:lang w:val="fr-FR"/>
        </w:rPr>
        <w:t>Indicateurs</w:t>
      </w:r>
      <w:r w:rsidRPr="004E746A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  <w:lang w:val="fr-FR"/>
        </w:rPr>
        <w:t xml:space="preserve"> complémentaires fortement recommandés</w:t>
      </w:r>
    </w:p>
    <w:p w14:paraId="0D48E1A2" w14:textId="77777777" w:rsidR="00227F15" w:rsidRPr="004E746A" w:rsidRDefault="00227F15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Trésorerie</w:t>
      </w:r>
    </w:p>
    <w:p w14:paraId="0FE3BF73" w14:textId="4EBE5A62" w:rsidR="00227F15" w:rsidRPr="004E746A" w:rsidRDefault="00227F15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Trésorerie nette</w:t>
      </w: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fr-FR"/>
          </w:rPr>
          <m:t>Liquidit</m:t>
        </m:r>
        <m:acc>
          <m:accPr>
            <m:chr m:val="ˊ"/>
            <m:ctrlPr>
              <w:rPr>
                <w:rFonts w:ascii="Cambria Math" w:hAnsi="Cambria Math" w:cs="Times New Roman"/>
                <w:sz w:val="24"/>
                <w:szCs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fr-FR"/>
              </w:rPr>
              <m:t>e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fr-FR"/>
          </w:rPr>
          <m:t>s-Dettes Financi</m:t>
        </m:r>
        <m:acc>
          <m:accPr>
            <m:chr m:val="ˋ"/>
            <m:ctrlPr>
              <w:rPr>
                <w:rFonts w:ascii="Cambria Math" w:hAnsi="Cambria Math" w:cs="Times New Roman"/>
                <w:sz w:val="24"/>
                <w:szCs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fr-FR"/>
              </w:rPr>
              <m:t>e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fr-FR"/>
          </w:rPr>
          <m:t>res Court Terme</m:t>
        </m:r>
      </m:oMath>
    </w:p>
    <w:p w14:paraId="0F8DC527" w14:textId="661EB95C" w:rsidR="00227F15" w:rsidRPr="004E746A" w:rsidRDefault="004E746A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fr-FR"/>
            </w:rPr>
            <w:lastRenderedPageBreak/>
            <m:t>FR-BFR</m:t>
          </m:r>
          <m:r>
            <w:rPr>
              <w:rFonts w:ascii="Times New Roman" w:hAnsi="Times New Roman" w:cs="Times New Roman"/>
              <w:sz w:val="24"/>
              <w:szCs w:val="24"/>
              <w:lang w:val="fr-FR"/>
            </w:rPr>
            <w:br/>
          </m:r>
        </m:oMath>
      </m:oMathPara>
      <w:r w:rsidR="00227F15"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Cash Ratio renforcé</w:t>
      </w:r>
      <w:r w:rsidR="00935D42"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fr-FR"/>
          </w:rPr>
          <m:t>(Liquidit</m:t>
        </m:r>
        <m:acc>
          <m:accPr>
            <m:chr m:val="ˊ"/>
            <m:ctrlPr>
              <w:rPr>
                <w:rFonts w:ascii="Cambria Math" w:hAnsi="Cambria Math" w:cs="Times New Roman"/>
                <w:sz w:val="24"/>
                <w:szCs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fr-FR"/>
              </w:rPr>
              <m:t>e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fr-FR"/>
          </w:rPr>
          <m:t>s+Placements CT)/Passifs Courants</m:t>
        </m:r>
      </m:oMath>
      <w:r w:rsidR="00227F15" w:rsidRPr="004E746A">
        <w:rPr>
          <w:rFonts w:ascii="Times New Roman" w:hAnsi="Times New Roman" w:cs="Times New Roman"/>
          <w:sz w:val="24"/>
          <w:szCs w:val="24"/>
          <w:lang w:val="fr-FR"/>
        </w:rPr>
        <w:br/>
      </w:r>
      <w:r w:rsidR="00227F15"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Activité</w:t>
      </w:r>
    </w:p>
    <w:p w14:paraId="48E470B2" w14:textId="38400FB7" w:rsidR="003E1CF3" w:rsidRPr="004E746A" w:rsidRDefault="00227F15" w:rsidP="004E746A">
      <w:pPr>
        <w:pStyle w:val="Paragraphedeliste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Rotation de l'actif</w:t>
      </w:r>
      <w:r w:rsidR="00935D42"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fr-FR"/>
          </w:rPr>
          <m:t>Revenus/Total Actifs</m:t>
        </m:r>
      </m:oMath>
    </w:p>
    <w:p w14:paraId="3E1453CC" w14:textId="0720E4C7" w:rsidR="003E1CF3" w:rsidRPr="004E746A" w:rsidRDefault="003E1CF3" w:rsidP="004E746A">
      <w:pPr>
        <w:pStyle w:val="Paragraphedeliste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227F15"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Rotation des immobilisations</w:t>
      </w:r>
      <w:r w:rsidR="00935D42"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fr-FR"/>
          </w:rPr>
          <m:t>Revenus/Actifs Immobilis</m:t>
        </m:r>
        <m:acc>
          <m:accPr>
            <m:chr m:val="ˊ"/>
            <m:ctrlPr>
              <w:rPr>
                <w:rFonts w:ascii="Cambria Math" w:hAnsi="Cambria Math" w:cs="Times New Roman"/>
                <w:sz w:val="24"/>
                <w:szCs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fr-FR"/>
              </w:rPr>
              <m:t>e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fr-FR"/>
          </w:rPr>
          <m:t>s</m:t>
        </m:r>
      </m:oMath>
    </w:p>
    <w:p w14:paraId="17AB69F7" w14:textId="142A83F0" w:rsidR="003E1CF3" w:rsidRPr="004E746A" w:rsidRDefault="003E1CF3" w:rsidP="004E746A">
      <w:pPr>
        <w:pStyle w:val="Paragraphedeliste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746A">
        <w:rPr>
          <w:rFonts w:ascii="Times New Roman" w:hAnsi="Times New Roman" w:cs="Times New Roman"/>
          <w:sz w:val="24"/>
          <w:szCs w:val="24"/>
        </w:rPr>
        <w:t>Taux</w:t>
      </w:r>
      <w:proofErr w:type="spellEnd"/>
      <w:r w:rsidRPr="004E746A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4E746A">
        <w:rPr>
          <w:rFonts w:ascii="Times New Roman" w:hAnsi="Times New Roman" w:cs="Times New Roman"/>
          <w:sz w:val="24"/>
          <w:szCs w:val="24"/>
        </w:rPr>
        <w:t>renouvellement</w:t>
      </w:r>
      <w:proofErr w:type="spellEnd"/>
      <w:r w:rsidRPr="004E746A">
        <w:rPr>
          <w:rFonts w:ascii="Times New Roman" w:hAnsi="Times New Roman" w:cs="Times New Roman"/>
          <w:sz w:val="24"/>
          <w:szCs w:val="24"/>
        </w:rPr>
        <w:t xml:space="preserve"> des immobilisations Acquisitions </w:t>
      </w:r>
      <w:proofErr w:type="spellStart"/>
      <w:r w:rsidRPr="004E746A">
        <w:rPr>
          <w:rFonts w:ascii="Times New Roman" w:hAnsi="Times New Roman" w:cs="Times New Roman"/>
          <w:sz w:val="24"/>
          <w:szCs w:val="24"/>
        </w:rPr>
        <w:t>d'immobilisations</w:t>
      </w:r>
      <w:proofErr w:type="spellEnd"/>
      <w:r w:rsidRPr="004E746A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4E746A">
        <w:rPr>
          <w:rFonts w:ascii="Times New Roman" w:hAnsi="Times New Roman" w:cs="Times New Roman"/>
          <w:sz w:val="24"/>
          <w:szCs w:val="24"/>
        </w:rPr>
        <w:t>Immobilisations</w:t>
      </w:r>
      <w:proofErr w:type="spellEnd"/>
      <w:r w:rsidRPr="004E746A">
        <w:rPr>
          <w:rFonts w:ascii="Times New Roman" w:hAnsi="Times New Roman" w:cs="Times New Roman"/>
          <w:sz w:val="24"/>
          <w:szCs w:val="24"/>
        </w:rPr>
        <w:t xml:space="preserve"> brutes</w:t>
      </w:r>
    </w:p>
    <w:p w14:paraId="64F0F659" w14:textId="5B997E85" w:rsidR="003E1CF3" w:rsidRPr="004E746A" w:rsidRDefault="003E1CF3" w:rsidP="004E746A">
      <w:pPr>
        <w:pStyle w:val="Paragraphedeliste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746A">
        <w:rPr>
          <w:rFonts w:ascii="Times New Roman" w:hAnsi="Times New Roman" w:cs="Times New Roman"/>
          <w:sz w:val="24"/>
          <w:szCs w:val="24"/>
        </w:rPr>
        <w:t>Productivité</w:t>
      </w:r>
      <w:proofErr w:type="spellEnd"/>
      <w:r w:rsidRPr="004E746A">
        <w:rPr>
          <w:rFonts w:ascii="Times New Roman" w:hAnsi="Times New Roman" w:cs="Times New Roman"/>
          <w:sz w:val="24"/>
          <w:szCs w:val="24"/>
        </w:rPr>
        <w:t xml:space="preserve"> des </w:t>
      </w:r>
      <w:proofErr w:type="spellStart"/>
      <w:r w:rsidRPr="004E746A">
        <w:rPr>
          <w:rFonts w:ascii="Times New Roman" w:hAnsi="Times New Roman" w:cs="Times New Roman"/>
          <w:sz w:val="24"/>
          <w:szCs w:val="24"/>
        </w:rPr>
        <w:t>immobilisations</w:t>
      </w:r>
      <w:proofErr w:type="spellEnd"/>
      <w:r w:rsidRPr="004E746A">
        <w:rPr>
          <w:rFonts w:ascii="Times New Roman" w:hAnsi="Times New Roman" w:cs="Times New Roman"/>
          <w:sz w:val="24"/>
          <w:szCs w:val="24"/>
        </w:rPr>
        <w:t xml:space="preserve"> Chiffre d'affaires / </w:t>
      </w:r>
      <w:proofErr w:type="spellStart"/>
      <w:r w:rsidRPr="004E746A">
        <w:rPr>
          <w:rFonts w:ascii="Times New Roman" w:hAnsi="Times New Roman" w:cs="Times New Roman"/>
          <w:sz w:val="24"/>
          <w:szCs w:val="24"/>
        </w:rPr>
        <w:t>Immobilisations</w:t>
      </w:r>
      <w:proofErr w:type="spellEnd"/>
      <w:r w:rsidRPr="004E7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746A">
        <w:rPr>
          <w:rFonts w:ascii="Times New Roman" w:hAnsi="Times New Roman" w:cs="Times New Roman"/>
          <w:sz w:val="24"/>
          <w:szCs w:val="24"/>
        </w:rPr>
        <w:t>nettes</w:t>
      </w:r>
      <w:proofErr w:type="spellEnd"/>
    </w:p>
    <w:p w14:paraId="2B480FDD" w14:textId="59C208BB" w:rsidR="00935D42" w:rsidRPr="004E746A" w:rsidRDefault="003E1CF3" w:rsidP="004E746A">
      <w:pPr>
        <w:pStyle w:val="Paragraphedeliste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proofErr w:type="spellStart"/>
      <w:r w:rsidRPr="004E746A">
        <w:rPr>
          <w:rFonts w:ascii="Times New Roman" w:hAnsi="Times New Roman" w:cs="Times New Roman"/>
          <w:b/>
          <w:bCs/>
          <w:sz w:val="24"/>
          <w:szCs w:val="24"/>
        </w:rPr>
        <w:t>Achats</w:t>
      </w:r>
      <w:proofErr w:type="spellEnd"/>
      <w:r w:rsidRPr="004E746A">
        <w:rPr>
          <w:rFonts w:ascii="Times New Roman" w:hAnsi="Times New Roman" w:cs="Times New Roman"/>
          <w:b/>
          <w:bCs/>
          <w:sz w:val="24"/>
          <w:szCs w:val="24"/>
        </w:rPr>
        <w:t xml:space="preserve"> consommés sur chiffre </w:t>
      </w:r>
      <w:proofErr w:type="gramStart"/>
      <w:r w:rsidRPr="004E746A">
        <w:rPr>
          <w:rFonts w:ascii="Times New Roman" w:hAnsi="Times New Roman" w:cs="Times New Roman"/>
          <w:b/>
          <w:bCs/>
          <w:sz w:val="24"/>
          <w:szCs w:val="24"/>
        </w:rPr>
        <w:t>d'affaires</w:t>
      </w:r>
      <w:r w:rsidRPr="004E746A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4E7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746A">
        <w:rPr>
          <w:rFonts w:ascii="Times New Roman" w:hAnsi="Times New Roman" w:cs="Times New Roman"/>
          <w:b/>
          <w:bCs/>
          <w:sz w:val="24"/>
          <w:szCs w:val="24"/>
        </w:rPr>
        <w:t>Achats</w:t>
      </w:r>
      <w:proofErr w:type="spellEnd"/>
      <w:r w:rsidRPr="004E746A">
        <w:rPr>
          <w:rFonts w:ascii="Times New Roman" w:hAnsi="Times New Roman" w:cs="Times New Roman"/>
          <w:b/>
          <w:bCs/>
          <w:sz w:val="24"/>
          <w:szCs w:val="24"/>
        </w:rPr>
        <w:t xml:space="preserve"> consommés / Chiffre d'affaires × 100</w:t>
      </w:r>
    </w:p>
    <w:p w14:paraId="63EE7A1A" w14:textId="66A6E264" w:rsidR="00227F15" w:rsidRPr="004E746A" w:rsidRDefault="00227F15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Création de valeur</w:t>
      </w:r>
    </w:p>
    <w:p w14:paraId="1C5FB334" w14:textId="1C1FB3CA" w:rsidR="00227F15" w:rsidRPr="004E746A" w:rsidRDefault="00227F15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Taux de valeur ajoutée</w:t>
      </w:r>
      <w:r w:rsidR="00935D42"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fr-FR"/>
          </w:rPr>
          <m:t>Valeur Ajout</m:t>
        </m:r>
        <m:acc>
          <m:accPr>
            <m:chr m:val="ˊ"/>
            <m:ctrlPr>
              <w:rPr>
                <w:rFonts w:ascii="Cambria Math" w:hAnsi="Cambria Math" w:cs="Times New Roman"/>
                <w:sz w:val="24"/>
                <w:szCs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fr-FR"/>
              </w:rPr>
              <m:t>e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fr-FR"/>
          </w:rPr>
          <m:t>e/Revenus</m:t>
        </m:r>
      </m:oMath>
      <w:r w:rsidRPr="004E746A">
        <w:rPr>
          <w:rFonts w:ascii="Times New Roman" w:hAnsi="Times New Roman" w:cs="Times New Roman"/>
          <w:sz w:val="24"/>
          <w:szCs w:val="24"/>
          <w:lang w:val="fr-FR"/>
        </w:rPr>
        <w:br/>
      </w: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Part du personnel dans la VA</w:t>
      </w:r>
      <w:r w:rsidR="00935D42"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fr-FR"/>
          </w:rPr>
          <m:t>Charges de personnel/Valeur Ajout</m:t>
        </m:r>
        <m:acc>
          <m:accPr>
            <m:chr m:val="ˊ"/>
            <m:ctrlPr>
              <w:rPr>
                <w:rFonts w:ascii="Cambria Math" w:hAnsi="Cambria Math" w:cs="Times New Roman"/>
                <w:sz w:val="24"/>
                <w:szCs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fr-FR"/>
              </w:rPr>
              <m:t>e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fr-FR"/>
          </w:rPr>
          <m:t>e</m:t>
        </m:r>
      </m:oMath>
      <w:r w:rsidRPr="004E746A">
        <w:rPr>
          <w:rFonts w:ascii="Times New Roman" w:hAnsi="Times New Roman" w:cs="Times New Roman"/>
          <w:sz w:val="24"/>
          <w:szCs w:val="24"/>
          <w:lang w:val="fr-FR"/>
        </w:rPr>
        <w:br/>
      </w: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Structure financière</w:t>
      </w:r>
    </w:p>
    <w:p w14:paraId="357F79AA" w14:textId="32678498" w:rsidR="00227F15" w:rsidRPr="004E746A" w:rsidRDefault="003E1CF3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</w:rPr>
        <w:t xml:space="preserve">Ratio </w:t>
      </w:r>
      <w:proofErr w:type="spellStart"/>
      <w:r w:rsidRPr="004E746A">
        <w:rPr>
          <w:rFonts w:ascii="Times New Roman" w:hAnsi="Times New Roman" w:cs="Times New Roman"/>
          <w:b/>
          <w:bCs/>
          <w:sz w:val="24"/>
          <w:szCs w:val="24"/>
        </w:rPr>
        <w:t>d'endettement</w:t>
      </w:r>
      <w:proofErr w:type="spellEnd"/>
      <w:r w:rsidRPr="004E7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4E746A">
        <w:rPr>
          <w:rFonts w:ascii="Times New Roman" w:hAnsi="Times New Roman" w:cs="Times New Roman"/>
          <w:b/>
          <w:bCs/>
          <w:sz w:val="24"/>
          <w:szCs w:val="24"/>
        </w:rPr>
        <w:t>financier</w:t>
      </w: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 </w:t>
      </w:r>
      <w:r w:rsidR="00227F15"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Gearing</w:t>
      </w:r>
      <w:proofErr w:type="gramEnd"/>
      <w:r w:rsidR="00935D42"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fr-FR"/>
          </w:rPr>
          <m:t>Dettes Financi</m:t>
        </m:r>
        <m:acc>
          <m:accPr>
            <m:chr m:val="ˋ"/>
            <m:ctrlPr>
              <w:rPr>
                <w:rFonts w:ascii="Cambria Math" w:hAnsi="Cambria Math" w:cs="Times New Roman"/>
                <w:sz w:val="24"/>
                <w:szCs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fr-FR"/>
              </w:rPr>
              <m:t>e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fr-FR"/>
          </w:rPr>
          <m:t>res Nettes/Capitaux Propres</m:t>
        </m:r>
      </m:oMath>
      <w:r w:rsidR="00227F15" w:rsidRPr="004E746A">
        <w:rPr>
          <w:rFonts w:ascii="Times New Roman" w:hAnsi="Times New Roman" w:cs="Times New Roman"/>
          <w:sz w:val="24"/>
          <w:szCs w:val="24"/>
          <w:lang w:val="fr-FR"/>
        </w:rPr>
        <w:br/>
      </w:r>
      <w:r w:rsidR="00227F15"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Couverture des intérêts</w:t>
      </w:r>
      <w:r w:rsidR="00935D42"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fr-FR"/>
          </w:rPr>
          <m:t>R</m:t>
        </m:r>
        <m:acc>
          <m:accPr>
            <m:chr m:val="ˊ"/>
            <m:ctrlPr>
              <w:rPr>
                <w:rFonts w:ascii="Cambria Math" w:hAnsi="Cambria Math" w:cs="Times New Roman"/>
                <w:sz w:val="24"/>
                <w:szCs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fr-FR"/>
              </w:rPr>
              <m:t>e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fr-FR"/>
          </w:rPr>
          <m:t>sultat 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  <w:lang w:val="fr-FR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fr-FR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fr-FR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fr-FR"/>
          </w:rPr>
          <m:t>Exploitation/Charges Financi</m:t>
        </m:r>
        <m:acc>
          <m:accPr>
            <m:chr m:val="ˋ"/>
            <m:ctrlPr>
              <w:rPr>
                <w:rFonts w:ascii="Cambria Math" w:hAnsi="Cambria Math" w:cs="Times New Roman"/>
                <w:sz w:val="24"/>
                <w:szCs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fr-FR"/>
              </w:rPr>
              <m:t>e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fr-FR"/>
          </w:rPr>
          <m:t>res</m:t>
        </m:r>
      </m:oMath>
      <w:r w:rsidR="00227F15" w:rsidRPr="004E746A">
        <w:rPr>
          <w:rFonts w:ascii="Times New Roman" w:hAnsi="Times New Roman" w:cs="Times New Roman"/>
          <w:sz w:val="24"/>
          <w:szCs w:val="24"/>
          <w:lang w:val="fr-FR"/>
        </w:rPr>
        <w:br/>
      </w:r>
    </w:p>
    <w:p w14:paraId="0D767FA1" w14:textId="77777777" w:rsidR="00227F15" w:rsidRPr="004E746A" w:rsidRDefault="00227F15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Cycle d'exploitation</w:t>
      </w:r>
    </w:p>
    <w:p w14:paraId="2BDA4255" w14:textId="6EDDD9AC" w:rsidR="00227F15" w:rsidRPr="004E746A" w:rsidRDefault="00935D42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</w:rPr>
        <w:t>Delai</w:t>
      </w:r>
      <w:r w:rsidRPr="004E746A">
        <w:rPr>
          <w:rFonts w:ascii="Times New Roman" w:hAnsi="Times New Roman" w:cs="Times New Roman"/>
          <w:b/>
          <w:bCs/>
          <w:sz w:val="24"/>
          <w:szCs w:val="24"/>
        </w:rPr>
        <w:t xml:space="preserve"> moyen de recouvrement </w:t>
      </w:r>
      <w:r w:rsidRPr="004E746A">
        <w:rPr>
          <w:rFonts w:ascii="Times New Roman" w:hAnsi="Times New Roman" w:cs="Times New Roman"/>
          <w:b/>
          <w:bCs/>
          <w:sz w:val="24"/>
          <w:szCs w:val="24"/>
        </w:rPr>
        <w:t>client’s</w:t>
      </w:r>
      <w:r w:rsidRPr="004E7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746A">
        <w:rPr>
          <w:rFonts w:ascii="Times New Roman" w:hAnsi="Times New Roman" w:cs="Times New Roman"/>
          <w:b/>
          <w:bCs/>
          <w:sz w:val="24"/>
          <w:szCs w:val="24"/>
        </w:rPr>
        <w:t>ou</w:t>
      </w:r>
      <w:proofErr w:type="spellEnd"/>
      <w:r w:rsidRPr="004E746A">
        <w:rPr>
          <w:rFonts w:ascii="Times New Roman" w:hAnsi="Times New Roman" w:cs="Times New Roman"/>
          <w:b/>
          <w:bCs/>
          <w:sz w:val="24"/>
          <w:szCs w:val="24"/>
        </w:rPr>
        <w:t xml:space="preserve"> Durée </w:t>
      </w:r>
      <w:r w:rsidRPr="004E746A">
        <w:rPr>
          <w:rFonts w:ascii="Times New Roman" w:hAnsi="Times New Roman" w:cs="Times New Roman"/>
          <w:b/>
          <w:bCs/>
          <w:sz w:val="24"/>
          <w:szCs w:val="24"/>
        </w:rPr>
        <w:t>Moyenne</w:t>
      </w:r>
      <w:r w:rsidRPr="004E746A">
        <w:rPr>
          <w:rFonts w:ascii="Times New Roman" w:hAnsi="Times New Roman" w:cs="Times New Roman"/>
          <w:b/>
          <w:bCs/>
          <w:sz w:val="24"/>
          <w:szCs w:val="24"/>
        </w:rPr>
        <w:t xml:space="preserve"> du </w:t>
      </w:r>
      <w:r w:rsidRPr="004E746A">
        <w:rPr>
          <w:rFonts w:ascii="Times New Roman" w:hAnsi="Times New Roman" w:cs="Times New Roman"/>
          <w:b/>
          <w:bCs/>
          <w:sz w:val="24"/>
          <w:szCs w:val="24"/>
        </w:rPr>
        <w:t>credit</w:t>
      </w:r>
      <w:r w:rsidRPr="004E746A">
        <w:rPr>
          <w:rFonts w:ascii="Times New Roman" w:hAnsi="Times New Roman" w:cs="Times New Roman"/>
          <w:b/>
          <w:bCs/>
          <w:sz w:val="24"/>
          <w:szCs w:val="24"/>
        </w:rPr>
        <w:t xml:space="preserve"> clients</w:t>
      </w: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fr-FR"/>
          </w:rPr>
          <m:t>Clients/(Revenus/365)</m:t>
        </m:r>
      </m:oMath>
      <w:r w:rsidR="00227F15" w:rsidRPr="004E746A">
        <w:rPr>
          <w:rFonts w:ascii="Times New Roman" w:hAnsi="Times New Roman" w:cs="Times New Roman"/>
          <w:sz w:val="24"/>
          <w:szCs w:val="24"/>
          <w:lang w:val="fr-FR"/>
        </w:rPr>
        <w:br/>
      </w:r>
      <w:r w:rsidRPr="004E746A">
        <w:rPr>
          <w:rFonts w:ascii="Times New Roman" w:hAnsi="Times New Roman" w:cs="Times New Roman"/>
          <w:b/>
          <w:bCs/>
          <w:sz w:val="24"/>
          <w:szCs w:val="24"/>
        </w:rPr>
        <w:t>Delai</w:t>
      </w:r>
      <w:r w:rsidRPr="004E746A">
        <w:rPr>
          <w:rFonts w:ascii="Times New Roman" w:hAnsi="Times New Roman" w:cs="Times New Roman"/>
          <w:b/>
          <w:bCs/>
          <w:sz w:val="24"/>
          <w:szCs w:val="24"/>
        </w:rPr>
        <w:t xml:space="preserve"> moyen de </w:t>
      </w:r>
      <w:r w:rsidRPr="004E746A">
        <w:rPr>
          <w:rFonts w:ascii="Times New Roman" w:hAnsi="Times New Roman" w:cs="Times New Roman"/>
          <w:b/>
          <w:bCs/>
          <w:sz w:val="24"/>
          <w:szCs w:val="24"/>
        </w:rPr>
        <w:t>Paiement</w:t>
      </w:r>
      <w:r w:rsidRPr="004E7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E746A">
        <w:rPr>
          <w:rFonts w:ascii="Times New Roman" w:hAnsi="Times New Roman" w:cs="Times New Roman"/>
          <w:b/>
          <w:bCs/>
          <w:sz w:val="24"/>
          <w:szCs w:val="24"/>
        </w:rPr>
        <w:t>furnishers</w:t>
      </w:r>
      <w:r w:rsidRPr="004E7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746A">
        <w:rPr>
          <w:rFonts w:ascii="Times New Roman" w:hAnsi="Times New Roman" w:cs="Times New Roman"/>
          <w:b/>
          <w:bCs/>
          <w:sz w:val="24"/>
          <w:szCs w:val="24"/>
        </w:rPr>
        <w:t>ou</w:t>
      </w:r>
      <w:proofErr w:type="spellEnd"/>
      <w:r w:rsidRPr="004E746A">
        <w:rPr>
          <w:rFonts w:ascii="Times New Roman" w:hAnsi="Times New Roman" w:cs="Times New Roman"/>
          <w:b/>
          <w:bCs/>
          <w:sz w:val="24"/>
          <w:szCs w:val="24"/>
        </w:rPr>
        <w:t xml:space="preserve"> Durée </w:t>
      </w:r>
      <w:r w:rsidRPr="004E746A">
        <w:rPr>
          <w:rFonts w:ascii="Times New Roman" w:hAnsi="Times New Roman" w:cs="Times New Roman"/>
          <w:b/>
          <w:bCs/>
          <w:sz w:val="24"/>
          <w:szCs w:val="24"/>
        </w:rPr>
        <w:t>Moyenne</w:t>
      </w:r>
      <w:r w:rsidRPr="004E746A">
        <w:rPr>
          <w:rFonts w:ascii="Times New Roman" w:hAnsi="Times New Roman" w:cs="Times New Roman"/>
          <w:b/>
          <w:bCs/>
          <w:sz w:val="24"/>
          <w:szCs w:val="24"/>
        </w:rPr>
        <w:t xml:space="preserve"> du </w:t>
      </w:r>
      <w:r w:rsidRPr="004E746A">
        <w:rPr>
          <w:rFonts w:ascii="Times New Roman" w:hAnsi="Times New Roman" w:cs="Times New Roman"/>
          <w:b/>
          <w:bCs/>
          <w:sz w:val="24"/>
          <w:szCs w:val="24"/>
        </w:rPr>
        <w:t>credit</w:t>
      </w:r>
      <w:r w:rsidRPr="004E7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746A">
        <w:rPr>
          <w:rFonts w:ascii="Times New Roman" w:hAnsi="Times New Roman" w:cs="Times New Roman"/>
          <w:b/>
          <w:bCs/>
          <w:sz w:val="24"/>
          <w:szCs w:val="24"/>
        </w:rPr>
        <w:t>fournisseurs</w:t>
      </w:r>
      <w:proofErr w:type="spellEnd"/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fr-FR"/>
          </w:rPr>
          <m:t>Fournisseurs/(Achats Consomm</m:t>
        </m:r>
        <m:acc>
          <m:accPr>
            <m:chr m:val="ˊ"/>
            <m:ctrlPr>
              <w:rPr>
                <w:rFonts w:ascii="Cambria Math" w:hAnsi="Cambria Math" w:cs="Times New Roman"/>
                <w:sz w:val="24"/>
                <w:szCs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fr-FR"/>
              </w:rPr>
              <m:t>e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fr-FR"/>
          </w:rPr>
          <m:t>s/365)</m:t>
        </m:r>
      </m:oMath>
    </w:p>
    <w:p w14:paraId="0EA77654" w14:textId="36EA5428" w:rsidR="00227F15" w:rsidRPr="004E746A" w:rsidRDefault="00935D42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</w:rPr>
        <w:t xml:space="preserve">Durée </w:t>
      </w:r>
      <w:r w:rsidRPr="004E746A">
        <w:rPr>
          <w:rFonts w:ascii="Times New Roman" w:hAnsi="Times New Roman" w:cs="Times New Roman"/>
          <w:b/>
          <w:bCs/>
          <w:sz w:val="24"/>
          <w:szCs w:val="24"/>
        </w:rPr>
        <w:t>Moyenne</w:t>
      </w:r>
      <w:r w:rsidRPr="004E746A">
        <w:rPr>
          <w:rFonts w:ascii="Times New Roman" w:hAnsi="Times New Roman" w:cs="Times New Roman"/>
          <w:b/>
          <w:bCs/>
          <w:sz w:val="24"/>
          <w:szCs w:val="24"/>
        </w:rPr>
        <w:t xml:space="preserve"> de stockage </w:t>
      </w:r>
      <w:proofErr w:type="spellStart"/>
      <w:r w:rsidRPr="004E746A">
        <w:rPr>
          <w:rFonts w:ascii="Times New Roman" w:hAnsi="Times New Roman" w:cs="Times New Roman"/>
          <w:b/>
          <w:bCs/>
          <w:sz w:val="24"/>
          <w:szCs w:val="24"/>
        </w:rPr>
        <w:t>ou</w:t>
      </w:r>
      <w:proofErr w:type="spellEnd"/>
      <w:r w:rsidRPr="004E746A">
        <w:rPr>
          <w:rFonts w:ascii="Times New Roman" w:hAnsi="Times New Roman" w:cs="Times New Roman"/>
          <w:b/>
          <w:bCs/>
          <w:sz w:val="24"/>
          <w:szCs w:val="24"/>
        </w:rPr>
        <w:t xml:space="preserve"> Durée </w:t>
      </w:r>
      <w:r w:rsidRPr="004E746A">
        <w:rPr>
          <w:rFonts w:ascii="Times New Roman" w:hAnsi="Times New Roman" w:cs="Times New Roman"/>
          <w:b/>
          <w:bCs/>
          <w:sz w:val="24"/>
          <w:szCs w:val="24"/>
        </w:rPr>
        <w:t>Moyenne</w:t>
      </w:r>
      <w:r w:rsidRPr="004E7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746A">
        <w:rPr>
          <w:rFonts w:ascii="Times New Roman" w:hAnsi="Times New Roman" w:cs="Times New Roman"/>
          <w:b/>
          <w:bCs/>
          <w:sz w:val="24"/>
          <w:szCs w:val="24"/>
        </w:rPr>
        <w:t>d'écoulement</w:t>
      </w:r>
      <w:proofErr w:type="spellEnd"/>
      <w:r w:rsidRPr="004E746A">
        <w:rPr>
          <w:rFonts w:ascii="Times New Roman" w:hAnsi="Times New Roman" w:cs="Times New Roman"/>
          <w:b/>
          <w:bCs/>
          <w:sz w:val="24"/>
          <w:szCs w:val="24"/>
        </w:rPr>
        <w:t xml:space="preserve"> des stocks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fr-FR"/>
          </w:rPr>
          <m:t>Stocks/(Achats Consomm</m:t>
        </m:r>
        <m:acc>
          <m:accPr>
            <m:chr m:val="ˊ"/>
            <m:ctrlPr>
              <w:rPr>
                <w:rFonts w:ascii="Cambria Math" w:hAnsi="Cambria Math" w:cs="Times New Roman"/>
                <w:sz w:val="24"/>
                <w:szCs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fr-FR"/>
              </w:rPr>
              <m:t>e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fr-FR"/>
          </w:rPr>
          <m:t>s/365)</m:t>
        </m:r>
      </m:oMath>
      <w:r w:rsidR="00227F15" w:rsidRPr="004E746A">
        <w:rPr>
          <w:rFonts w:ascii="Times New Roman" w:hAnsi="Times New Roman" w:cs="Times New Roman"/>
          <w:sz w:val="24"/>
          <w:szCs w:val="24"/>
          <w:lang w:val="fr-FR"/>
        </w:rPr>
        <w:br/>
      </w:r>
    </w:p>
    <w:p w14:paraId="0E90E77D" w14:textId="77777777" w:rsidR="00222FCF" w:rsidRPr="004E746A" w:rsidRDefault="00222FCF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EXTRAIT DU RÉFÉRENTIEL INDUSTRIEL NORMALISÉ</w:t>
      </w:r>
    </w:p>
    <w:p w14:paraId="32D14B59" w14:textId="77777777" w:rsidR="00222FCF" w:rsidRPr="004E746A" w:rsidRDefault="00222FCF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En se basant </w:t>
      </w:r>
    </w:p>
    <w:p w14:paraId="69D6403B" w14:textId="32858A06" w:rsidR="00222FCF" w:rsidRPr="004E746A" w:rsidRDefault="00222FCF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Notre </w:t>
      </w: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modèle est basé sur 4 couches de référence :</w:t>
      </w:r>
    </w:p>
    <w:p w14:paraId="5B6AF9F7" w14:textId="5F0262BF" w:rsidR="00222FCF" w:rsidRPr="004E746A" w:rsidRDefault="00222FCF" w:rsidP="004E746A">
      <w:pPr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N</w:t>
      </w: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ormes comptables </w:t>
      </w: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NCT </w:t>
      </w: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→ données de base </w:t>
      </w:r>
    </w:p>
    <w:p w14:paraId="32044D1A" w14:textId="77777777" w:rsidR="00222FCF" w:rsidRPr="004E746A" w:rsidRDefault="00222FCF" w:rsidP="004E746A">
      <w:pPr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Analyse financière (banques) → ratios financiers </w:t>
      </w:r>
    </w:p>
    <w:p w14:paraId="6A0EA626" w14:textId="77777777" w:rsidR="00222FCF" w:rsidRPr="004E746A" w:rsidRDefault="00222FCF" w:rsidP="004E746A">
      <w:pPr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Références industrielles (INSEE / OCDE) → benchmarks </w:t>
      </w:r>
    </w:p>
    <w:p w14:paraId="4F08F97D" w14:textId="77777777" w:rsidR="00222FCF" w:rsidRPr="004E746A" w:rsidRDefault="00222FCF" w:rsidP="004E746A">
      <w:pPr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Modèles internes (</w:t>
      </w:r>
      <w:proofErr w:type="spellStart"/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scoring</w:t>
      </w:r>
      <w:proofErr w:type="spellEnd"/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) → décision</w:t>
      </w:r>
    </w:p>
    <w:p w14:paraId="0593C682" w14:textId="265809A7" w:rsidR="00222FCF" w:rsidRPr="004E746A" w:rsidRDefault="00222FCF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680D5B88" w14:textId="77777777" w:rsidR="00222FCF" w:rsidRPr="004E746A" w:rsidRDefault="00222FCF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GESTION DES LIQUIDITÉS</w:t>
      </w:r>
    </w:p>
    <w:p w14:paraId="5D16D0B3" w14:textId="70D68D36" w:rsidR="00222FCF" w:rsidRPr="004E746A" w:rsidRDefault="00222FCF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Ratio de liquidité générale</w:t>
      </w:r>
      <w:r w:rsidR="00BD4E30"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>Actifs Courants / Passifs Courants</w:t>
      </w:r>
    </w:p>
    <w:p w14:paraId="3969295C" w14:textId="2589EED8" w:rsidR="00BD4E30" w:rsidRPr="004E746A" w:rsidRDefault="00BD4E30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Il 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>Mesure la capacité de l'entreprise à couvrir ses dettes à court terme par ses actifs à court terme.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Le 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>Benchmark industriel :1,5 à 2,0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575"/>
      </w:tblGrid>
      <w:tr w:rsidR="00222FCF" w:rsidRPr="004E746A" w14:paraId="58E0C2CF" w14:textId="77777777" w:rsidTr="00BD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78823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Valeur</w:t>
            </w:r>
          </w:p>
        </w:tc>
        <w:tc>
          <w:tcPr>
            <w:tcW w:w="0" w:type="auto"/>
            <w:vAlign w:val="center"/>
            <w:hideMark/>
          </w:tcPr>
          <w:p w14:paraId="73CEA019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Note</w:t>
            </w:r>
          </w:p>
        </w:tc>
      </w:tr>
      <w:tr w:rsidR="00222FCF" w:rsidRPr="004E746A" w14:paraId="3F2CFCDE" w14:textId="77777777" w:rsidTr="00BD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E7669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&lt; 1,0</w:t>
            </w:r>
          </w:p>
        </w:tc>
        <w:tc>
          <w:tcPr>
            <w:tcW w:w="0" w:type="auto"/>
            <w:vAlign w:val="center"/>
            <w:hideMark/>
          </w:tcPr>
          <w:p w14:paraId="7731739B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</w:t>
            </w:r>
          </w:p>
        </w:tc>
      </w:tr>
      <w:tr w:rsidR="00222FCF" w:rsidRPr="004E746A" w14:paraId="4000987A" w14:textId="77777777" w:rsidTr="00BD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D985B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1,0 - 1,2</w:t>
            </w:r>
          </w:p>
        </w:tc>
        <w:tc>
          <w:tcPr>
            <w:tcW w:w="0" w:type="auto"/>
            <w:vAlign w:val="center"/>
            <w:hideMark/>
          </w:tcPr>
          <w:p w14:paraId="24FAAE61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</w:t>
            </w:r>
          </w:p>
        </w:tc>
      </w:tr>
      <w:tr w:rsidR="00222FCF" w:rsidRPr="004E746A" w14:paraId="0EE15772" w14:textId="77777777" w:rsidTr="00BD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666F8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1,2 - 1,5</w:t>
            </w:r>
          </w:p>
        </w:tc>
        <w:tc>
          <w:tcPr>
            <w:tcW w:w="0" w:type="auto"/>
            <w:vAlign w:val="center"/>
            <w:hideMark/>
          </w:tcPr>
          <w:p w14:paraId="2F093274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222FCF" w:rsidRPr="004E746A" w14:paraId="0A4C8A3F" w14:textId="77777777" w:rsidTr="00BD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478F1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1,5 - 2,0</w:t>
            </w:r>
          </w:p>
        </w:tc>
        <w:tc>
          <w:tcPr>
            <w:tcW w:w="0" w:type="auto"/>
            <w:vAlign w:val="center"/>
            <w:hideMark/>
          </w:tcPr>
          <w:p w14:paraId="5900AF28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</w:t>
            </w:r>
          </w:p>
        </w:tc>
      </w:tr>
      <w:tr w:rsidR="00222FCF" w:rsidRPr="004E746A" w14:paraId="7FAB9FFE" w14:textId="77777777" w:rsidTr="00BD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037E7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&gt; 2,0</w:t>
            </w:r>
          </w:p>
        </w:tc>
        <w:tc>
          <w:tcPr>
            <w:tcW w:w="0" w:type="auto"/>
            <w:vAlign w:val="center"/>
            <w:hideMark/>
          </w:tcPr>
          <w:p w14:paraId="474D686B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</w:t>
            </w:r>
          </w:p>
        </w:tc>
      </w:tr>
    </w:tbl>
    <w:p w14:paraId="0EE6ABC0" w14:textId="77777777" w:rsidR="00BD4E30" w:rsidRPr="004E746A" w:rsidRDefault="00BD4E30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12A369E5" w14:textId="0585C1B1" w:rsidR="00BD4E30" w:rsidRPr="004E746A" w:rsidRDefault="00222FCF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Ratio de liquidité réduite</w:t>
      </w:r>
      <w:r w:rsidR="00BD4E30"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>(Actifs Courants - Stocks) / Passifs Courants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br/>
      </w:r>
      <w:r w:rsidR="00BD4E30"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Ce ratio 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Mesure la capacité de remboursement à court terme sans vendre les </w:t>
      </w:r>
      <w:r w:rsidR="00BD4E30"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stocks. Le </w:t>
      </w:r>
      <w:r w:rsidR="00BD4E30" w:rsidRPr="004E746A">
        <w:rPr>
          <w:rFonts w:ascii="Times New Roman" w:hAnsi="Times New Roman" w:cs="Times New Roman"/>
          <w:sz w:val="24"/>
          <w:szCs w:val="24"/>
          <w:lang w:val="fr-FR"/>
        </w:rPr>
        <w:t>Benchmark :0,9 à 1,2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562"/>
      </w:tblGrid>
      <w:tr w:rsidR="00222FCF" w:rsidRPr="004E746A" w14:paraId="1BE756DC" w14:textId="77777777" w:rsidTr="00BD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6581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Valeur</w:t>
            </w:r>
          </w:p>
        </w:tc>
        <w:tc>
          <w:tcPr>
            <w:tcW w:w="0" w:type="auto"/>
            <w:vAlign w:val="center"/>
            <w:hideMark/>
          </w:tcPr>
          <w:p w14:paraId="2EF8DA9C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Note</w:t>
            </w:r>
          </w:p>
        </w:tc>
      </w:tr>
      <w:tr w:rsidR="00222FCF" w:rsidRPr="004E746A" w14:paraId="094B2790" w14:textId="77777777" w:rsidTr="00BD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BF4A4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&lt; 0,7</w:t>
            </w:r>
          </w:p>
        </w:tc>
        <w:tc>
          <w:tcPr>
            <w:tcW w:w="0" w:type="auto"/>
            <w:vAlign w:val="center"/>
            <w:hideMark/>
          </w:tcPr>
          <w:p w14:paraId="20E4EC54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</w:t>
            </w:r>
          </w:p>
        </w:tc>
      </w:tr>
      <w:tr w:rsidR="00222FCF" w:rsidRPr="004E746A" w14:paraId="3F392467" w14:textId="77777777" w:rsidTr="00BD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97902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0,7 - 0,9</w:t>
            </w:r>
          </w:p>
        </w:tc>
        <w:tc>
          <w:tcPr>
            <w:tcW w:w="0" w:type="auto"/>
            <w:vAlign w:val="center"/>
            <w:hideMark/>
          </w:tcPr>
          <w:p w14:paraId="6EE41651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222FCF" w:rsidRPr="004E746A" w14:paraId="724B433F" w14:textId="77777777" w:rsidTr="00BD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64A61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0,9 - 1,2</w:t>
            </w:r>
          </w:p>
        </w:tc>
        <w:tc>
          <w:tcPr>
            <w:tcW w:w="0" w:type="auto"/>
            <w:vAlign w:val="center"/>
            <w:hideMark/>
          </w:tcPr>
          <w:p w14:paraId="53D01F3D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</w:t>
            </w:r>
          </w:p>
        </w:tc>
      </w:tr>
      <w:tr w:rsidR="00222FCF" w:rsidRPr="004E746A" w14:paraId="525EE6AF" w14:textId="77777777" w:rsidTr="00BD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FAACB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&gt; 1,2</w:t>
            </w:r>
          </w:p>
        </w:tc>
        <w:tc>
          <w:tcPr>
            <w:tcW w:w="0" w:type="auto"/>
            <w:vAlign w:val="center"/>
            <w:hideMark/>
          </w:tcPr>
          <w:p w14:paraId="0D27FE99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</w:t>
            </w:r>
          </w:p>
        </w:tc>
      </w:tr>
    </w:tbl>
    <w:p w14:paraId="1ABEF933" w14:textId="0001C64E" w:rsidR="00222FCF" w:rsidRPr="004E746A" w:rsidRDefault="00222FCF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3F01C619" w14:textId="23887870" w:rsidR="00222FCF" w:rsidRPr="004E746A" w:rsidRDefault="00222FCF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Ratio de liquidité immédiate</w:t>
      </w:r>
      <w:r w:rsidR="00BD4E30"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>Liquidités / Passifs Courants</w:t>
      </w:r>
    </w:p>
    <w:p w14:paraId="3C57D82E" w14:textId="6FBFA395" w:rsidR="006E343B" w:rsidRPr="004E746A" w:rsidRDefault="00BD4E30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Ce ratio m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>esure la couverture immédiate des dettes exigibles.</w:t>
      </w:r>
      <w:r w:rsidR="006E343B"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Le b</w:t>
      </w:r>
      <w:r w:rsidR="006E343B" w:rsidRPr="004E746A">
        <w:rPr>
          <w:rFonts w:ascii="Times New Roman" w:hAnsi="Times New Roman" w:cs="Times New Roman"/>
          <w:sz w:val="24"/>
          <w:szCs w:val="24"/>
          <w:lang w:val="fr-FR"/>
        </w:rPr>
        <w:t>enchmark :</w:t>
      </w:r>
      <w:r w:rsidR="006E343B"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6E343B" w:rsidRPr="004E746A">
        <w:rPr>
          <w:rFonts w:ascii="Times New Roman" w:hAnsi="Times New Roman" w:cs="Times New Roman"/>
          <w:sz w:val="24"/>
          <w:szCs w:val="24"/>
          <w:lang w:val="fr-FR"/>
        </w:rPr>
        <w:t>0,30 à 0,80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62"/>
      </w:tblGrid>
      <w:tr w:rsidR="00222FCF" w:rsidRPr="004E746A" w14:paraId="7A153FDE" w14:textId="77777777" w:rsidTr="00BD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707F0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Valeur</w:t>
            </w:r>
          </w:p>
        </w:tc>
        <w:tc>
          <w:tcPr>
            <w:tcW w:w="0" w:type="auto"/>
            <w:vAlign w:val="center"/>
            <w:hideMark/>
          </w:tcPr>
          <w:p w14:paraId="5C386205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Note</w:t>
            </w:r>
          </w:p>
        </w:tc>
      </w:tr>
      <w:tr w:rsidR="00222FCF" w:rsidRPr="004E746A" w14:paraId="56046ECD" w14:textId="77777777" w:rsidTr="00BD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010A0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>&lt; 0,15</w:t>
            </w:r>
          </w:p>
        </w:tc>
        <w:tc>
          <w:tcPr>
            <w:tcW w:w="0" w:type="auto"/>
            <w:vAlign w:val="center"/>
            <w:hideMark/>
          </w:tcPr>
          <w:p w14:paraId="60CA9008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</w:t>
            </w:r>
          </w:p>
        </w:tc>
      </w:tr>
      <w:tr w:rsidR="00222FCF" w:rsidRPr="004E746A" w14:paraId="6CFCC432" w14:textId="77777777" w:rsidTr="00BD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B9DE5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0,15 - 0,30</w:t>
            </w:r>
          </w:p>
        </w:tc>
        <w:tc>
          <w:tcPr>
            <w:tcW w:w="0" w:type="auto"/>
            <w:vAlign w:val="center"/>
            <w:hideMark/>
          </w:tcPr>
          <w:p w14:paraId="5585117D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222FCF" w:rsidRPr="004E746A" w14:paraId="1DD3086E" w14:textId="77777777" w:rsidTr="00BD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FB690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0,30 - 0,80</w:t>
            </w:r>
          </w:p>
        </w:tc>
        <w:tc>
          <w:tcPr>
            <w:tcW w:w="0" w:type="auto"/>
            <w:vAlign w:val="center"/>
            <w:hideMark/>
          </w:tcPr>
          <w:p w14:paraId="680B8AA7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</w:t>
            </w:r>
          </w:p>
        </w:tc>
      </w:tr>
      <w:tr w:rsidR="00222FCF" w:rsidRPr="004E746A" w14:paraId="72F49828" w14:textId="77777777" w:rsidTr="00BD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71CAF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&gt; 0,80</w:t>
            </w:r>
          </w:p>
        </w:tc>
        <w:tc>
          <w:tcPr>
            <w:tcW w:w="0" w:type="auto"/>
            <w:vAlign w:val="center"/>
            <w:hideMark/>
          </w:tcPr>
          <w:p w14:paraId="7A142C4E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</w:t>
            </w:r>
          </w:p>
        </w:tc>
      </w:tr>
    </w:tbl>
    <w:p w14:paraId="186E973E" w14:textId="5F631DDA" w:rsidR="00222FCF" w:rsidRPr="004E746A" w:rsidRDefault="00222FCF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Fonds de Roulement (FR)</w:t>
      </w:r>
      <w:r w:rsidR="006E343B"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>Ressources Stables − Actifs Immobilisés</w:t>
      </w:r>
    </w:p>
    <w:p w14:paraId="65344EF4" w14:textId="77730559" w:rsidR="006E343B" w:rsidRPr="004E746A" w:rsidRDefault="006E343B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C’est l’excédent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de ressources stables finançant l'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>exploitation. Le b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>enchmark :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>FR positif.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562"/>
      </w:tblGrid>
      <w:tr w:rsidR="00222FCF" w:rsidRPr="004E746A" w14:paraId="4E2BAA05" w14:textId="77777777" w:rsidTr="006E3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1C5C5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Valeur</w:t>
            </w:r>
          </w:p>
        </w:tc>
        <w:tc>
          <w:tcPr>
            <w:tcW w:w="0" w:type="auto"/>
            <w:vAlign w:val="center"/>
            <w:hideMark/>
          </w:tcPr>
          <w:p w14:paraId="31ACD31C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Note</w:t>
            </w:r>
          </w:p>
        </w:tc>
      </w:tr>
      <w:tr w:rsidR="00222FCF" w:rsidRPr="004E746A" w14:paraId="24957A67" w14:textId="77777777" w:rsidTr="006E3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65B47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FR &lt; 0</w:t>
            </w:r>
          </w:p>
        </w:tc>
        <w:tc>
          <w:tcPr>
            <w:tcW w:w="0" w:type="auto"/>
            <w:vAlign w:val="center"/>
            <w:hideMark/>
          </w:tcPr>
          <w:p w14:paraId="6688AE59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</w:t>
            </w:r>
          </w:p>
        </w:tc>
      </w:tr>
      <w:tr w:rsidR="00222FCF" w:rsidRPr="004E746A" w14:paraId="05AB3136" w14:textId="77777777" w:rsidTr="006E3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594BE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FR ≈ 0</w:t>
            </w:r>
          </w:p>
        </w:tc>
        <w:tc>
          <w:tcPr>
            <w:tcW w:w="0" w:type="auto"/>
            <w:vAlign w:val="center"/>
            <w:hideMark/>
          </w:tcPr>
          <w:p w14:paraId="40A7EFE6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222FCF" w:rsidRPr="004E746A" w14:paraId="162C6C40" w14:textId="77777777" w:rsidTr="006E3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B9240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FR &gt; 0</w:t>
            </w:r>
          </w:p>
        </w:tc>
        <w:tc>
          <w:tcPr>
            <w:tcW w:w="0" w:type="auto"/>
            <w:vAlign w:val="center"/>
            <w:hideMark/>
          </w:tcPr>
          <w:p w14:paraId="6C766C7A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</w:t>
            </w:r>
          </w:p>
        </w:tc>
      </w:tr>
    </w:tbl>
    <w:p w14:paraId="097E6362" w14:textId="7F938381" w:rsidR="00222FCF" w:rsidRPr="004E746A" w:rsidRDefault="00222FCF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205B121C" w14:textId="7269D2F7" w:rsidR="00EC4310" w:rsidRPr="004E746A" w:rsidRDefault="00222FCF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Couverture des immobilisations</w:t>
      </w:r>
      <w:r w:rsidR="006E343B"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>Ressources Stables / Actifs Immobilisés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br/>
      </w:r>
      <w:r w:rsidR="006E343B" w:rsidRPr="004E746A">
        <w:rPr>
          <w:rFonts w:ascii="Times New Roman" w:hAnsi="Times New Roman" w:cs="Times New Roman"/>
          <w:sz w:val="24"/>
          <w:szCs w:val="24"/>
          <w:lang w:val="fr-FR"/>
        </w:rPr>
        <w:t>Il m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>esure le financement durable des investissements.</w:t>
      </w:r>
      <w:r w:rsidR="00EC4310"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Le </w:t>
      </w:r>
      <w:r w:rsidR="00EC4310" w:rsidRPr="004E746A">
        <w:rPr>
          <w:rFonts w:ascii="Times New Roman" w:hAnsi="Times New Roman" w:cs="Times New Roman"/>
          <w:sz w:val="24"/>
          <w:szCs w:val="24"/>
          <w:lang w:val="fr-FR"/>
        </w:rPr>
        <w:t>Benchmark :</w:t>
      </w:r>
      <w:r w:rsidR="00EC4310" w:rsidRPr="004E746A">
        <w:rPr>
          <w:rFonts w:ascii="Times New Roman" w:hAnsi="Times New Roman" w:cs="Times New Roman"/>
          <w:sz w:val="24"/>
          <w:szCs w:val="24"/>
          <w:lang w:val="fr-FR"/>
        </w:rPr>
        <w:br/>
        <w:t>1,2 à 1,5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562"/>
      </w:tblGrid>
      <w:tr w:rsidR="00222FCF" w:rsidRPr="004E746A" w14:paraId="31EE0320" w14:textId="77777777" w:rsidTr="006E3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9EA32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Valeur</w:t>
            </w:r>
          </w:p>
        </w:tc>
        <w:tc>
          <w:tcPr>
            <w:tcW w:w="0" w:type="auto"/>
            <w:vAlign w:val="center"/>
            <w:hideMark/>
          </w:tcPr>
          <w:p w14:paraId="1CBA4B78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Note</w:t>
            </w:r>
          </w:p>
        </w:tc>
      </w:tr>
      <w:tr w:rsidR="00222FCF" w:rsidRPr="004E746A" w14:paraId="616AFAED" w14:textId="77777777" w:rsidTr="006E3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AB5E0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&lt; 1,0</w:t>
            </w:r>
          </w:p>
        </w:tc>
        <w:tc>
          <w:tcPr>
            <w:tcW w:w="0" w:type="auto"/>
            <w:vAlign w:val="center"/>
            <w:hideMark/>
          </w:tcPr>
          <w:p w14:paraId="371FFE49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</w:t>
            </w:r>
          </w:p>
        </w:tc>
      </w:tr>
      <w:tr w:rsidR="00222FCF" w:rsidRPr="004E746A" w14:paraId="7E9ED367" w14:textId="77777777" w:rsidTr="006E3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95014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1,0 - 1,2</w:t>
            </w:r>
          </w:p>
        </w:tc>
        <w:tc>
          <w:tcPr>
            <w:tcW w:w="0" w:type="auto"/>
            <w:vAlign w:val="center"/>
            <w:hideMark/>
          </w:tcPr>
          <w:p w14:paraId="2BF20461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</w:t>
            </w:r>
          </w:p>
        </w:tc>
      </w:tr>
      <w:tr w:rsidR="00222FCF" w:rsidRPr="004E746A" w14:paraId="7B3294EC" w14:textId="77777777" w:rsidTr="006E3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11247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1,2 - 1,5</w:t>
            </w:r>
          </w:p>
        </w:tc>
        <w:tc>
          <w:tcPr>
            <w:tcW w:w="0" w:type="auto"/>
            <w:vAlign w:val="center"/>
            <w:hideMark/>
          </w:tcPr>
          <w:p w14:paraId="45C6EB02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</w:t>
            </w:r>
          </w:p>
        </w:tc>
      </w:tr>
      <w:tr w:rsidR="00222FCF" w:rsidRPr="004E746A" w14:paraId="3D2538DF" w14:textId="77777777" w:rsidTr="006E3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822D6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&gt; 1,5</w:t>
            </w:r>
          </w:p>
        </w:tc>
        <w:tc>
          <w:tcPr>
            <w:tcW w:w="0" w:type="auto"/>
            <w:vAlign w:val="center"/>
            <w:hideMark/>
          </w:tcPr>
          <w:p w14:paraId="27AD4462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</w:t>
            </w:r>
          </w:p>
        </w:tc>
      </w:tr>
    </w:tbl>
    <w:p w14:paraId="1BF5FC45" w14:textId="60CF43E4" w:rsidR="00222FCF" w:rsidRPr="004E746A" w:rsidRDefault="00222FCF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51EE123A" w14:textId="4540639E" w:rsidR="00EC4310" w:rsidRPr="004E746A" w:rsidRDefault="00222FCF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BFR (en jours de CA)</w:t>
      </w:r>
      <w:r w:rsidR="00EC4310"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>BFR / (Revenus / 365)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br/>
      </w:r>
      <w:r w:rsidR="00EC4310"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C’est le 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>Nombre de jours de chiffre d'affaires immobilisés dans l'exploitation.</w:t>
      </w:r>
      <w:r w:rsidR="00EC4310"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Le </w:t>
      </w:r>
      <w:r w:rsidR="00EC4310" w:rsidRPr="004E746A">
        <w:rPr>
          <w:rFonts w:ascii="Times New Roman" w:hAnsi="Times New Roman" w:cs="Times New Roman"/>
          <w:sz w:val="24"/>
          <w:szCs w:val="24"/>
          <w:lang w:val="fr-FR"/>
        </w:rPr>
        <w:t>Benchmark :30 à 60 jours.</w:t>
      </w:r>
    </w:p>
    <w:p w14:paraId="0564E154" w14:textId="353E1536" w:rsidR="00222FCF" w:rsidRPr="004E746A" w:rsidRDefault="00222FCF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562"/>
      </w:tblGrid>
      <w:tr w:rsidR="00222FCF" w:rsidRPr="004E746A" w14:paraId="79BA68B6" w14:textId="77777777" w:rsidTr="00EC4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50EF0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>Valeur</w:t>
            </w:r>
          </w:p>
        </w:tc>
        <w:tc>
          <w:tcPr>
            <w:tcW w:w="0" w:type="auto"/>
            <w:vAlign w:val="center"/>
            <w:hideMark/>
          </w:tcPr>
          <w:p w14:paraId="4ABAC23D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Note</w:t>
            </w:r>
          </w:p>
        </w:tc>
      </w:tr>
      <w:tr w:rsidR="00222FCF" w:rsidRPr="004E746A" w14:paraId="2BC76A0E" w14:textId="77777777" w:rsidTr="00EC4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0040D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&gt; 90 j</w:t>
            </w:r>
          </w:p>
        </w:tc>
        <w:tc>
          <w:tcPr>
            <w:tcW w:w="0" w:type="auto"/>
            <w:vAlign w:val="center"/>
            <w:hideMark/>
          </w:tcPr>
          <w:p w14:paraId="3BB86354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</w:t>
            </w:r>
          </w:p>
        </w:tc>
      </w:tr>
      <w:tr w:rsidR="00222FCF" w:rsidRPr="004E746A" w14:paraId="648D9FAD" w14:textId="77777777" w:rsidTr="00EC4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C5B14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60 - 90 j</w:t>
            </w:r>
          </w:p>
        </w:tc>
        <w:tc>
          <w:tcPr>
            <w:tcW w:w="0" w:type="auto"/>
            <w:vAlign w:val="center"/>
            <w:hideMark/>
          </w:tcPr>
          <w:p w14:paraId="527EC663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222FCF" w:rsidRPr="004E746A" w14:paraId="7B7815B0" w14:textId="77777777" w:rsidTr="00EC4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39647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30 - 60 j</w:t>
            </w:r>
          </w:p>
        </w:tc>
        <w:tc>
          <w:tcPr>
            <w:tcW w:w="0" w:type="auto"/>
            <w:vAlign w:val="center"/>
            <w:hideMark/>
          </w:tcPr>
          <w:p w14:paraId="5E18E0E2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</w:t>
            </w:r>
          </w:p>
        </w:tc>
      </w:tr>
      <w:tr w:rsidR="00222FCF" w:rsidRPr="004E746A" w14:paraId="36EB953A" w14:textId="77777777" w:rsidTr="00EC4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50E1A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&lt; 30 j</w:t>
            </w:r>
          </w:p>
        </w:tc>
        <w:tc>
          <w:tcPr>
            <w:tcW w:w="0" w:type="auto"/>
            <w:vAlign w:val="center"/>
            <w:hideMark/>
          </w:tcPr>
          <w:p w14:paraId="165ADD61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</w:t>
            </w:r>
          </w:p>
        </w:tc>
      </w:tr>
    </w:tbl>
    <w:p w14:paraId="57F143EC" w14:textId="523A7F36" w:rsidR="00222FCF" w:rsidRPr="004E746A" w:rsidRDefault="00222FCF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5DC7AA25" w14:textId="77777777" w:rsidR="00222FCF" w:rsidRPr="004E746A" w:rsidRDefault="00222FCF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GESTION DES ACTIFS</w:t>
      </w:r>
    </w:p>
    <w:p w14:paraId="0FAB3D0F" w14:textId="3F2AD94C" w:rsidR="00222FCF" w:rsidRPr="004E746A" w:rsidRDefault="00222FCF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Levier économique</w:t>
      </w:r>
      <w:r w:rsidR="00EC4310"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>Total Actifs / Capitaux Propres</w:t>
      </w:r>
    </w:p>
    <w:p w14:paraId="5C97398E" w14:textId="22BFD027" w:rsidR="00EC4310" w:rsidRPr="004E746A" w:rsidRDefault="00EC4310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Il 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Mesure le niveau de financement des actifs par les capitaux 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propres. Le 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>Benchmark :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>2 à 3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562"/>
      </w:tblGrid>
      <w:tr w:rsidR="00222FCF" w:rsidRPr="004E746A" w14:paraId="1C5A9D72" w14:textId="77777777" w:rsidTr="00EC4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2717F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Valeur</w:t>
            </w:r>
          </w:p>
        </w:tc>
        <w:tc>
          <w:tcPr>
            <w:tcW w:w="0" w:type="auto"/>
            <w:vAlign w:val="center"/>
            <w:hideMark/>
          </w:tcPr>
          <w:p w14:paraId="09B914AB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Note</w:t>
            </w:r>
          </w:p>
        </w:tc>
      </w:tr>
      <w:tr w:rsidR="00222FCF" w:rsidRPr="004E746A" w14:paraId="4ABD2967" w14:textId="77777777" w:rsidTr="00EC4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6D02A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&gt; 5</w:t>
            </w:r>
          </w:p>
        </w:tc>
        <w:tc>
          <w:tcPr>
            <w:tcW w:w="0" w:type="auto"/>
            <w:vAlign w:val="center"/>
            <w:hideMark/>
          </w:tcPr>
          <w:p w14:paraId="2C7CCC7A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</w:t>
            </w:r>
          </w:p>
        </w:tc>
      </w:tr>
      <w:tr w:rsidR="00222FCF" w:rsidRPr="004E746A" w14:paraId="3AA7B23C" w14:textId="77777777" w:rsidTr="00EC4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A4063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3 - 5</w:t>
            </w:r>
          </w:p>
        </w:tc>
        <w:tc>
          <w:tcPr>
            <w:tcW w:w="0" w:type="auto"/>
            <w:vAlign w:val="center"/>
            <w:hideMark/>
          </w:tcPr>
          <w:p w14:paraId="16B50C5B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222FCF" w:rsidRPr="004E746A" w14:paraId="04A87F78" w14:textId="77777777" w:rsidTr="00EC4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D83F5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2 - 3</w:t>
            </w:r>
          </w:p>
        </w:tc>
        <w:tc>
          <w:tcPr>
            <w:tcW w:w="0" w:type="auto"/>
            <w:vAlign w:val="center"/>
            <w:hideMark/>
          </w:tcPr>
          <w:p w14:paraId="5A6C37E0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</w:t>
            </w:r>
          </w:p>
        </w:tc>
      </w:tr>
      <w:tr w:rsidR="00222FCF" w:rsidRPr="004E746A" w14:paraId="281CC702" w14:textId="77777777" w:rsidTr="00EC4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ED212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&lt; 2</w:t>
            </w:r>
          </w:p>
        </w:tc>
        <w:tc>
          <w:tcPr>
            <w:tcW w:w="0" w:type="auto"/>
            <w:vAlign w:val="center"/>
            <w:hideMark/>
          </w:tcPr>
          <w:p w14:paraId="523DCE36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</w:t>
            </w:r>
          </w:p>
        </w:tc>
      </w:tr>
    </w:tbl>
    <w:p w14:paraId="17530D65" w14:textId="33A126BC" w:rsidR="00222FCF" w:rsidRPr="004E746A" w:rsidRDefault="00222FCF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6D710BDF" w14:textId="267B9F3D" w:rsidR="00222FCF" w:rsidRPr="004E746A" w:rsidRDefault="00222FCF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Poids des immobilisations</w:t>
      </w:r>
      <w:r w:rsidR="00EC4310"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>Actifs Immobilisés / Total Actifs</w:t>
      </w:r>
    </w:p>
    <w:p w14:paraId="754A6205" w14:textId="58B1FA94" w:rsidR="00222FCF" w:rsidRPr="004E746A" w:rsidRDefault="00EC4310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C’est la part </w:t>
      </w:r>
      <w:proofErr w:type="spellStart"/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>Part</w:t>
      </w:r>
      <w:proofErr w:type="spellEnd"/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des investissements durables dans les actifs.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Le 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>Benchmark industriel :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>45 % à 65 %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562"/>
      </w:tblGrid>
      <w:tr w:rsidR="00222FCF" w:rsidRPr="004E746A" w14:paraId="389A764F" w14:textId="77777777" w:rsidTr="00EC4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F4EB4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Valeur</w:t>
            </w:r>
          </w:p>
        </w:tc>
        <w:tc>
          <w:tcPr>
            <w:tcW w:w="0" w:type="auto"/>
            <w:vAlign w:val="center"/>
            <w:hideMark/>
          </w:tcPr>
          <w:p w14:paraId="179B3705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Note</w:t>
            </w:r>
          </w:p>
        </w:tc>
      </w:tr>
      <w:tr w:rsidR="00222FCF" w:rsidRPr="004E746A" w14:paraId="641280C2" w14:textId="77777777" w:rsidTr="00EC4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99715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&gt; 80 %</w:t>
            </w:r>
          </w:p>
        </w:tc>
        <w:tc>
          <w:tcPr>
            <w:tcW w:w="0" w:type="auto"/>
            <w:vAlign w:val="center"/>
            <w:hideMark/>
          </w:tcPr>
          <w:p w14:paraId="22E5C710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</w:t>
            </w:r>
          </w:p>
        </w:tc>
      </w:tr>
      <w:tr w:rsidR="00222FCF" w:rsidRPr="004E746A" w14:paraId="2F280E19" w14:textId="77777777" w:rsidTr="00EC4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8B69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65 - 80 %</w:t>
            </w:r>
          </w:p>
        </w:tc>
        <w:tc>
          <w:tcPr>
            <w:tcW w:w="0" w:type="auto"/>
            <w:vAlign w:val="center"/>
            <w:hideMark/>
          </w:tcPr>
          <w:p w14:paraId="720B1B6D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222FCF" w:rsidRPr="004E746A" w14:paraId="285A2E2B" w14:textId="77777777" w:rsidTr="00EC4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1A555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45 - 65 %</w:t>
            </w:r>
          </w:p>
        </w:tc>
        <w:tc>
          <w:tcPr>
            <w:tcW w:w="0" w:type="auto"/>
            <w:vAlign w:val="center"/>
            <w:hideMark/>
          </w:tcPr>
          <w:p w14:paraId="702075F5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</w:t>
            </w:r>
          </w:p>
        </w:tc>
      </w:tr>
      <w:tr w:rsidR="00222FCF" w:rsidRPr="004E746A" w14:paraId="1FDD2B5C" w14:textId="77777777" w:rsidTr="00EC4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9EC55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>&lt; 45 %</w:t>
            </w:r>
          </w:p>
        </w:tc>
        <w:tc>
          <w:tcPr>
            <w:tcW w:w="0" w:type="auto"/>
            <w:vAlign w:val="center"/>
            <w:hideMark/>
          </w:tcPr>
          <w:p w14:paraId="5FDC4202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</w:t>
            </w:r>
          </w:p>
        </w:tc>
      </w:tr>
    </w:tbl>
    <w:p w14:paraId="385D7848" w14:textId="77777777" w:rsidR="00EC4310" w:rsidRPr="004E746A" w:rsidRDefault="00EC4310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356043A2" w14:textId="15C70F66" w:rsidR="00222FCF" w:rsidRPr="004E746A" w:rsidRDefault="00222FCF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Vétusté des immobilisations corporelles</w:t>
      </w:r>
      <w:r w:rsidR="00EC4310"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>Amortissements cumulés / Valeur brute des immobilisations corporelles</w:t>
      </w:r>
    </w:p>
    <w:p w14:paraId="2A883E85" w14:textId="657E7CD1" w:rsidR="00EC4310" w:rsidRPr="004E746A" w:rsidRDefault="00EC4310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C’est la m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>esure l'âge économique du parc industriel.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Le 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>Benchmark :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>30 % à 60 %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562"/>
      </w:tblGrid>
      <w:tr w:rsidR="00222FCF" w:rsidRPr="004E746A" w14:paraId="62F60B7A" w14:textId="77777777" w:rsidTr="00EC4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3B211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Valeur</w:t>
            </w:r>
          </w:p>
        </w:tc>
        <w:tc>
          <w:tcPr>
            <w:tcW w:w="0" w:type="auto"/>
            <w:vAlign w:val="center"/>
            <w:hideMark/>
          </w:tcPr>
          <w:p w14:paraId="64531914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Note</w:t>
            </w:r>
          </w:p>
        </w:tc>
      </w:tr>
      <w:tr w:rsidR="00222FCF" w:rsidRPr="004E746A" w14:paraId="781BC99C" w14:textId="77777777" w:rsidTr="00EC4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320CA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&gt; 80 %</w:t>
            </w:r>
          </w:p>
        </w:tc>
        <w:tc>
          <w:tcPr>
            <w:tcW w:w="0" w:type="auto"/>
            <w:vAlign w:val="center"/>
            <w:hideMark/>
          </w:tcPr>
          <w:p w14:paraId="22AD9437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</w:t>
            </w:r>
          </w:p>
        </w:tc>
      </w:tr>
      <w:tr w:rsidR="00222FCF" w:rsidRPr="004E746A" w14:paraId="571D554D" w14:textId="77777777" w:rsidTr="00EC4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25863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60 - 80 %</w:t>
            </w:r>
          </w:p>
        </w:tc>
        <w:tc>
          <w:tcPr>
            <w:tcW w:w="0" w:type="auto"/>
            <w:vAlign w:val="center"/>
            <w:hideMark/>
          </w:tcPr>
          <w:p w14:paraId="23D5AB67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222FCF" w:rsidRPr="004E746A" w14:paraId="472E9197" w14:textId="77777777" w:rsidTr="00EC4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E3E5F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30 - 60 %</w:t>
            </w:r>
          </w:p>
        </w:tc>
        <w:tc>
          <w:tcPr>
            <w:tcW w:w="0" w:type="auto"/>
            <w:vAlign w:val="center"/>
            <w:hideMark/>
          </w:tcPr>
          <w:p w14:paraId="098B7C5C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</w:t>
            </w:r>
          </w:p>
        </w:tc>
      </w:tr>
      <w:tr w:rsidR="00222FCF" w:rsidRPr="004E746A" w14:paraId="312FEF9D" w14:textId="77777777" w:rsidTr="00EC4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42239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&lt; 30 %</w:t>
            </w:r>
          </w:p>
        </w:tc>
        <w:tc>
          <w:tcPr>
            <w:tcW w:w="0" w:type="auto"/>
            <w:vAlign w:val="center"/>
            <w:hideMark/>
          </w:tcPr>
          <w:p w14:paraId="2DF1D2C7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</w:t>
            </w:r>
          </w:p>
        </w:tc>
      </w:tr>
    </w:tbl>
    <w:p w14:paraId="30A3EB15" w14:textId="40873D76" w:rsidR="00222FCF" w:rsidRPr="004E746A" w:rsidRDefault="00222FCF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1B7E58A0" w14:textId="77777777" w:rsidR="00222FCF" w:rsidRPr="004E746A" w:rsidRDefault="00222FCF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GESTION DES PASSIFS</w:t>
      </w:r>
    </w:p>
    <w:p w14:paraId="71DF0D9E" w14:textId="31BCE4E8" w:rsidR="00222FCF" w:rsidRPr="004E746A" w:rsidRDefault="00222FCF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Ratio d'endettement global</w:t>
      </w:r>
      <w:r w:rsidR="00952AE6"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>Total Dettes / Total Actifs</w:t>
      </w:r>
    </w:p>
    <w:p w14:paraId="30801809" w14:textId="4EEB1045" w:rsidR="00222FCF" w:rsidRPr="004E746A" w:rsidRDefault="00952AE6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C’est la p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>art des actifs financés par la dette.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Le 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>Benchmark :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br/>
        <w:t>40 % à 60 %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562"/>
      </w:tblGrid>
      <w:tr w:rsidR="00222FCF" w:rsidRPr="004E746A" w14:paraId="3646E5A7" w14:textId="77777777" w:rsidTr="0095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6E723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Valeur</w:t>
            </w:r>
          </w:p>
        </w:tc>
        <w:tc>
          <w:tcPr>
            <w:tcW w:w="0" w:type="auto"/>
            <w:vAlign w:val="center"/>
            <w:hideMark/>
          </w:tcPr>
          <w:p w14:paraId="187E09B3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Note</w:t>
            </w:r>
          </w:p>
        </w:tc>
      </w:tr>
      <w:tr w:rsidR="00222FCF" w:rsidRPr="004E746A" w14:paraId="7AE853E2" w14:textId="77777777" w:rsidTr="0095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51866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&gt; 75 %</w:t>
            </w:r>
          </w:p>
        </w:tc>
        <w:tc>
          <w:tcPr>
            <w:tcW w:w="0" w:type="auto"/>
            <w:vAlign w:val="center"/>
            <w:hideMark/>
          </w:tcPr>
          <w:p w14:paraId="67E5EE00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</w:t>
            </w:r>
          </w:p>
        </w:tc>
      </w:tr>
      <w:tr w:rsidR="00222FCF" w:rsidRPr="004E746A" w14:paraId="4F64ADC0" w14:textId="77777777" w:rsidTr="0095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6F5CB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60 - 75 %</w:t>
            </w:r>
          </w:p>
        </w:tc>
        <w:tc>
          <w:tcPr>
            <w:tcW w:w="0" w:type="auto"/>
            <w:vAlign w:val="center"/>
            <w:hideMark/>
          </w:tcPr>
          <w:p w14:paraId="60704DC7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222FCF" w:rsidRPr="004E746A" w14:paraId="32750C95" w14:textId="77777777" w:rsidTr="0095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A6C26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40 - 60 %</w:t>
            </w:r>
          </w:p>
        </w:tc>
        <w:tc>
          <w:tcPr>
            <w:tcW w:w="0" w:type="auto"/>
            <w:vAlign w:val="center"/>
            <w:hideMark/>
          </w:tcPr>
          <w:p w14:paraId="61C3DFFE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</w:t>
            </w:r>
          </w:p>
        </w:tc>
      </w:tr>
      <w:tr w:rsidR="00222FCF" w:rsidRPr="004E746A" w14:paraId="5FCF1A54" w14:textId="77777777" w:rsidTr="0095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08CE4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&lt; 40 %</w:t>
            </w:r>
          </w:p>
        </w:tc>
        <w:tc>
          <w:tcPr>
            <w:tcW w:w="0" w:type="auto"/>
            <w:vAlign w:val="center"/>
            <w:hideMark/>
          </w:tcPr>
          <w:p w14:paraId="2BD9DBB9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</w:t>
            </w:r>
          </w:p>
        </w:tc>
      </w:tr>
    </w:tbl>
    <w:p w14:paraId="55C588BE" w14:textId="77777777" w:rsidR="00952AE6" w:rsidRPr="004E746A" w:rsidRDefault="00952AE6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540200F3" w14:textId="117205E2" w:rsidR="00222FCF" w:rsidRPr="004E746A" w:rsidRDefault="00222FCF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Autonomie financière</w:t>
      </w:r>
      <w:r w:rsidR="00952AE6"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>Capitaux Propres / Total Actifs</w:t>
      </w:r>
    </w:p>
    <w:p w14:paraId="3C225EC0" w14:textId="6CABD734" w:rsidR="00222FCF" w:rsidRPr="004E746A" w:rsidRDefault="00952AE6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C’est la c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apacité de financement </w:t>
      </w:r>
      <w:proofErr w:type="spellStart"/>
      <w:proofErr w:type="gramStart"/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>autonome.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>Le</w:t>
      </w:r>
      <w:proofErr w:type="spellEnd"/>
      <w:proofErr w:type="gramEnd"/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>Benchmark :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br/>
        <w:t>35 % à 50 %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562"/>
      </w:tblGrid>
      <w:tr w:rsidR="00222FCF" w:rsidRPr="004E746A" w14:paraId="5F1B42AF" w14:textId="77777777" w:rsidTr="0095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9CB96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>Valeur</w:t>
            </w:r>
          </w:p>
        </w:tc>
        <w:tc>
          <w:tcPr>
            <w:tcW w:w="0" w:type="auto"/>
            <w:vAlign w:val="center"/>
            <w:hideMark/>
          </w:tcPr>
          <w:p w14:paraId="6023F92E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Note</w:t>
            </w:r>
          </w:p>
        </w:tc>
      </w:tr>
      <w:tr w:rsidR="00222FCF" w:rsidRPr="004E746A" w14:paraId="2569AE51" w14:textId="77777777" w:rsidTr="0095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A1FC6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&lt; 20 %</w:t>
            </w:r>
          </w:p>
        </w:tc>
        <w:tc>
          <w:tcPr>
            <w:tcW w:w="0" w:type="auto"/>
            <w:vAlign w:val="center"/>
            <w:hideMark/>
          </w:tcPr>
          <w:p w14:paraId="5201AD7E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</w:t>
            </w:r>
          </w:p>
        </w:tc>
      </w:tr>
      <w:tr w:rsidR="00222FCF" w:rsidRPr="004E746A" w14:paraId="51FE4037" w14:textId="77777777" w:rsidTr="0095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11059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20 - 35 %</w:t>
            </w:r>
          </w:p>
        </w:tc>
        <w:tc>
          <w:tcPr>
            <w:tcW w:w="0" w:type="auto"/>
            <w:vAlign w:val="center"/>
            <w:hideMark/>
          </w:tcPr>
          <w:p w14:paraId="5AED05A4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222FCF" w:rsidRPr="004E746A" w14:paraId="5640908E" w14:textId="77777777" w:rsidTr="0095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5D71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35 - 50 %</w:t>
            </w:r>
          </w:p>
        </w:tc>
        <w:tc>
          <w:tcPr>
            <w:tcW w:w="0" w:type="auto"/>
            <w:vAlign w:val="center"/>
            <w:hideMark/>
          </w:tcPr>
          <w:p w14:paraId="69F77B42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</w:t>
            </w:r>
          </w:p>
        </w:tc>
      </w:tr>
      <w:tr w:rsidR="00222FCF" w:rsidRPr="004E746A" w14:paraId="7BE71466" w14:textId="77777777" w:rsidTr="0095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681EA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&gt; 50 %</w:t>
            </w:r>
          </w:p>
        </w:tc>
        <w:tc>
          <w:tcPr>
            <w:tcW w:w="0" w:type="auto"/>
            <w:vAlign w:val="center"/>
            <w:hideMark/>
          </w:tcPr>
          <w:p w14:paraId="5CE297D1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</w:t>
            </w:r>
          </w:p>
        </w:tc>
      </w:tr>
    </w:tbl>
    <w:p w14:paraId="6B068756" w14:textId="176BCC18" w:rsidR="00222FCF" w:rsidRPr="004E746A" w:rsidRDefault="00222FCF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5AC68268" w14:textId="3BFAE340" w:rsidR="00222FCF" w:rsidRPr="004E746A" w:rsidRDefault="00222FCF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Solvabilité</w:t>
      </w:r>
      <w:r w:rsidR="00952AE6"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>Total Actifs / Total Dettes</w:t>
      </w:r>
    </w:p>
    <w:p w14:paraId="7F6A0330" w14:textId="5A0D2663" w:rsidR="00222FCF" w:rsidRPr="004E746A" w:rsidRDefault="00952AE6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La c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apacité théorique à rembourser toutes les </w:t>
      </w:r>
      <w:proofErr w:type="spellStart"/>
      <w:proofErr w:type="gramStart"/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>dettes.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>Le</w:t>
      </w:r>
      <w:proofErr w:type="spellEnd"/>
      <w:proofErr w:type="gramEnd"/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>Benchmark :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br/>
        <w:t>1,5 à 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562"/>
      </w:tblGrid>
      <w:tr w:rsidR="00222FCF" w:rsidRPr="004E746A" w14:paraId="7F44BF0A" w14:textId="77777777" w:rsidTr="0095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94798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Valeur</w:t>
            </w:r>
          </w:p>
        </w:tc>
        <w:tc>
          <w:tcPr>
            <w:tcW w:w="0" w:type="auto"/>
            <w:vAlign w:val="center"/>
            <w:hideMark/>
          </w:tcPr>
          <w:p w14:paraId="7C0C4F22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Note</w:t>
            </w:r>
          </w:p>
        </w:tc>
      </w:tr>
      <w:tr w:rsidR="00222FCF" w:rsidRPr="004E746A" w14:paraId="58D0B362" w14:textId="77777777" w:rsidTr="0095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1CDDC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&lt; 1,2</w:t>
            </w:r>
          </w:p>
        </w:tc>
        <w:tc>
          <w:tcPr>
            <w:tcW w:w="0" w:type="auto"/>
            <w:vAlign w:val="center"/>
            <w:hideMark/>
          </w:tcPr>
          <w:p w14:paraId="422321B3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</w:t>
            </w:r>
          </w:p>
        </w:tc>
      </w:tr>
      <w:tr w:rsidR="00222FCF" w:rsidRPr="004E746A" w14:paraId="23CBC6B1" w14:textId="77777777" w:rsidTr="0095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E8AE5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1,2 - 1,5</w:t>
            </w:r>
          </w:p>
        </w:tc>
        <w:tc>
          <w:tcPr>
            <w:tcW w:w="0" w:type="auto"/>
            <w:vAlign w:val="center"/>
            <w:hideMark/>
          </w:tcPr>
          <w:p w14:paraId="66A35A4A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222FCF" w:rsidRPr="004E746A" w14:paraId="19D9528B" w14:textId="77777777" w:rsidTr="0095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226CD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1,5 - 2</w:t>
            </w:r>
          </w:p>
        </w:tc>
        <w:tc>
          <w:tcPr>
            <w:tcW w:w="0" w:type="auto"/>
            <w:vAlign w:val="center"/>
            <w:hideMark/>
          </w:tcPr>
          <w:p w14:paraId="10E770A6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</w:t>
            </w:r>
          </w:p>
        </w:tc>
      </w:tr>
      <w:tr w:rsidR="00222FCF" w:rsidRPr="004E746A" w14:paraId="5BF18673" w14:textId="77777777" w:rsidTr="0095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067DA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&gt; 2</w:t>
            </w:r>
          </w:p>
        </w:tc>
        <w:tc>
          <w:tcPr>
            <w:tcW w:w="0" w:type="auto"/>
            <w:vAlign w:val="center"/>
            <w:hideMark/>
          </w:tcPr>
          <w:p w14:paraId="5EDCE95D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</w:t>
            </w:r>
          </w:p>
        </w:tc>
      </w:tr>
    </w:tbl>
    <w:p w14:paraId="5BBFD8AB" w14:textId="45869688" w:rsidR="00222FCF" w:rsidRPr="004E746A" w:rsidRDefault="00222FCF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69E811BA" w14:textId="77777777" w:rsidR="00222FCF" w:rsidRPr="004E746A" w:rsidRDefault="00222FCF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RENTABILITÉ</w:t>
      </w:r>
    </w:p>
    <w:p w14:paraId="33BD86AA" w14:textId="7BD485A5" w:rsidR="00222FCF" w:rsidRPr="004E746A" w:rsidRDefault="00222FCF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ROA (Return On Assets)</w:t>
      </w:r>
      <w:r w:rsidR="00952AE6"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>Résultat d'Exploitation / Total Actifs × 100</w:t>
      </w:r>
    </w:p>
    <w:p w14:paraId="2D2F86FD" w14:textId="3F29B7F2" w:rsidR="00222FCF" w:rsidRPr="004E746A" w:rsidRDefault="00952AE6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C’est la r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entabilité économique des actifs 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investis. Le 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>Benchmark industriel :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>5 % à 10 %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562"/>
      </w:tblGrid>
      <w:tr w:rsidR="00222FCF" w:rsidRPr="004E746A" w14:paraId="509857FB" w14:textId="77777777" w:rsidTr="0095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A6E15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Valeur</w:t>
            </w:r>
          </w:p>
        </w:tc>
        <w:tc>
          <w:tcPr>
            <w:tcW w:w="0" w:type="auto"/>
            <w:vAlign w:val="center"/>
            <w:hideMark/>
          </w:tcPr>
          <w:p w14:paraId="0F3DCAC3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Note</w:t>
            </w:r>
          </w:p>
        </w:tc>
      </w:tr>
      <w:tr w:rsidR="00222FCF" w:rsidRPr="004E746A" w14:paraId="688D757D" w14:textId="77777777" w:rsidTr="0095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41A69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&lt; 2 %</w:t>
            </w:r>
          </w:p>
        </w:tc>
        <w:tc>
          <w:tcPr>
            <w:tcW w:w="0" w:type="auto"/>
            <w:vAlign w:val="center"/>
            <w:hideMark/>
          </w:tcPr>
          <w:p w14:paraId="2426335E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</w:t>
            </w:r>
          </w:p>
        </w:tc>
      </w:tr>
      <w:tr w:rsidR="00222FCF" w:rsidRPr="004E746A" w14:paraId="1276F27D" w14:textId="77777777" w:rsidTr="0095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1C2C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2 - 5 %</w:t>
            </w:r>
          </w:p>
        </w:tc>
        <w:tc>
          <w:tcPr>
            <w:tcW w:w="0" w:type="auto"/>
            <w:vAlign w:val="center"/>
            <w:hideMark/>
          </w:tcPr>
          <w:p w14:paraId="78027CB4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222FCF" w:rsidRPr="004E746A" w14:paraId="22233404" w14:textId="77777777" w:rsidTr="0095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16ADE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5 - 10 %</w:t>
            </w:r>
          </w:p>
        </w:tc>
        <w:tc>
          <w:tcPr>
            <w:tcW w:w="0" w:type="auto"/>
            <w:vAlign w:val="center"/>
            <w:hideMark/>
          </w:tcPr>
          <w:p w14:paraId="00ADAF1A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</w:t>
            </w:r>
          </w:p>
        </w:tc>
      </w:tr>
      <w:tr w:rsidR="00222FCF" w:rsidRPr="004E746A" w14:paraId="249C894C" w14:textId="77777777" w:rsidTr="0095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F4071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>&gt; 10 %</w:t>
            </w:r>
          </w:p>
        </w:tc>
        <w:tc>
          <w:tcPr>
            <w:tcW w:w="0" w:type="auto"/>
            <w:vAlign w:val="center"/>
            <w:hideMark/>
          </w:tcPr>
          <w:p w14:paraId="01A7FCDE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</w:t>
            </w:r>
          </w:p>
        </w:tc>
      </w:tr>
    </w:tbl>
    <w:p w14:paraId="244BE860" w14:textId="3E8287AB" w:rsidR="00222FCF" w:rsidRPr="004E746A" w:rsidRDefault="00222FCF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201FAA5E" w14:textId="5DC8DB22" w:rsidR="00222FCF" w:rsidRPr="004E746A" w:rsidRDefault="00222FCF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ROCE (Return On Capital </w:t>
      </w:r>
      <w:proofErr w:type="spellStart"/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Employed</w:t>
      </w:r>
      <w:proofErr w:type="spellEnd"/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)</w:t>
      </w:r>
      <w:r w:rsidR="00952AE6"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>Résultat d'Exploitation / Ressources Stables × 100</w:t>
      </w:r>
    </w:p>
    <w:p w14:paraId="5EDBE64C" w14:textId="099756AB" w:rsidR="00222FCF" w:rsidRPr="004E746A" w:rsidRDefault="00952AE6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C’est la 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>Rentabilité des capitaux investis durablement.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Le 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>Benchmark :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br/>
        <w:t>10 % à 15 %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562"/>
      </w:tblGrid>
      <w:tr w:rsidR="00222FCF" w:rsidRPr="004E746A" w14:paraId="5679A325" w14:textId="77777777" w:rsidTr="0095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EDD48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Valeur</w:t>
            </w:r>
          </w:p>
        </w:tc>
        <w:tc>
          <w:tcPr>
            <w:tcW w:w="0" w:type="auto"/>
            <w:vAlign w:val="center"/>
            <w:hideMark/>
          </w:tcPr>
          <w:p w14:paraId="7C1BEDAB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Note</w:t>
            </w:r>
          </w:p>
        </w:tc>
      </w:tr>
      <w:tr w:rsidR="00222FCF" w:rsidRPr="004E746A" w14:paraId="60C96017" w14:textId="77777777" w:rsidTr="0095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49D2F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&lt; 5 %</w:t>
            </w:r>
          </w:p>
        </w:tc>
        <w:tc>
          <w:tcPr>
            <w:tcW w:w="0" w:type="auto"/>
            <w:vAlign w:val="center"/>
            <w:hideMark/>
          </w:tcPr>
          <w:p w14:paraId="7BBEC646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</w:t>
            </w:r>
          </w:p>
        </w:tc>
      </w:tr>
      <w:tr w:rsidR="00222FCF" w:rsidRPr="004E746A" w14:paraId="5717106E" w14:textId="77777777" w:rsidTr="0095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84B84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5 - 10 %</w:t>
            </w:r>
          </w:p>
        </w:tc>
        <w:tc>
          <w:tcPr>
            <w:tcW w:w="0" w:type="auto"/>
            <w:vAlign w:val="center"/>
            <w:hideMark/>
          </w:tcPr>
          <w:p w14:paraId="29F5D5C8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222FCF" w:rsidRPr="004E746A" w14:paraId="0806D631" w14:textId="77777777" w:rsidTr="0095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E1D56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10 - 15 %</w:t>
            </w:r>
          </w:p>
        </w:tc>
        <w:tc>
          <w:tcPr>
            <w:tcW w:w="0" w:type="auto"/>
            <w:vAlign w:val="center"/>
            <w:hideMark/>
          </w:tcPr>
          <w:p w14:paraId="261829C3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</w:t>
            </w:r>
          </w:p>
        </w:tc>
      </w:tr>
      <w:tr w:rsidR="00222FCF" w:rsidRPr="004E746A" w14:paraId="79F9F75C" w14:textId="77777777" w:rsidTr="0095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3B9B2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&gt; 15 %</w:t>
            </w:r>
          </w:p>
        </w:tc>
        <w:tc>
          <w:tcPr>
            <w:tcW w:w="0" w:type="auto"/>
            <w:vAlign w:val="center"/>
            <w:hideMark/>
          </w:tcPr>
          <w:p w14:paraId="6C07955D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</w:t>
            </w:r>
          </w:p>
        </w:tc>
      </w:tr>
    </w:tbl>
    <w:p w14:paraId="059377E4" w14:textId="0DE4981E" w:rsidR="00222FCF" w:rsidRPr="004E746A" w:rsidRDefault="00222FCF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15DDCF7E" w14:textId="77777777" w:rsidR="00952AE6" w:rsidRPr="004E746A" w:rsidRDefault="00952AE6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06CCECB7" w14:textId="77777777" w:rsidR="00952AE6" w:rsidRPr="004E746A" w:rsidRDefault="00952AE6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78325CF4" w14:textId="7904E634" w:rsidR="00222FCF" w:rsidRPr="004E746A" w:rsidRDefault="00222FCF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ROE</w:t>
      </w:r>
      <w:r w:rsidR="00952AE6"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>Résultat Net / Capitaux Propres × 100</w:t>
      </w:r>
    </w:p>
    <w:p w14:paraId="089D40E0" w14:textId="44646C53" w:rsidR="00222FCF" w:rsidRPr="004E746A" w:rsidRDefault="00952AE6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C’est la 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>Rentabilité obtenue par les actionnaires.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Le 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>Benchmark :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br/>
        <w:t>10 % à 15 %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562"/>
      </w:tblGrid>
      <w:tr w:rsidR="00222FCF" w:rsidRPr="004E746A" w14:paraId="6AEFA9F5" w14:textId="77777777" w:rsidTr="0095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E8647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Valeur</w:t>
            </w:r>
          </w:p>
        </w:tc>
        <w:tc>
          <w:tcPr>
            <w:tcW w:w="0" w:type="auto"/>
            <w:vAlign w:val="center"/>
            <w:hideMark/>
          </w:tcPr>
          <w:p w14:paraId="75020E68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Note</w:t>
            </w:r>
          </w:p>
        </w:tc>
      </w:tr>
      <w:tr w:rsidR="00222FCF" w:rsidRPr="004E746A" w14:paraId="62E2E1EB" w14:textId="77777777" w:rsidTr="0095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817B7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&lt; 5 %</w:t>
            </w:r>
          </w:p>
        </w:tc>
        <w:tc>
          <w:tcPr>
            <w:tcW w:w="0" w:type="auto"/>
            <w:vAlign w:val="center"/>
            <w:hideMark/>
          </w:tcPr>
          <w:p w14:paraId="599276C2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</w:t>
            </w:r>
          </w:p>
        </w:tc>
      </w:tr>
      <w:tr w:rsidR="00222FCF" w:rsidRPr="004E746A" w14:paraId="0E54270F" w14:textId="77777777" w:rsidTr="0095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1CE5C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5 - 10 %</w:t>
            </w:r>
          </w:p>
        </w:tc>
        <w:tc>
          <w:tcPr>
            <w:tcW w:w="0" w:type="auto"/>
            <w:vAlign w:val="center"/>
            <w:hideMark/>
          </w:tcPr>
          <w:p w14:paraId="21567F08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222FCF" w:rsidRPr="004E746A" w14:paraId="32F80AD0" w14:textId="77777777" w:rsidTr="0095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B130F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10 - 15 %</w:t>
            </w:r>
          </w:p>
        </w:tc>
        <w:tc>
          <w:tcPr>
            <w:tcW w:w="0" w:type="auto"/>
            <w:vAlign w:val="center"/>
            <w:hideMark/>
          </w:tcPr>
          <w:p w14:paraId="1FC71186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</w:t>
            </w:r>
          </w:p>
        </w:tc>
      </w:tr>
      <w:tr w:rsidR="00222FCF" w:rsidRPr="004E746A" w14:paraId="35AAD022" w14:textId="77777777" w:rsidTr="0095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38BD3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&gt; 15 %</w:t>
            </w:r>
          </w:p>
        </w:tc>
        <w:tc>
          <w:tcPr>
            <w:tcW w:w="0" w:type="auto"/>
            <w:vAlign w:val="center"/>
            <w:hideMark/>
          </w:tcPr>
          <w:p w14:paraId="18D81BAF" w14:textId="77777777" w:rsidR="00222FCF" w:rsidRPr="004E746A" w:rsidRDefault="00222FCF" w:rsidP="004E74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E746A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</w:t>
            </w:r>
          </w:p>
        </w:tc>
      </w:tr>
    </w:tbl>
    <w:p w14:paraId="74FF6DBB" w14:textId="5B9C95A6" w:rsidR="00222FCF" w:rsidRPr="004E746A" w:rsidRDefault="00222FCF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0621A6C8" w14:textId="77777777" w:rsidR="00222FCF" w:rsidRPr="004E746A" w:rsidRDefault="00222FCF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CYCLE D'EXPLOITATION</w:t>
      </w:r>
    </w:p>
    <w:p w14:paraId="52E56712" w14:textId="259EA846" w:rsidR="00222FCF" w:rsidRPr="004E746A" w:rsidRDefault="00222FCF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lastRenderedPageBreak/>
        <w:t>DSO – Délai moyen de recouvrement clients</w:t>
      </w:r>
      <w:r w:rsidR="00952AE6"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4E746A">
        <w:rPr>
          <w:rFonts w:ascii="Times New Roman" w:hAnsi="Times New Roman" w:cs="Times New Roman"/>
          <w:sz w:val="24"/>
          <w:szCs w:val="24"/>
          <w:lang w:val="fr-FR"/>
        </w:rPr>
        <w:t>Clients</w:t>
      </w:r>
      <w:proofErr w:type="spellEnd"/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/ (CA / 365)</w:t>
      </w:r>
    </w:p>
    <w:p w14:paraId="0E106F1E" w14:textId="4BD11523" w:rsidR="00222FCF" w:rsidRPr="004E746A" w:rsidRDefault="00952AE6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>Le n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>ombre moyen de jours pour encaisser les créances.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Le 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>Benchmark :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br/>
        <w:t>30 à 60 jours.</w:t>
      </w:r>
    </w:p>
    <w:p w14:paraId="27837C3C" w14:textId="2F24C82B" w:rsidR="00222FCF" w:rsidRPr="004E746A" w:rsidRDefault="00222FCF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4AA1AE96" w14:textId="393BFA95" w:rsidR="00222FCF" w:rsidRPr="004E746A" w:rsidRDefault="00222FCF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DPO – Délai moyen de paiement fournisseurs</w:t>
      </w:r>
      <w:r w:rsidR="00952AE6"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4E746A">
        <w:rPr>
          <w:rFonts w:ascii="Times New Roman" w:hAnsi="Times New Roman" w:cs="Times New Roman"/>
          <w:sz w:val="24"/>
          <w:szCs w:val="24"/>
          <w:lang w:val="fr-FR"/>
        </w:rPr>
        <w:t>Fournisseurs</w:t>
      </w:r>
      <w:proofErr w:type="spellEnd"/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/ (Achats consommés / 365)</w:t>
      </w:r>
    </w:p>
    <w:p w14:paraId="00BA0EEE" w14:textId="04266069" w:rsidR="00222FCF" w:rsidRPr="004E746A" w:rsidRDefault="00952AE6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Le 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Nombre moyen de jours de crédit </w:t>
      </w:r>
      <w:proofErr w:type="spellStart"/>
      <w:proofErr w:type="gramStart"/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>fournisseurs.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>Le</w:t>
      </w:r>
      <w:proofErr w:type="spellEnd"/>
      <w:proofErr w:type="gramEnd"/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>Benchmark :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br/>
        <w:t>45 à 75 jours.</w:t>
      </w:r>
    </w:p>
    <w:p w14:paraId="7CDB762E" w14:textId="4F4D6127" w:rsidR="00222FCF" w:rsidRPr="004E746A" w:rsidRDefault="00222FCF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7F0B3891" w14:textId="4AE1C482" w:rsidR="00222FCF" w:rsidRPr="004E746A" w:rsidRDefault="00222FCF" w:rsidP="004E746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DIO – Durée moyenne de stockage</w:t>
      </w:r>
      <w:r w:rsidR="00952AE6"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>Stocks / (Achats consommés / 365)</w:t>
      </w:r>
    </w:p>
    <w:p w14:paraId="6E5875DD" w14:textId="5AEF2C88" w:rsidR="00222FCF" w:rsidRPr="004E746A" w:rsidRDefault="00952AE6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Le 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>Nombre moyen de jours de stockage.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Le 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>Benchmark industriel :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br/>
        <w:t>45 à 90 jours.</w:t>
      </w:r>
    </w:p>
    <w:p w14:paraId="52AEA0AF" w14:textId="248C445C" w:rsidR="00222FCF" w:rsidRPr="004E746A" w:rsidRDefault="00222FCF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3D5640F0" w14:textId="481730C2" w:rsidR="00222FCF" w:rsidRPr="004E746A" w:rsidRDefault="00952AE6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Prière 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en fin de rapport 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mettre 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un </w:t>
      </w:r>
      <w:r w:rsidR="00222FCF" w:rsidRPr="004E746A">
        <w:rPr>
          <w:rFonts w:ascii="Times New Roman" w:hAnsi="Times New Roman" w:cs="Times New Roman"/>
          <w:b/>
          <w:bCs/>
          <w:sz w:val="24"/>
          <w:szCs w:val="24"/>
          <w:lang w:val="fr-FR"/>
        </w:rPr>
        <w:t>Score Global de Performance Industrielle (SGPI)</w:t>
      </w:r>
      <w:r w:rsidR="00222FCF"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sur 100, avec les pondérations suivantes :</w:t>
      </w:r>
    </w:p>
    <w:p w14:paraId="310602DE" w14:textId="77777777" w:rsidR="00222FCF" w:rsidRPr="004E746A" w:rsidRDefault="00222FCF" w:rsidP="004E746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Liquidité : 15 % </w:t>
      </w:r>
    </w:p>
    <w:p w14:paraId="4EA8C3A8" w14:textId="77777777" w:rsidR="00222FCF" w:rsidRPr="004E746A" w:rsidRDefault="00222FCF" w:rsidP="004E746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Structure financière : 20 % </w:t>
      </w:r>
    </w:p>
    <w:p w14:paraId="3B66E909" w14:textId="77777777" w:rsidR="00222FCF" w:rsidRPr="004E746A" w:rsidRDefault="00222FCF" w:rsidP="004E746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Gestion des actifs : 15 % </w:t>
      </w:r>
    </w:p>
    <w:p w14:paraId="7606D269" w14:textId="77777777" w:rsidR="00222FCF" w:rsidRPr="004E746A" w:rsidRDefault="00222FCF" w:rsidP="004E746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Gestion des risques : 10 % </w:t>
      </w:r>
    </w:p>
    <w:p w14:paraId="7EC305AB" w14:textId="77777777" w:rsidR="00222FCF" w:rsidRPr="004E746A" w:rsidRDefault="00222FCF" w:rsidP="004E746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Rentabilité : 25 % </w:t>
      </w:r>
    </w:p>
    <w:p w14:paraId="1ABD7752" w14:textId="77777777" w:rsidR="00222FCF" w:rsidRPr="004E746A" w:rsidRDefault="00222FCF" w:rsidP="004E746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Productivité RH : 5 % </w:t>
      </w:r>
    </w:p>
    <w:p w14:paraId="7197448D" w14:textId="77777777" w:rsidR="00222FCF" w:rsidRPr="004E746A" w:rsidRDefault="00222FCF" w:rsidP="004E746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Cycle d'exploitation : 10 % </w:t>
      </w:r>
    </w:p>
    <w:p w14:paraId="532DC52A" w14:textId="396DB5C9" w:rsidR="00222FCF" w:rsidRPr="004E746A" w:rsidRDefault="00222FCF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Cela transforme </w:t>
      </w:r>
      <w:r w:rsidR="004E746A" w:rsidRPr="004E746A">
        <w:rPr>
          <w:rFonts w:ascii="Times New Roman" w:hAnsi="Times New Roman" w:cs="Times New Roman"/>
          <w:sz w:val="24"/>
          <w:szCs w:val="24"/>
          <w:lang w:val="fr-FR"/>
        </w:rPr>
        <w:t>le référentiel</w:t>
      </w:r>
      <w:r w:rsidRPr="004E746A">
        <w:rPr>
          <w:rFonts w:ascii="Times New Roman" w:hAnsi="Times New Roman" w:cs="Times New Roman"/>
          <w:sz w:val="24"/>
          <w:szCs w:val="24"/>
          <w:lang w:val="fr-FR"/>
        </w:rPr>
        <w:t xml:space="preserve"> en un outil de notation comparable </w:t>
      </w:r>
      <w:r w:rsidR="004E746A" w:rsidRPr="004E746A">
        <w:rPr>
          <w:rFonts w:ascii="Times New Roman" w:hAnsi="Times New Roman" w:cs="Times New Roman"/>
          <w:sz w:val="24"/>
          <w:szCs w:val="24"/>
          <w:lang w:val="fr-FR"/>
        </w:rPr>
        <w:t>pour tout le groupe.</w:t>
      </w:r>
    </w:p>
    <w:p w14:paraId="7F6ACE4B" w14:textId="77777777" w:rsidR="00222FCF" w:rsidRPr="004E746A" w:rsidRDefault="00222FCF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1FE59122" w14:textId="77777777" w:rsidR="00866A47" w:rsidRPr="004E746A" w:rsidRDefault="00866A47" w:rsidP="004E746A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sectPr w:rsidR="00866A47" w:rsidRPr="004E74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694AE4"/>
    <w:multiLevelType w:val="multilevel"/>
    <w:tmpl w:val="A77E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A5AF7"/>
    <w:multiLevelType w:val="hybridMultilevel"/>
    <w:tmpl w:val="3BE63B6A"/>
    <w:lvl w:ilvl="0" w:tplc="4E2415C2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D006D7"/>
    <w:multiLevelType w:val="multilevel"/>
    <w:tmpl w:val="18280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1198110">
    <w:abstractNumId w:val="8"/>
  </w:num>
  <w:num w:numId="2" w16cid:durableId="2016151283">
    <w:abstractNumId w:val="6"/>
  </w:num>
  <w:num w:numId="3" w16cid:durableId="1168400483">
    <w:abstractNumId w:val="5"/>
  </w:num>
  <w:num w:numId="4" w16cid:durableId="1044599721">
    <w:abstractNumId w:val="4"/>
  </w:num>
  <w:num w:numId="5" w16cid:durableId="1639795550">
    <w:abstractNumId w:val="7"/>
  </w:num>
  <w:num w:numId="6" w16cid:durableId="887374203">
    <w:abstractNumId w:val="3"/>
  </w:num>
  <w:num w:numId="7" w16cid:durableId="900288631">
    <w:abstractNumId w:val="2"/>
  </w:num>
  <w:num w:numId="8" w16cid:durableId="367724335">
    <w:abstractNumId w:val="1"/>
  </w:num>
  <w:num w:numId="9" w16cid:durableId="1839226867">
    <w:abstractNumId w:val="0"/>
  </w:num>
  <w:num w:numId="10" w16cid:durableId="901327558">
    <w:abstractNumId w:val="10"/>
  </w:num>
  <w:num w:numId="11" w16cid:durableId="517500841">
    <w:abstractNumId w:val="9"/>
  </w:num>
  <w:num w:numId="12" w16cid:durableId="18083551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6037"/>
    <w:rsid w:val="00222FCF"/>
    <w:rsid w:val="00227F15"/>
    <w:rsid w:val="0029639D"/>
    <w:rsid w:val="00326F90"/>
    <w:rsid w:val="003E1CF3"/>
    <w:rsid w:val="0044230F"/>
    <w:rsid w:val="004E746A"/>
    <w:rsid w:val="006E343B"/>
    <w:rsid w:val="00866A47"/>
    <w:rsid w:val="00935D42"/>
    <w:rsid w:val="00952AE6"/>
    <w:rsid w:val="00972ACA"/>
    <w:rsid w:val="00AA1D8D"/>
    <w:rsid w:val="00B47730"/>
    <w:rsid w:val="00BD4E30"/>
    <w:rsid w:val="00C9491E"/>
    <w:rsid w:val="00CB0664"/>
    <w:rsid w:val="00CB6CEE"/>
    <w:rsid w:val="00EC4310"/>
    <w:rsid w:val="00ED1F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723C40"/>
  <w14:defaultImageDpi w14:val="300"/>
  <w15:docId w15:val="{A3AFAB5A-B543-487F-9D5D-9FCFBE7C7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22FC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11</Pages>
  <Words>1338</Words>
  <Characters>7365</Characters>
  <Application>Microsoft Office Word</Application>
  <DocSecurity>0</DocSecurity>
  <Lines>61</Lines>
  <Paragraphs>17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Naoufel BENZARTI</cp:lastModifiedBy>
  <cp:revision>3</cp:revision>
  <cp:lastPrinted>2026-06-12T13:45:00Z</cp:lastPrinted>
  <dcterms:created xsi:type="dcterms:W3CDTF">2026-06-12T15:37:00Z</dcterms:created>
  <dcterms:modified xsi:type="dcterms:W3CDTF">2026-06-12T16:04:00Z</dcterms:modified>
  <cp:category/>
</cp:coreProperties>
</file>