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Kitab-i-Aqdas</w:t>
      </w:r>
    </w:p>
    <w:p>
      <w:pPr>
        <w:pStyle w:val="Author"/>
      </w:pPr>
      <w:r>
        <w:t xml:space="preserve">Joshua</w:t>
      </w:r>
      <w:r>
        <w:t xml:space="preserve"> </w:t>
      </w:r>
      <w:r>
        <w:t xml:space="preserve">W.</w:t>
      </w:r>
      <w:r>
        <w:t xml:space="preserve"> </w:t>
      </w:r>
      <w:r>
        <w:t xml:space="preserve">Adams</w:t>
      </w:r>
    </w:p>
    <w:p>
      <w:pPr>
        <w:pStyle w:val="Date"/>
      </w:pPr>
      <w:r>
        <w:t xml:space="preserve">2026-03-05</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3" w:name="sec-cover"/>
    <w:p>
      <w:pPr>
        <w:pStyle w:val="Heading1"/>
      </w:pPr>
      <w:r>
        <w:t xml:space="preserve">Cover</w:t>
      </w:r>
    </w:p>
    <w:p>
      <w:pPr>
        <w:pStyle w:val="CaptionedFigure"/>
      </w:pPr>
      <w:r>
        <w:drawing>
          <wp:inline>
            <wp:extent cx="5943600" cy="8915400"/>
            <wp:effectExtent b="0" l="0" r="0" t="0"/>
            <wp:docPr descr="Generated using ChatGPT 5.2" title="" id="21" name="Picture"/>
            <a:graphic>
              <a:graphicData uri="http://schemas.openxmlformats.org/drawingml/2006/picture">
                <pic:pic>
                  <pic:nvPicPr>
                    <pic:cNvPr descr="images/Achieving%20True%20Freedom%20Cover.png" id="22" name="Picture"/>
                    <pic:cNvPicPr>
                      <a:picLocks noChangeArrowheads="1" noChangeAspect="1"/>
                    </pic:cNvPicPr>
                  </pic:nvPicPr>
                  <pic:blipFill>
                    <a:blip r:embed="rId20"/>
                    <a:stretch>
                      <a:fillRect/>
                    </a:stretch>
                  </pic:blipFill>
                  <pic:spPr bwMode="auto">
                    <a:xfrm>
                      <a:off x="0" y="0"/>
                      <a:ext cx="5943600" cy="8915400"/>
                    </a:xfrm>
                    <a:prstGeom prst="rect">
                      <a:avLst/>
                    </a:prstGeom>
                    <a:noFill/>
                    <a:ln w="9525">
                      <a:noFill/>
                      <a:headEnd/>
                      <a:tailEnd/>
                    </a:ln>
                  </pic:spPr>
                </pic:pic>
              </a:graphicData>
            </a:graphic>
          </wp:inline>
        </w:drawing>
      </w:r>
    </w:p>
    <w:p>
      <w:pPr>
        <w:pStyle w:val="ImageCaption"/>
      </w:pPr>
      <w:r>
        <w:t xml:space="preserve">Generated using ChatGPT 5.2</w:t>
      </w:r>
    </w:p>
    <w:p>
      <w:r>
        <w:br w:type="page"/>
      </w:r>
    </w:p>
    <w:bookmarkEnd w:id="23"/>
    <w:bookmarkStart w:id="24"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4"/>
    <w:bookmarkStart w:id="65" w:name="belief-in-god"/>
    <w:p>
      <w:pPr>
        <w:pStyle w:val="Heading1"/>
      </w:pPr>
      <w:r>
        <w:t xml:space="preserve">1. Belief in God</w:t>
      </w:r>
    </w:p>
    <w:bookmarkStart w:id="25"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5"/>
    <w:bookmarkStart w:id="52" w:name="groups-of-names-and-attributes"/>
    <w:p>
      <w:pPr>
        <w:pStyle w:val="Heading2"/>
      </w:pPr>
      <w:r>
        <w:t xml:space="preserve">1.2 19 Groups of Names and Attributes</w:t>
      </w:r>
    </w:p>
    <w:bookmarkStart w:id="26" w:name="subtlety-2"/>
    <w:p>
      <w:pPr>
        <w:pStyle w:val="Heading3"/>
      </w:pPr>
      <w:r>
        <w:t xml:space="preserve">1.2.1 Subtlety (2)</w:t>
      </w:r>
    </w:p>
    <w:p>
      <w:pPr>
        <w:pStyle w:val="FirstParagraph"/>
      </w:pPr>
      <w:r>
        <w:t xml:space="preserve">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6"/>
    <w:bookmarkStart w:id="27"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isn’t accessibility in God’s entirety. These signs might not be 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pPr>
        <w:pStyle w:val="BodyText"/>
      </w:pPr>
      <w:r>
        <w:t xml:space="preserve">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7"/>
    <w:bookmarkStart w:id="28" w:name="knowledge-46"/>
    <w:p>
      <w:pPr>
        <w:pStyle w:val="Heading3"/>
      </w:pPr>
      <w:r>
        <w:t xml:space="preserve">1.2.3 Knowledge (46)</w:t>
      </w:r>
    </w:p>
    <w:p>
      <w:pPr>
        <w:pStyle w:val="FirstParagraph"/>
      </w:pPr>
      <w:r>
        <w:t xml:space="preserve">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pPr>
        <w:pStyle w:val="BodyText"/>
      </w:pPr>
      <w:r>
        <w:t xml:space="preserve">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8"/>
    <w:bookmarkStart w:id="30"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9"/>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30"/>
    <w:bookmarkStart w:id="32" w:name="power-36"/>
    <w:p>
      <w:pPr>
        <w:pStyle w:val="Heading3"/>
      </w:pPr>
      <w:r>
        <w:t xml:space="preserve">1.2.5 Power (36)</w:t>
      </w:r>
    </w:p>
    <w:p>
      <w:pPr>
        <w:pStyle w:val="FirstParagraph"/>
      </w:pPr>
      <w:r>
        <w:t xml:space="preserve">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31"/>
      </w:r>
    </w:p>
    <w:p>
      <w:pPr>
        <w:pStyle w:val="BodyText"/>
      </w:pPr>
      <w:r>
        <w:t xml:space="preserve">The next 14 groups include the quality of Power.</w:t>
      </w:r>
    </w:p>
    <w:bookmarkEnd w:id="32"/>
    <w:bookmarkStart w:id="33" w:name="lordship-51"/>
    <w:p>
      <w:pPr>
        <w:pStyle w:val="Heading3"/>
      </w:pPr>
      <w:r>
        <w:t xml:space="preserve">1.2.6 Lordship (51)</w:t>
      </w:r>
    </w:p>
    <w:p>
      <w:pPr>
        <w:pStyle w:val="FirstParagraph"/>
      </w:pPr>
      <w:r>
        <w:t xml:space="preserve">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3"/>
    <w:bookmarkStart w:id="34"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4"/>
    <w:bookmarkStart w:id="35"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pPr>
        <w:pStyle w:val="BodyText"/>
      </w:pPr>
      <w:r>
        <w:t xml:space="preserve">The belief in God’s Exaltation is not because God feels jealousy if you do not, nor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5"/>
    <w:bookmarkStart w:id="38"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in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6"/>
      </w:r>
      <w:r>
        <w:t xml:space="preserve"> </w:t>
      </w:r>
      <w:r>
        <w:t xml:space="preserve">and due to this, God is free of corruption.</w:t>
      </w:r>
      <w:r>
        <w:rPr>
          <w:rStyle w:val="FootnoteReference"/>
        </w:rPr>
        <w:footnoteReference w:id="37"/>
      </w:r>
    </w:p>
    <w:p>
      <w:pPr>
        <w:pStyle w:val="BodyText"/>
      </w:pPr>
      <w:r>
        <w:t xml:space="preserve">The next 10 groups include the quality of Independence.</w:t>
      </w:r>
    </w:p>
    <w:bookmarkEnd w:id="38"/>
    <w:bookmarkStart w:id="39"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serves as the Word through which the entire framework of order, laws, directives, and intentions are used to shape the destiny of creation.</w:t>
      </w:r>
    </w:p>
    <w:p>
      <w:pPr>
        <w:pStyle w:val="BodyText"/>
      </w:pPr>
      <w:r>
        <w:t xml:space="preserve">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9"/>
    <w:bookmarkStart w:id="40"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pPr>
        <w:pStyle w:val="BodyText"/>
      </w:pPr>
      <w:r>
        <w:t xml:space="preserve">The next 8 groups include the quality Counsel.</w:t>
      </w:r>
    </w:p>
    <w:bookmarkEnd w:id="40"/>
    <w:bookmarkStart w:id="41"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Faithfulness.</w:t>
      </w:r>
    </w:p>
    <w:bookmarkEnd w:id="41"/>
    <w:bookmarkStart w:id="42"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42"/>
    <w:bookmarkStart w:id="44"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3"/>
      </w:r>
      <w:r>
        <w:t xml:space="preserve"> </w:t>
      </w:r>
      <w:r>
        <w:t xml:space="preserve">It appears love was the beginning, but the ancient essence of Subtlety is the beginning.</w:t>
      </w:r>
    </w:p>
    <w:p>
      <w:pPr>
        <w:pStyle w:val="BodyText"/>
      </w:pPr>
      <w:r>
        <w:t xml:space="preserve">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4"/>
    <w:bookmarkStart w:id="45"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pPr>
        <w:pStyle w:val="BodyText"/>
      </w:pPr>
      <w:r>
        <w:t xml:space="preserve">The next 4 groups include the quality of Forgiveness.</w:t>
      </w:r>
    </w:p>
    <w:bookmarkEnd w:id="45"/>
    <w:bookmarkStart w:id="46"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6"/>
    <w:bookmarkStart w:id="48"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7"/>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pPr>
        <w:pStyle w:val="BodyText"/>
      </w:pPr>
      <w:r>
        <w:t xml:space="preserve">The next 2 groups include generosity.</w:t>
      </w:r>
    </w:p>
    <w:bookmarkEnd w:id="48"/>
    <w:bookmarkStart w:id="49" w:name="sovereignty-4"/>
    <w:p>
      <w:pPr>
        <w:pStyle w:val="Heading3"/>
      </w:pPr>
      <w:r>
        <w:t xml:space="preserve">1.2.18 Sovereignty (4)</w:t>
      </w:r>
    </w:p>
    <w:p>
      <w:pPr>
        <w:pStyle w:val="FirstParagraph"/>
      </w:pPr>
      <w:r>
        <w:t xml:space="preserve">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9"/>
    <w:bookmarkStart w:id="51"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directionless.</w:t>
      </w:r>
    </w:p>
    <w:p>
      <w:pPr>
        <w:numPr>
          <w:ilvl w:val="0"/>
          <w:numId w:val="1001"/>
        </w:numPr>
        <w:pStyle w:val="Compact"/>
      </w:pPr>
      <w:r>
        <w:t xml:space="preserve">Belief in God’s Oneness without His Faithfulness could make God seem fickle and unreliable in fulfilling promises. This would lead to distrust in religion and a fear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 belief in God’s love makes oneness cold and rigid. It leads to fear-based religion, where obedience is motivated by dread.</w:t>
      </w:r>
    </w:p>
    <w:p>
      <w:pPr>
        <w:numPr>
          <w:ilvl w:val="0"/>
          <w:numId w:val="1001"/>
        </w:numPr>
        <w:pStyle w:val="Compact"/>
      </w:pPr>
      <w:r>
        <w:t xml:space="preserve">Belief in God’s Oneness without His forgiveness make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w:t>
      </w:r>
    </w:p>
    <w:p>
      <w:pPr>
        <w:pStyle w:val="FirstParagraph"/>
      </w:pPr>
      <w:r>
        <w:t xml:space="preserve">Belief in God’s Purity leads to an understanding which there is no partner with God as the Greatest Infallibility</w:t>
      </w:r>
      <w:r>
        <w:rPr>
          <w:rStyle w:val="FootnoteReference"/>
        </w:rPr>
        <w:footnoteReference w:id="50"/>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51"/>
    <w:bookmarkEnd w:id="52"/>
    <w:bookmarkStart w:id="57"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3"/>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4"/>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5"/>
      </w:r>
    </w:p>
    <w:p>
      <w:pPr>
        <w:pStyle w:val="BodyText"/>
      </w:pPr>
      <w:r>
        <w:t xml:space="preserve">Belief in these names and attributes of God are a pathway to understanding what this purpose is. The purpose of God is not solely the commandments and prohibitions</w:t>
      </w:r>
      <w:r>
        <w:rPr>
          <w:rStyle w:val="FootnoteReference"/>
        </w:rPr>
        <w:footnoteReference w:id="56"/>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7"/>
    <w:bookmarkStart w:id="62"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8"/>
      </w:r>
      <w:r>
        <w:t xml:space="preserve"> </w:t>
      </w:r>
      <w:r>
        <w:t xml:space="preserve">and</w:t>
      </w:r>
      <w:r>
        <w:t xml:space="preserve"> </w:t>
      </w:r>
      <w:r>
        <w:t xml:space="preserve">“</w:t>
      </w:r>
      <w:r>
        <w:t xml:space="preserve">passes through all created things.</w:t>
      </w:r>
      <w:r>
        <w:t xml:space="preserve">”</w:t>
      </w:r>
      <w:r>
        <w:rPr>
          <w:rStyle w:val="FootnoteReference"/>
        </w:rPr>
        <w:footnoteReference w:id="59"/>
      </w:r>
      <w:r>
        <w:t xml:space="preserve"> </w:t>
      </w:r>
      <w:r>
        <w:t xml:space="preserve">The breath has fragrance</w:t>
      </w:r>
      <w:r>
        <w:rPr>
          <w:rStyle w:val="FootnoteReference"/>
        </w:rPr>
        <w:footnoteReference w:id="60"/>
      </w:r>
      <w:r>
        <w:t xml:space="preserve"> </w:t>
      </w:r>
      <w:r>
        <w:t xml:space="preserve">and causes action and movement. If there is no movement due to the breath of God, the person or object is considered dead.</w:t>
      </w:r>
      <w:r>
        <w:rPr>
          <w:rStyle w:val="FootnoteReference"/>
        </w:rPr>
        <w:footnoteReference w:id="61"/>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62"/>
    <w:bookmarkStart w:id="63"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3"/>
    <w:bookmarkStart w:id="64" w:name="chapter-summary"/>
    <w:p>
      <w:pPr>
        <w:pStyle w:val="Heading2"/>
      </w:pPr>
      <w:r>
        <w:t xml:space="preserve">1.6 Chapter Summary</w:t>
      </w:r>
    </w:p>
    <w:p>
      <w:pPr>
        <w:pStyle w:val="FirstParagraph"/>
      </w:pPr>
      <w:r>
        <w:t xml:space="preserve">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r>
        <w:br w:type="page"/>
      </w:r>
    </w:p>
    <w:bookmarkEnd w:id="64"/>
    <w:bookmarkEnd w:id="65"/>
    <w:bookmarkStart w:id="99" w:name="belief-in-the-human-soul"/>
    <w:p>
      <w:pPr>
        <w:pStyle w:val="Heading1"/>
      </w:pPr>
      <w:r>
        <w:t xml:space="preserve">2. Belief in the Human Soul</w:t>
      </w:r>
    </w:p>
    <w:bookmarkStart w:id="66"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speaking—body, mind, or something deeper?</w:t>
      </w:r>
      <w:r>
        <w:t xml:space="preserve"> </w:t>
      </w:r>
      <w:r>
        <w:t xml:space="preserve">We first need to establish what it means to say the soul exists at all.</w:t>
      </w:r>
    </w:p>
    <w:bookmarkEnd w:id="66"/>
    <w:bookmarkStart w:id="78" w:name="the-reality-of-the-human-soul"/>
    <w:p>
      <w:pPr>
        <w:pStyle w:val="Heading2"/>
      </w:pPr>
      <w:r>
        <w:t xml:space="preserve">2.2 The Reality of the Human Soul</w:t>
      </w:r>
    </w:p>
    <w:p>
      <w:pPr>
        <w:pStyle w:val="FirstParagraph"/>
      </w:pPr>
      <w:r>
        <w:t xml:space="preserve">The first belief is the fact the human soul exists and is real. All living things have a soul, but the human soul is distinct to humans. The human soul is capable of self-awareness, moral choice, and a conscious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7"/>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8"/>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9"/>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70"/>
      </w:r>
      <w:r>
        <w:t xml:space="preserve">, through the divine breath.</w:t>
      </w:r>
      <w:r>
        <w:rPr>
          <w:rStyle w:val="FootnoteReference"/>
        </w:rPr>
        <w:footnoteReference w:id="71"/>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72"/>
      </w:r>
      <w:r>
        <w:t xml:space="preserve"> </w:t>
      </w:r>
      <w:r>
        <w:t xml:space="preserve">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3"/>
      </w:r>
      <w:r>
        <w:t xml:space="preserve"> </w:t>
      </w:r>
      <w:r>
        <w:t xml:space="preserve">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pPr>
        <w:pStyle w:val="BodyText"/>
      </w:pPr>
      <w:r>
        <w:t xml:space="preserve">Bahá’u’lláh expresses all souls, whether in animals or in humans, and all humans are Signs of the divine reality.</w:t>
      </w:r>
      <w:r>
        <w:rPr>
          <w:rStyle w:val="FootnoteReference"/>
        </w:rPr>
        <w:footnoteReference w:id="74"/>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5"/>
      </w:r>
      <w:r>
        <w:t xml:space="preserve"> </w:t>
      </w:r>
      <w:r>
        <w:t xml:space="preserve">The names and attributes are manifested in the human soul.</w:t>
      </w:r>
      <w:r>
        <w:rPr>
          <w:rStyle w:val="FootnoteReference"/>
        </w:rPr>
        <w:footnoteReference w:id="76"/>
      </w:r>
      <w:r>
        <w:t xml:space="preserve"> </w:t>
      </w:r>
      <w:r>
        <w:t xml:space="preserve">This mirrorship is a way to recognize God within us.</w:t>
      </w:r>
      <w:r>
        <w:rPr>
          <w:rStyle w:val="FootnoteReference"/>
        </w:rPr>
        <w:footnoteReference w:id="77"/>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r>
        <w:t xml:space="preserve"> </w:t>
      </w:r>
      <w:r>
        <w:t xml:space="preserve">From existence, we can move to the soul’s distinct qualities and capacities.</w:t>
      </w:r>
    </w:p>
    <w:bookmarkEnd w:id="78"/>
    <w:bookmarkStart w:id="86"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9"/>
      </w:r>
      <w:r>
        <w:t xml:space="preserve"> </w:t>
      </w:r>
      <w:r>
        <w:t xml:space="preserve">The figurative heart serves as a malleable lens within the body which serves to perceive divine truth. This helps a person with receptivity to God, which in turn helps a human soul determine its destiny and spiritual path.</w:t>
      </w:r>
    </w:p>
    <w:p>
      <w:pPr>
        <w:pStyle w:val="BodyText"/>
      </w:pPr>
      <w:r>
        <w:t xml:space="preserve">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pPr>
        <w:pStyle w:val="BodyText"/>
      </w:pPr>
      <w:r>
        <w:t xml:space="preserve">The human soul is capable of having an exalted and noble station.</w:t>
      </w:r>
      <w:r>
        <w:rPr>
          <w:rStyle w:val="FootnoteReference"/>
        </w:rPr>
        <w:footnoteReference w:id="80"/>
      </w:r>
      <w:r>
        <w:t xml:space="preserve"> </w:t>
      </w:r>
      <w:r>
        <w:t xml:space="preserve">There are various stations and ranks a soul is capable of achieving. The soul itself was born noble</w:t>
      </w:r>
      <w:r>
        <w:rPr>
          <w:rStyle w:val="FootnoteReference"/>
        </w:rPr>
        <w:footnoteReference w:id="81"/>
      </w:r>
      <w:r>
        <w:t xml:space="preserve"> </w:t>
      </w:r>
      <w:r>
        <w:t xml:space="preserve">but requires effort to remain so by turning one’s sight inward. There is no higher station than a person bearing witness to God.</w:t>
      </w:r>
      <w:r>
        <w:rPr>
          <w:rStyle w:val="FootnoteReference"/>
        </w:rPr>
        <w:footnoteReference w:id="82"/>
      </w:r>
      <w:r>
        <w:t xml:space="preserve"> </w:t>
      </w:r>
      <w:r>
        <w:t xml:space="preserve">The human soul’s natural station is higher than that of animals, but can descend to the level of an animal’s soul if it is neglected.</w:t>
      </w:r>
      <w:r>
        <w:rPr>
          <w:rStyle w:val="FootnoteReference"/>
        </w:rPr>
        <w:footnoteReference w:id="83"/>
      </w:r>
    </w:p>
    <w:p>
      <w:pPr>
        <w:pStyle w:val="BodyText"/>
      </w:pPr>
      <w:r>
        <w:t xml:space="preserve">Each person and each human soul has its own capacity.</w:t>
      </w:r>
      <w:r>
        <w:rPr>
          <w:rStyle w:val="FootnoteReference"/>
        </w:rPr>
        <w:footnoteReference w:id="84"/>
      </w:r>
      <w:r>
        <w:t xml:space="preserve"> </w:t>
      </w:r>
      <w:r>
        <w:t xml:space="preserve">Not every person’s soul will express the divine attributes and names equally or in the same exact way. They are expressed according to one’s capacity.</w:t>
      </w:r>
      <w:r>
        <w:rPr>
          <w:rStyle w:val="FootnoteReference"/>
        </w:rPr>
        <w:footnoteReference w:id="85"/>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pPr>
        <w:pStyle w:val="BodyText"/>
      </w:pPr>
      <w:r>
        <w:rPr>
          <w:iCs/>
          <w:i/>
        </w:rPr>
        <w:t xml:space="preserve">Reflection: What inner habit most often steals your freedom—fear, suspicion, or pride?</w:t>
      </w:r>
    </w:p>
    <w:p>
      <w:pPr>
        <w:pStyle w:val="BodyText"/>
      </w:pPr>
      <w:r>
        <w:t xml:space="preserve">Once the soul’s potential is clear, we can be honest about the conflicts that dim it.</w:t>
      </w:r>
    </w:p>
    <w:bookmarkEnd w:id="86"/>
    <w:bookmarkStart w:id="92"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7"/>
      </w:r>
      <w:r>
        <w:t xml:space="preserve"> </w:t>
      </w:r>
      <w:r>
        <w:t xml:space="preserve">as an opposition to one who uses reason. This suggests that the soul and reason are meant to be allies. When we are</w:t>
      </w:r>
      <w:r>
        <w:t xml:space="preserve"> </w:t>
      </w:r>
      <w:r>
        <w:t xml:space="preserve">‘</w:t>
      </w:r>
      <w:r>
        <w:t xml:space="preserve">headless</w:t>
      </w:r>
      <w:r>
        <w:t xml:space="preserve">’</w:t>
      </w:r>
      <w:r>
        <w:t xml:space="preserve"> </w:t>
      </w:r>
      <w:r>
        <w:t xml:space="preserve">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these suspicions act as idols.</w:t>
      </w:r>
      <w:r>
        <w:rPr>
          <w:rStyle w:val="FootnoteReference"/>
        </w:rPr>
        <w:footnoteReference w:id="88"/>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9"/>
      </w:r>
      <w:r>
        <w:t xml:space="preserve"> </w:t>
      </w:r>
      <w:r>
        <w:t xml:space="preserve">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90"/>
      </w:r>
      <w:r>
        <w:t xml:space="preserve"> </w:t>
      </w:r>
      <w:r>
        <w:t xml:space="preserve">and reveals our true human rank.</w:t>
      </w:r>
      <w:r>
        <w:rPr>
          <w:rStyle w:val="FootnoteReference"/>
        </w:rPr>
        <w:footnoteReference w:id="91"/>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92"/>
    <w:bookmarkStart w:id="98" w:name="the-fate-of-the-soul"/>
    <w:p>
      <w:pPr>
        <w:pStyle w:val="Heading2"/>
      </w:pPr>
      <w:r>
        <w:t xml:space="preserve">2.5 The Fate of the Soul</w:t>
      </w:r>
    </w:p>
    <w:p>
      <w:pPr>
        <w:pStyle w:val="FirstParagraph"/>
      </w:pPr>
      <w:r>
        <w:t xml:space="preserve">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3"/>
      </w:r>
      <w:r>
        <w:t xml:space="preserve"> </w:t>
      </w:r>
      <w:r>
        <w:t xml:space="preserve">The temple of the human body will end. The human soul will take flight.</w:t>
      </w:r>
      <w:r>
        <w:rPr>
          <w:rStyle w:val="FootnoteReference"/>
        </w:rPr>
        <w:footnoteReference w:id="94"/>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5"/>
      </w:r>
      <w:r>
        <w:t xml:space="preserve"> </w:t>
      </w:r>
      <w:r>
        <w:t xml:space="preserve">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6"/>
      </w:r>
      <w:r>
        <w:t xml:space="preserve"> </w:t>
      </w:r>
      <w:r>
        <w:t xml:space="preserve">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97"/>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8"/>
    <w:bookmarkEnd w:id="99"/>
    <w:bookmarkStart w:id="145" w:name="belief-in-the-worlds-of-god"/>
    <w:p>
      <w:pPr>
        <w:pStyle w:val="Heading1"/>
      </w:pPr>
      <w:r>
        <w:t xml:space="preserve">3. Belief in the Worlds of God</w:t>
      </w:r>
    </w:p>
    <w:bookmarkStart w:id="100" w:name="introduction"/>
    <w:p>
      <w:pPr>
        <w:pStyle w:val="Heading2"/>
      </w:pPr>
      <w:r>
        <w:t xml:space="preserve">3.1 Introduction</w:t>
      </w:r>
    </w:p>
    <w:p>
      <w:pPr>
        <w:pStyle w:val="FirstParagraph"/>
      </w:pPr>
      <w:r>
        <w:t xml:space="preserve">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bookmarkEnd w:id="100"/>
    <w:bookmarkStart w:id="115"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101"/>
      </w:r>
      <w:r>
        <w:t xml:space="preserve"> </w:t>
      </w:r>
      <w:r>
        <w:t xml:space="preserve">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102"/>
      </w:r>
      <w:r>
        <w:t xml:space="preserve"> </w:t>
      </w:r>
      <w:r>
        <w:t xml:space="preserve">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103"/>
      </w:r>
      <w:r>
        <w:t xml:space="preserve"> </w:t>
      </w:r>
      <w:r>
        <w:t xml:space="preserve">There is also a greater world.</w:t>
      </w:r>
      <w:r>
        <w:rPr>
          <w:rStyle w:val="FootnoteReference"/>
        </w:rPr>
        <w:footnoteReference w:id="104"/>
      </w:r>
      <w:r>
        <w:t xml:space="preserve"> </w:t>
      </w:r>
      <w:r>
        <w:t xml:space="preserve">In the writings of Bahá’u’lláh, the greater world seems to represent the very structure of existence itself. It’s a vast spiritual reality which includes all divine realms.</w:t>
      </w:r>
    </w:p>
    <w:bookmarkStart w:id="109" w:name="kingdoms-within-the-worlds"/>
    <w:p>
      <w:pPr>
        <w:pStyle w:val="Heading3"/>
      </w:pPr>
      <w:r>
        <w:t xml:space="preserve">3.2.1 Kingdoms Within the Worlds</w:t>
      </w:r>
    </w:p>
    <w:p>
      <w:pPr>
        <w:pStyle w:val="FirstParagraph"/>
      </w:pPr>
      <w:r>
        <w:t xml:space="preserve">The Kingdom of Names bears witness God desires to rule over our hearts.</w:t>
      </w:r>
      <w:r>
        <w:rPr>
          <w:rStyle w:val="FootnoteReference"/>
        </w:rPr>
        <w:footnoteReference w:id="105"/>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6"/>
      </w:r>
      <w:r>
        <w:t xml:space="preserve"> </w:t>
      </w:r>
      <w:r>
        <w:t xml:space="preserve">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7"/>
      </w:r>
      <w:r>
        <w:t xml:space="preserve"> </w:t>
      </w:r>
      <w:r>
        <w:t xml:space="preserve">exists within all worlds. This kingdom represents God’s sovereignty, one of the names of God. There is also the Kingdom of Command</w:t>
      </w:r>
      <w:r>
        <w:rPr>
          <w:rStyle w:val="FootnoteReference"/>
        </w:rPr>
        <w:footnoteReference w:id="108"/>
      </w:r>
      <w:r>
        <w:t xml:space="preserve">, representing God’s names of commander, ordainer, and fulfiller.</w:t>
      </w:r>
    </w:p>
    <w:bookmarkEnd w:id="109"/>
    <w:bookmarkStart w:id="114"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10"/>
      </w:r>
      <w:r>
        <w:t xml:space="preserve"> </w:t>
      </w:r>
      <w:r>
        <w:t xml:space="preserve">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11"/>
      </w:r>
      <w:r>
        <w:t xml:space="preserve"> </w:t>
      </w:r>
      <w:r>
        <w:t xml:space="preserve">Aiding this development are schools within these cities. The School of God is where the Tablets are revealed.</w:t>
      </w:r>
      <w:r>
        <w:rPr>
          <w:rStyle w:val="FootnoteReference"/>
        </w:rPr>
        <w:footnoteReference w:id="112"/>
      </w:r>
      <w:r>
        <w:t xml:space="preserve"> </w:t>
      </w:r>
      <w:r>
        <w:t xml:space="preserve">The School of God predates the creation of the Earth and heavens</w:t>
      </w:r>
      <w:r>
        <w:rPr>
          <w:rStyle w:val="FootnoteReference"/>
        </w:rPr>
        <w:footnoteReference w:id="113"/>
      </w:r>
      <w:r>
        <w:t xml:space="preserve"> </w:t>
      </w:r>
      <w:r>
        <w:t xml:space="preserve">and encompasses all the knowledge God the All-Knowing has. As we experienced in the chapter</w:t>
      </w:r>
      <w:r>
        <w:t xml:space="preserve"> </w:t>
      </w:r>
      <w:r>
        <w:t xml:space="preserve">“</w:t>
      </w:r>
      <w:r>
        <w:t xml:space="preserve">Belief in God,</w:t>
      </w:r>
      <w:r>
        <w:t xml:space="preserve">”</w:t>
      </w:r>
      <w:r>
        <w:t xml:space="preserve"> </w:t>
      </w:r>
      <w:r>
        <w:t xml:space="preserve">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4"/>
    <w:bookmarkEnd w:id="115"/>
    <w:bookmarkStart w:id="123"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116"/>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7"/>
      </w:r>
      <w:r>
        <w:t xml:space="preserve"> </w:t>
      </w:r>
      <w:r>
        <w:t xml:space="preserve">and Heaven of Revelation.</w:t>
      </w:r>
      <w:r>
        <w:rPr>
          <w:rStyle w:val="FootnoteReference"/>
        </w:rPr>
        <w:footnoteReference w:id="118"/>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9"/>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20"/>
      </w:r>
      <w:r>
        <w:t xml:space="preserve"> </w:t>
      </w:r>
      <w:r>
        <w:t xml:space="preserve">The purpose of the soul is reunion with God in the heavenly paradise.</w:t>
      </w:r>
    </w:p>
    <w:p>
      <w:pPr>
        <w:pStyle w:val="BodyText"/>
      </w:pPr>
      <w:r>
        <w:t xml:space="preserve">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21"/>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22"/>
      </w:r>
      <w:r>
        <w:t xml:space="preserve"> </w:t>
      </w:r>
      <w:r>
        <w:t xml:space="preserve">It can also be the Words of God, no matter who sings them, are also heaven.</w:t>
      </w:r>
    </w:p>
    <w:p>
      <w:pPr>
        <w:pStyle w:val="BodyText"/>
      </w:pPr>
      <w:r>
        <w:rPr>
          <w:iCs/>
          <w:i/>
        </w:rPr>
        <w:t xml:space="preserve">Reflection: If Heaven can be a condition of nearness, what would</w:t>
      </w:r>
      <w:r>
        <w:rPr>
          <w:iCs/>
          <w:i/>
        </w:rPr>
        <w:t xml:space="preserve"> </w:t>
      </w:r>
      <w:r>
        <w:rPr>
          <w:iCs/>
          <w:i/>
        </w:rPr>
        <w:t xml:space="preserve">“</w:t>
      </w:r>
      <w:r>
        <w:rPr>
          <w:iCs/>
          <w:i/>
        </w:rPr>
        <w:t xml:space="preserve">one step nearer</w:t>
      </w:r>
      <w:r>
        <w:rPr>
          <w:iCs/>
          <w:i/>
        </w:rPr>
        <w:t xml:space="preserve">”</w:t>
      </w:r>
      <w:r>
        <w:rPr>
          <w:iCs/>
          <w:i/>
        </w:rPr>
        <w:t xml:space="preserve"> </w:t>
      </w:r>
      <w:r>
        <w:rPr>
          <w:iCs/>
          <w:i/>
        </w:rPr>
        <w:t xml:space="preserve">look like in your inner life today?</w:t>
      </w:r>
    </w:p>
    <w:p>
      <w:pPr>
        <w:pStyle w:val="BodyText"/>
      </w:pPr>
      <w:r>
        <w:t xml:space="preserve">To see how the worlds of God are not empty space but living reality, we now turn to who dwells in them and how they aid the soul.</w:t>
      </w:r>
    </w:p>
    <w:bookmarkEnd w:id="123"/>
    <w:bookmarkStart w:id="134"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4"/>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5"/>
      </w:r>
      <w:r>
        <w:t xml:space="preserve"> </w:t>
      </w:r>
      <w:r>
        <w:t xml:space="preserve">They lament the fire of hatred</w:t>
      </w:r>
      <w:r>
        <w:rPr>
          <w:rStyle w:val="FootnoteReference"/>
        </w:rPr>
        <w:footnoteReference w:id="126"/>
      </w:r>
      <w:r>
        <w:t xml:space="preserve"> </w:t>
      </w:r>
      <w:r>
        <w:t xml:space="preserve">and have submitted to the Cause of God.</w:t>
      </w:r>
      <w:r>
        <w:rPr>
          <w:rStyle w:val="FootnoteReference"/>
        </w:rPr>
        <w:footnoteReference w:id="127"/>
      </w:r>
    </w:p>
    <w:p>
      <w:pPr>
        <w:pStyle w:val="BodyText"/>
      </w:pPr>
      <w:r>
        <w:t xml:space="preserve">The Hosts of the Celestial realm and the nearest angels will aid anyone who rises to assist the Cause of God.</w:t>
      </w:r>
      <w:r>
        <w:rPr>
          <w:rStyle w:val="FootnoteReference"/>
        </w:rPr>
        <w:footnoteReference w:id="128"/>
      </w:r>
      <w:r>
        <w:t xml:space="preserve"> </w:t>
      </w:r>
      <w:r>
        <w:t xml:space="preserve">Angels are celestial beings whose purpose is to do God’s will. They send His Tablets</w:t>
      </w:r>
      <w:r>
        <w:rPr>
          <w:rStyle w:val="FootnoteReference"/>
        </w:rPr>
        <w:footnoteReference w:id="129"/>
      </w:r>
      <w:r>
        <w:t xml:space="preserve"> </w:t>
      </w:r>
      <w:r>
        <w:t xml:space="preserve">and are able to traverse the greater worlds into our lesser world.</w:t>
      </w:r>
      <w:r>
        <w:rPr>
          <w:rStyle w:val="FootnoteReference"/>
        </w:rPr>
        <w:footnoteReference w:id="130"/>
      </w:r>
      <w:r>
        <w:t xml:space="preserve"> </w:t>
      </w:r>
      <w:r>
        <w:t xml:space="preserve">They will announce with a trumpet the arrival of a Messenger with a Message.</w:t>
      </w:r>
      <w:r>
        <w:rPr>
          <w:rStyle w:val="FootnoteReference"/>
        </w:rPr>
        <w:footnoteReference w:id="131"/>
      </w:r>
      <w:r>
        <w:t xml:space="preserve"> </w:t>
      </w:r>
      <w:r>
        <w:t xml:space="preserve">Angels also announce the death of a person, bring about wrath and punishment for a soul which had not progressed.</w:t>
      </w:r>
      <w:r>
        <w:rPr>
          <w:rStyle w:val="FootnoteReference"/>
        </w:rPr>
        <w:footnoteReference w:id="132"/>
      </w:r>
    </w:p>
    <w:p>
      <w:pPr>
        <w:pStyle w:val="BodyText"/>
      </w:pPr>
      <w:r>
        <w:t xml:space="preserve">A soul which has been purified can achieve a station as angels.</w:t>
      </w:r>
      <w:r>
        <w:rPr>
          <w:rStyle w:val="FootnoteReference"/>
        </w:rPr>
        <w:footnoteReference w:id="133"/>
      </w:r>
      <w:r>
        <w:t xml:space="preserve"> </w:t>
      </w:r>
      <w:r>
        <w:t xml:space="preserve">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 al-Muntahá.</w:t>
      </w:r>
    </w:p>
    <w:bookmarkEnd w:id="134"/>
    <w:bookmarkStart w:id="143" w:name="sidrat-al-muntahá"/>
    <w:p>
      <w:pPr>
        <w:pStyle w:val="Heading2"/>
      </w:pPr>
      <w:r>
        <w:t xml:space="preserve">3.5 Sidrat al-Muntahá</w:t>
      </w:r>
    </w:p>
    <w:p>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5"/>
      </w:r>
    </w:p>
    <w:p>
      <w:pPr>
        <w:pStyle w:val="BodyText"/>
      </w:pPr>
      <w:r>
        <w:t xml:space="preserve">The Sidrat al-Muntahá can call out and proclaim. It has Branches which provide shade and salvation.</w:t>
      </w:r>
      <w:r>
        <w:rPr>
          <w:rStyle w:val="FootnoteReference"/>
        </w:rPr>
        <w:footnoteReference w:id="136"/>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7"/>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8"/>
      </w:r>
    </w:p>
    <w:p>
      <w:pPr>
        <w:pStyle w:val="FirstParagraph"/>
      </w:pPr>
      <w:r>
        <w:t xml:space="preserve">What is spoken from the Sidrat al-Muntahá is the Mother Book, which is the hidden treasure.</w:t>
      </w:r>
      <w:r>
        <w:rPr>
          <w:rStyle w:val="FootnoteReference"/>
        </w:rPr>
        <w:footnoteReference w:id="139"/>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140"/>
      </w:r>
      <w:r>
        <w:t xml:space="preserve"> </w:t>
      </w:r>
      <w:r>
        <w:t xml:space="preserve">The Holy Spirit can also act as an intermediary between the Manifestations of God and us, or between God and us. It calls from the Kingdom of God</w:t>
      </w:r>
      <w:r>
        <w:rPr>
          <w:rStyle w:val="FootnoteReference"/>
        </w:rPr>
        <w:footnoteReference w:id="141"/>
      </w:r>
      <w:r>
        <w:t xml:space="preserve"> </w:t>
      </w:r>
      <w:r>
        <w:t xml:space="preserve">and animates and inspires life within the soul, even if the soul seems inert or dead. The Holy Spirit is a source of grace.</w:t>
      </w:r>
      <w:r>
        <w:rPr>
          <w:rStyle w:val="FootnoteReference"/>
        </w:rPr>
        <w:footnoteReference w:id="142"/>
      </w:r>
    </w:p>
    <w:p>
      <w:pPr>
        <w:pStyle w:val="BodyText"/>
      </w:pPr>
      <w:r>
        <w:t xml:space="preserve">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3"/>
    <w:bookmarkStart w:id="144"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r>
        <w:br w:type="page"/>
      </w:r>
    </w:p>
    <w:bookmarkEnd w:id="144"/>
    <w:bookmarkEnd w:id="145"/>
    <w:bookmarkStart w:id="184" w:name="belief-in-the-day-of-resurrection"/>
    <w:p>
      <w:pPr>
        <w:pStyle w:val="Heading1"/>
      </w:pPr>
      <w:r>
        <w:t xml:space="preserve">4. Belief in the Day of Resurrection</w:t>
      </w:r>
    </w:p>
    <w:bookmarkStart w:id="146" w:name="introduction-1"/>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6"/>
    <w:bookmarkStart w:id="147"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w:t>
      </w:r>
      <w:r>
        <w:t xml:space="preserve"> </w:t>
      </w:r>
      <w:r>
        <w:t xml:space="preserve">“</w:t>
      </w:r>
      <w:r>
        <w:t xml:space="preserve">Come, O sons of vanity!</w:t>
      </w:r>
      <w:r>
        <w:t xml:space="preserve">”</w:t>
      </w:r>
      <w:r>
        <w:t xml:space="preserve"> </w:t>
      </w:r>
      <w:r>
        <w:t xml:space="preserve">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7"/>
    <w:bookmarkStart w:id="150"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8"/>
      </w:r>
      <w:r>
        <w:t xml:space="preserve"> </w:t>
      </w:r>
      <w:r>
        <w:t xml:space="preserve">The trumpet is the announcement and the blast is the effect. There are two future trumpets and blasts.</w:t>
      </w:r>
      <w:r>
        <w:rPr>
          <w:rStyle w:val="FootnoteReference"/>
        </w:rPr>
        <w:footnoteReference w:id="149"/>
      </w:r>
      <w:r>
        <w:t xml:space="preserve"> </w:t>
      </w:r>
      <w:r>
        <w:t xml:space="preserve">The first blast causes universal death and the second blast resurrects all souls for judgement.</w:t>
      </w:r>
    </w:p>
    <w:p>
      <w:pPr>
        <w:pStyle w:val="BodyText"/>
      </w:pPr>
      <w:r>
        <w:t xml:space="preserve">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50"/>
    <w:bookmarkStart w:id="155"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51"/>
      </w:r>
      <w:r>
        <w:t xml:space="preserve"> </w:t>
      </w:r>
      <w:r>
        <w:t xml:space="preserve">This announcement is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pPr>
        <w:pStyle w:val="BodyText"/>
      </w:pPr>
      <w:r>
        <w:t xml:space="preserve">Bahá’u’lláh describes the moon as being cleft asunder.</w:t>
      </w:r>
      <w:r>
        <w:rPr>
          <w:rStyle w:val="FootnoteReference"/>
        </w:rPr>
        <w:footnoteReference w:id="152"/>
      </w:r>
      <w:r>
        <w:t xml:space="preserve"> </w:t>
      </w:r>
      <w:r>
        <w:t xml:space="preserve">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3"/>
      </w:r>
      <w:r>
        <w:t xml:space="preserve"> </w:t>
      </w:r>
      <w:r>
        <w:t xml:space="preserve">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4"/>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5"/>
    <w:bookmarkStart w:id="156" w:name="seize-the-day"/>
    <w:p>
      <w:pPr>
        <w:pStyle w:val="Heading2"/>
      </w:pPr>
      <w:r>
        <w:t xml:space="preserve">4.5 Seize the Day</w:t>
      </w:r>
    </w:p>
    <w:p>
      <w:pPr>
        <w:pStyle w:val="FirstParagraph"/>
      </w:pPr>
      <w:r>
        <w:t xml:space="preserve">Bahá’u’lláh refers to what the Báb had prior said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6"/>
    <w:bookmarkStart w:id="181"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3" w:name="the-day-as-unveiling"/>
    <w:p>
      <w:pPr>
        <w:pStyle w:val="Heading3"/>
      </w:pPr>
      <w:r>
        <w:t xml:space="preserve">4.6.1 The Day as Unveiling</w:t>
      </w:r>
    </w:p>
    <w:p>
      <w:pPr>
        <w:pStyle w:val="FirstParagraph"/>
      </w:pPr>
      <w:r>
        <w:t xml:space="preserve">The Day of Resurrection reflects Subtlety, as the Day and Hour is hidden until it is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7"/>
      </w:r>
      <w:r>
        <w:t xml:space="preserve"> </w:t>
      </w:r>
      <w:r>
        <w:t xml:space="preserve">This demonstrates the soul must not rely on the physical senses derived from the body, but from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8"/>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9"/>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60"/>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61"/>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62"/>
      </w:r>
      <w:r>
        <w:t xml:space="preserve"> </w:t>
      </w:r>
      <w:r>
        <w:t xml:space="preserve">No force can resist the unfolding of the divine decree and God’s power is made evident.</w:t>
      </w:r>
    </w:p>
    <w:bookmarkEnd w:id="163"/>
    <w:bookmarkStart w:id="170"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4"/>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5"/>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(Baha).</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6"/>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7"/>
      </w:r>
      <w:r>
        <w:t xml:space="preserve"> </w:t>
      </w:r>
      <w:r>
        <w:t xml:space="preserve">No force could hasten nor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8"/>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9"/>
      </w:r>
      <w:r>
        <w:t xml:space="preserve"> </w:t>
      </w:r>
      <w:r>
        <w:t xml:space="preserve">The wisdom can remove all veils, bring clarity to all who attain this counsel. The Day is not merely a reckoning, but a moment of divine instruction.</w:t>
      </w:r>
    </w:p>
    <w:bookmarkEnd w:id="170"/>
    <w:bookmarkStart w:id="180"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71"/>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72"/>
      </w:r>
      <w:r>
        <w:t xml:space="preserve"> </w:t>
      </w:r>
      <w:r>
        <w:t xml:space="preserve">All throughout the worlds, such as the hosts of heaven,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3"/>
      </w:r>
      <w:r>
        <w:t xml:space="preserve"> </w:t>
      </w:r>
      <w:r>
        <w:t xml:space="preserve">The Day isn’t merely about judgment, it is about God’s love for His creation. The fire which speaks in all things is the fire of transformation,</w:t>
      </w:r>
      <w:r>
        <w:rPr>
          <w:rStyle w:val="FootnoteReference"/>
        </w:rPr>
        <w:footnoteReference w:id="174"/>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5"/>
      </w:r>
      <w:r>
        <w:t xml:space="preserve"> </w:t>
      </w:r>
      <w:r>
        <w:t xml:space="preserve">It is a Day when barriers between the soul and God are removed. Those who seek forgiveness, it is granted to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6"/>
      </w:r>
      <w:r>
        <w:t xml:space="preserve"> </w:t>
      </w:r>
      <w:r>
        <w:t xml:space="preserve">Judgment is tempered by mercy and even those who rejected the truth might still find grace.</w:t>
      </w:r>
    </w:p>
    <w:p>
      <w:pPr>
        <w:pStyle w:val="BodyText"/>
      </w:pPr>
      <w:r>
        <w:t xml:space="preserve">The Day reflects Generosity, as the day bestows diving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7"/>
      </w:r>
      <w:r>
        <w:t xml:space="preserve"> </w:t>
      </w:r>
      <w:r>
        <w:t xml:space="preserve">Spiritual capacities are unlocked for those who accept them. The gates of divine bestowal have opened. This bounty demonstrates the Day is not merely about accountability, but it is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8"/>
      </w:r>
      <w:r>
        <w:t xml:space="preserve"> </w:t>
      </w:r>
      <w:r>
        <w:t xml:space="preserve">On this Day, all those who claim power are shown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9"/>
      </w:r>
      <w:r>
        <w:t xml:space="preserve"> </w:t>
      </w:r>
      <w:r>
        <w:t xml:space="preserve">The day separates truth from illusion. No falsehood, corruption, or impurity can remain. The Day is a testament of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80"/>
    <w:bookmarkEnd w:id="181"/>
    <w:bookmarkStart w:id="182"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82"/>
    <w:bookmarkStart w:id="183" w:name="the-first-paragraph-of-the-kitab-i-aqdas"/>
    <w:p>
      <w:pPr>
        <w:pStyle w:val="Heading2"/>
      </w:pPr>
      <w:r>
        <w:t xml:space="preserve">4.8 The First Paragraph of the Kitab-i-Aqdas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3"/>
    <w:bookmarkEnd w:id="184"/>
    <w:bookmarkStart w:id="239" w:name="belief-in-the-commands-of-god"/>
    <w:p>
      <w:pPr>
        <w:pStyle w:val="Heading1"/>
      </w:pPr>
      <w:r>
        <w:t xml:space="preserve">5. Belief in the Commands of God</w:t>
      </w:r>
    </w:p>
    <w:bookmarkStart w:id="185"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5"/>
    <w:bookmarkStart w:id="195"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6"/>
      </w:r>
    </w:p>
    <w:p>
      <w:pPr>
        <w:pStyle w:val="BodyText"/>
      </w:pPr>
      <w:r>
        <w:t xml:space="preserve">Bahá’u’lláh affirms this is the religion of God from before and after.</w:t>
      </w:r>
      <w:r>
        <w:rPr>
          <w:rStyle w:val="FootnoteReference"/>
        </w:rPr>
        <w:footnoteReference w:id="187"/>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8"/>
      </w:r>
    </w:p>
    <w:p>
      <w:pPr>
        <w:pStyle w:val="BodyText"/>
      </w:pPr>
      <w:r>
        <w:t xml:space="preserve">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bookmarkStart w:id="192"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9"/>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90"/>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91"/>
      </w:r>
      <w:r>
        <w:t xml:space="preserve"> </w:t>
      </w:r>
      <w:r>
        <w:t xml:space="preserve">This does not take away from the station of prior revelations, and future revelations will also be most exalted and wondrous when compared to this current one.</w:t>
      </w:r>
    </w:p>
    <w:bookmarkEnd w:id="192"/>
    <w:bookmarkStart w:id="194"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times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3"/>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4"/>
    <w:bookmarkEnd w:id="195"/>
    <w:bookmarkStart w:id="212"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(Muslim) in Jerusalem (Jewish Holy Place), Bahá’u’lláh tells him he passed by the Light of Divine Unity coming from the prison of ’Akká.</w:t>
      </w:r>
      <w:r>
        <w:rPr>
          <w:rStyle w:val="FootnoteReference"/>
        </w:rPr>
        <w:footnoteReference w:id="196"/>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is God’s book. For example, Bahá’u’lláh says the Qur’án, the Gospel, the Psalms, the Torah, and the Bayán</w:t>
      </w:r>
      <w:r>
        <w:rPr>
          <w:rStyle w:val="FootnoteReference"/>
        </w:rPr>
        <w:footnoteReference w:id="197"/>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8"/>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9"/>
      </w:r>
      <w:r>
        <w:t xml:space="preserve"> </w:t>
      </w:r>
      <w:r>
        <w:t xml:space="preserve">Through the name of God All-Encompassing, the Command of Today encompasses and surpasses all the Commands of Yesterday. This is a vital belief on the path of Divine Unity.</w:t>
      </w:r>
    </w:p>
    <w:bookmarkStart w:id="203"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w:t>
      </w:r>
      <w:r>
        <w:t xml:space="preserve"> </w:t>
      </w:r>
      <w:r>
        <w:t xml:space="preserve">“</w:t>
      </w:r>
      <w:r>
        <w:t xml:space="preserve">Paradise.</w:t>
      </w:r>
      <w:r>
        <w:t xml:space="preserve">”</w:t>
      </w:r>
      <w:r>
        <w:t xml:space="preserve"> </w:t>
      </w:r>
      <w:r>
        <w:t xml:space="preserve">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pPr>
        <w:pStyle w:val="BodyText"/>
      </w:pPr>
      <w:r>
        <w:t xml:space="preserve">The Báb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200"/>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201"/>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God—yesterday, today, and forever.</w:t>
      </w:r>
      <w:r>
        <w:t xml:space="preserve">”</w:t>
      </w:r>
      <w:r>
        <w:rPr>
          <w:rStyle w:val="FootnoteReference"/>
        </w:rPr>
        <w:footnoteReference w:id="202"/>
      </w:r>
      <w:r>
        <w:t xml:space="preserve"> </w:t>
      </w:r>
      <w:r>
        <w:t xml:space="preserve">The Lord of paradise has arrived. Let us turn to the Kitáb-i-Aqdas.</w:t>
      </w:r>
    </w:p>
    <w:bookmarkEnd w:id="203"/>
    <w:bookmarkStart w:id="211"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4"/>
      </w:r>
      <w:r>
        <w:t xml:space="preserve"> </w:t>
      </w:r>
      <w:r>
        <w:t xml:space="preserve">This is a testament to the fact there are good things from the past worth keeping, which can provide a positive contribution to the future. It is also a testament to the fact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5"/>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6"/>
      </w:r>
      <w:r>
        <w:t xml:space="preserve"> </w:t>
      </w:r>
      <w:r>
        <w:t xml:space="preserve">The Balance fulfills the prophecies of old,</w:t>
      </w:r>
      <w:r>
        <w:rPr>
          <w:rStyle w:val="FootnoteReference"/>
        </w:rPr>
        <w:footnoteReference w:id="207"/>
      </w:r>
      <w:r>
        <w:t xml:space="preserve"> </w:t>
      </w:r>
      <w:r>
        <w:t xml:space="preserve">the Covenant of God, and is the balance of justice. When the balance of justice is set up on the Day of Resurrection, everyone will be given their due.</w:t>
      </w:r>
      <w:r>
        <w:rPr>
          <w:rStyle w:val="FootnoteReference"/>
        </w:rPr>
        <w:footnoteReference w:id="208"/>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9"/>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10"/>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11"/>
    <w:bookmarkEnd w:id="212"/>
    <w:bookmarkStart w:id="216"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 al-Muntahá at dawn. The Command is the dawning place of the knowledge of God and is adorned with the Seal of the Breaker of the Dawn, who speaks between the heavens and the Earth.</w:t>
      </w:r>
      <w:r>
        <w:rPr>
          <w:rStyle w:val="FootnoteReference"/>
        </w:rPr>
        <w:footnoteReference w:id="213"/>
      </w:r>
      <w:r>
        <w:t xml:space="preserve"> </w:t>
      </w:r>
      <w:r>
        <w:t xml:space="preserve">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4"/>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5"/>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6"/>
    <w:bookmarkStart w:id="231"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7"/>
      </w:r>
    </w:p>
    <w:p>
      <w:pPr>
        <w:pStyle w:val="BodyText"/>
      </w:pPr>
      <w:r>
        <w:t xml:space="preserve">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8"/>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9"/>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20"/>
      </w:r>
      <w:r>
        <w:t xml:space="preserve"> </w:t>
      </w:r>
      <w:r>
        <w:t xml:space="preserve">The nectar is also described as the nectar of life.</w:t>
      </w:r>
      <w:r>
        <w:rPr>
          <w:rStyle w:val="FootnoteReference"/>
        </w:rPr>
        <w:footnoteReference w:id="221"/>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22"/>
      </w:r>
      <w:r>
        <w:t xml:space="preserve"> </w:t>
      </w:r>
      <w:r>
        <w:t xml:space="preserve">Drinking from this wine, much like how the disciples of Jesus did in the last supper, will cause every bone to be set in motion with life.</w:t>
      </w:r>
      <w:r>
        <w:rPr>
          <w:rStyle w:val="FootnoteReference"/>
        </w:rPr>
        <w:footnoteReference w:id="223"/>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4"/>
      </w:r>
      <w:r>
        <w:t xml:space="preserve"> </w:t>
      </w:r>
      <w:r>
        <w:t xml:space="preserve">Those who act in accordance with the Command are drinking from the Kawthar (abundant river from paradise) of life.</w:t>
      </w:r>
      <w:r>
        <w:rPr>
          <w:rStyle w:val="FootnoteReference"/>
        </w:rPr>
        <w:footnoteReference w:id="225"/>
      </w:r>
      <w:r>
        <w:t xml:space="preserve"> </w:t>
      </w:r>
      <w:r>
        <w:t xml:space="preserve">These pure and flowing waters from the clear stream provide prosperity when drunk with the belief and remembrance of God.</w:t>
      </w:r>
      <w:r>
        <w:rPr>
          <w:rStyle w:val="FootnoteReference"/>
        </w:rPr>
        <w:footnoteReference w:id="226"/>
      </w:r>
      <w:r>
        <w:t xml:space="preserve"> </w:t>
      </w:r>
      <w:r>
        <w:t xml:space="preserve">The water may be provided as showers of grace</w:t>
      </w:r>
      <w:r>
        <w:rPr>
          <w:rStyle w:val="FootnoteReference"/>
        </w:rPr>
        <w:footnoteReference w:id="227"/>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8"/>
      </w:r>
      <w:r>
        <w:t xml:space="preserve"> </w:t>
      </w:r>
      <w:r>
        <w:t xml:space="preserve">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9"/>
      </w:r>
      <w:r>
        <w:t xml:space="preserve"> </w:t>
      </w:r>
      <w:r>
        <w:t xml:space="preserve">As this nurture is from God in the role of Divine Parent out of love for us, we must also</w:t>
      </w:r>
      <w:r>
        <w:t xml:space="preserve"> </w:t>
      </w:r>
      <w:r>
        <w:t xml:space="preserve">“</w:t>
      </w:r>
      <w:r>
        <w:t xml:space="preserve">carry out My ordinances out of love for My beauty.</w:t>
      </w:r>
      <w:r>
        <w:t xml:space="preserve">”</w:t>
      </w:r>
      <w:r>
        <w:rPr>
          <w:rStyle w:val="FootnoteReference"/>
        </w:rPr>
        <w:footnoteReference w:id="230"/>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31"/>
    <w:bookmarkStart w:id="237"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32"/>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233"/>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4"/>
      </w:r>
      <w:r>
        <w:t xml:space="preserve"> </w:t>
      </w:r>
      <w:r>
        <w:t xml:space="preserve">helping us unlock new doors of realization and possibility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5"/>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6"/>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7"/>
    <w:bookmarkStart w:id="238"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Command cannot exist without Commander. To believe in the Command is to believe in the unfolding of God’s will, to see divine order in all things, and to recognize that belief in the Manifestation of God Himself is the foundation upon which all Command rests.</w:t>
      </w:r>
    </w:p>
    <w:p>
      <w:r>
        <w:br w:type="page"/>
      </w:r>
    </w:p>
    <w:bookmarkEnd w:id="238"/>
    <w:bookmarkEnd w:id="239"/>
    <w:bookmarkStart w:id="265" w:name="belief-in-the-manifestation-of-god"/>
    <w:p>
      <w:pPr>
        <w:pStyle w:val="Heading1"/>
      </w:pPr>
      <w:r>
        <w:t xml:space="preserve">6. Belief in the Manifestation of God</w:t>
      </w:r>
    </w:p>
    <w:bookmarkStart w:id="243"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40"/>
      </w:r>
      <w:r>
        <w:t xml:space="preserve"> </w:t>
      </w:r>
      <w:r>
        <w:t xml:space="preserve">He appears</w:t>
      </w:r>
      <w:r>
        <w:t xml:space="preserve"> </w:t>
      </w:r>
      <w:r>
        <w:t xml:space="preserve">“</w:t>
      </w:r>
      <w:r>
        <w:t xml:space="preserve">in the Most Glorious attire</w:t>
      </w:r>
      <w:r>
        <w:t xml:space="preserve">”</w:t>
      </w:r>
      <w:r>
        <w:rPr>
          <w:rStyle w:val="FootnoteReference"/>
        </w:rPr>
        <w:footnoteReference w:id="241"/>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42"/>
      </w:r>
      <w:r>
        <w:t xml:space="preserve"> </w:t>
      </w:r>
      <w:r>
        <w:t xml:space="preserve">The Manifestation is the focal point for the devotional life for God, much like the Qiblih of Islam or the Temple of Judaism. Thus, all Manifestations of God are the Sidrat al-Muntaha,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3"/>
    <w:bookmarkStart w:id="245" w:name="countless-adams"/>
    <w:p>
      <w:pPr>
        <w:pStyle w:val="Heading2"/>
      </w:pPr>
      <w:r>
        <w:t xml:space="preserve">6.2 Countless Adams</w:t>
      </w:r>
    </w:p>
    <w:p>
      <w:pPr>
        <w:pStyle w:val="FirstParagraph"/>
      </w:pPr>
      <w:r>
        <w:t xml:space="preserve">This station of Manifestation has been fulfilled by many throughout history.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4"/>
      </w:r>
      <w:r>
        <w:t xml:space="preserve"> </w:t>
      </w:r>
      <w:r>
        <w:t xml:space="preserve">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5"/>
    <w:bookmarkStart w:id="246" w:name="the-báb-the-primal-point"/>
    <w:p>
      <w:pPr>
        <w:pStyle w:val="Heading2"/>
      </w:pPr>
      <w:r>
        <w:t xml:space="preserve">6.3 The Báb, The Primal Point</w:t>
      </w:r>
    </w:p>
    <w:p>
      <w:pPr>
        <w:pStyle w:val="FirstParagraph"/>
      </w:pPr>
      <w:r>
        <w:t xml:space="preserve">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pPr>
        <w:pStyle w:val="BodyText"/>
      </w:pPr>
      <w:r>
        <w:t xml:space="preserve">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6"/>
    <w:bookmarkStart w:id="247" w:name="the-vahid-the-number-19"/>
    <w:p>
      <w:pPr>
        <w:pStyle w:val="Heading2"/>
      </w:pPr>
      <w:r>
        <w:t xml:space="preserve">6.4 The Vahid, The Number 19</w:t>
      </w:r>
    </w:p>
    <w:p>
      <w:pPr>
        <w:pStyle w:val="FirstParagraph"/>
      </w:pPr>
      <w:r>
        <w:t xml:space="preserve">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7"/>
    <w:bookmarkStart w:id="262"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48"/>
      </w:r>
      <w:r>
        <w:t xml:space="preserve"> </w:t>
      </w:r>
      <w:r>
        <w:t xml:space="preserve">and Muhammad as the Messenger of God.</w:t>
      </w:r>
      <w:r>
        <w:rPr>
          <w:rStyle w:val="FootnoteReference"/>
        </w:rPr>
        <w:footnoteReference w:id="249"/>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50"/>
      </w:r>
      <w:r>
        <w:t xml:space="preserve"> </w:t>
      </w:r>
      <w:r>
        <w:t xml:space="preserve">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51"/>
      </w:r>
      <w:r>
        <w:t xml:space="preserve"> </w:t>
      </w:r>
      <w:r>
        <w:t xml:space="preserve">the Báb was completely a Manifestation of God. Bahá’u’lláh is also a Herald for a future Manifestation of God who will come no earlier than 2873AD (1029 Badíʿ Calendar).</w:t>
      </w:r>
      <w:r>
        <w:rPr>
          <w:rStyle w:val="FootnoteReference"/>
        </w:rPr>
        <w:footnoteReference w:id="252"/>
      </w:r>
    </w:p>
    <w:p>
      <w:pPr>
        <w:pStyle w:val="BodyText"/>
      </w:pPr>
      <w:r>
        <w:t xml:space="preserve">Bahá’u’lláh was often referred to as the Greatest Name.</w:t>
      </w:r>
      <w:r>
        <w:rPr>
          <w:rStyle w:val="FootnoteReference"/>
        </w:rPr>
        <w:footnoteReference w:id="253"/>
      </w:r>
      <w:r>
        <w:t xml:space="preserve"> </w:t>
      </w:r>
      <w:r>
        <w:t xml:space="preserve">The Greatest Name is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254"/>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5"/>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56"/>
      </w:r>
      <w:r>
        <w:t xml:space="preserve"> </w:t>
      </w:r>
      <w:r>
        <w:t xml:space="preserve">He Himself had entered various Schools of God.</w:t>
      </w:r>
      <w:r>
        <w:rPr>
          <w:rStyle w:val="FootnoteReference"/>
        </w:rPr>
        <w:footnoteReference w:id="257"/>
      </w:r>
      <w:r>
        <w:t xml:space="preserve"> </w:t>
      </w:r>
      <w:r>
        <w:t xml:space="preserve">Bahá’u’lláh first had His epiphany of station while within the prison called the Black Pit of Tehran in the year 1852 (8 BE).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pPr>
        <w:pStyle w:val="FirstParagraph"/>
      </w:pPr>
      <w:r>
        <w:t xml:space="preserve">In Baghdad, He revealed His mission during the festival of Ridván in 1863 (19 BE),</w:t>
      </w:r>
      <w:r>
        <w:t xml:space="preserve"> </w:t>
      </w:r>
      <w:r>
        <w:t xml:space="preserve">“</w:t>
      </w:r>
      <w:r>
        <w:t xml:space="preserve">when We manifested to those in existence with Our most beautiful names and highest attributes.</w:t>
      </w:r>
      <w:r>
        <w:t xml:space="preserve">”</w:t>
      </w:r>
      <w:r>
        <w:rPr>
          <w:rStyle w:val="FootnoteReference"/>
        </w:rPr>
        <w:footnoteReference w:id="258"/>
      </w:r>
      <w:r>
        <w:t xml:space="preserve"> </w:t>
      </w:r>
      <w:r>
        <w:t xml:space="preserve">This mission began 19 years after the Báb began His ministry in May 1844 (0 BE). It continued until His passing in 1892 in ’Akká, 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pPr>
        <w:pStyle w:val="BodyText"/>
      </w:pPr>
      <w:r>
        <w:t xml:space="preserve">By 1873, both Baghdad and ’Akká were part of the Ottoman Empire. While in ’Akká, Bahá’u’lláh was in the Most Great Prison, where the Kitáb-i-Aqdas itself was revealed.</w:t>
      </w:r>
      <w:r>
        <w:rPr>
          <w:rStyle w:val="FootnoteReference"/>
        </w:rPr>
        <w:footnoteReference w:id="259"/>
      </w:r>
      <w:r>
        <w:t xml:space="preserve"> </w:t>
      </w:r>
      <w:r>
        <w:t xml:space="preserve">Despite being a prisoner of the Persian and Ottoman Empires for most of this 40 year period as a Manifestation of God, He says His love is able to burn away veils</w:t>
      </w:r>
      <w:r>
        <w:rPr>
          <w:rStyle w:val="FootnoteReference"/>
        </w:rPr>
        <w:footnoteReference w:id="260"/>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61"/>
      </w:r>
    </w:p>
    <w:p>
      <w:pPr>
        <w:pStyle w:val="FirstParagraph"/>
      </w:pPr>
      <w:r>
        <w:t xml:space="preserve">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pPr>
        <w:pStyle w:val="BodyText"/>
      </w:pPr>
      <w:r>
        <w:t xml:space="preserve">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62"/>
    <w:bookmarkStart w:id="263"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3"/>
    <w:bookmarkStart w:id="264"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pPr>
        <w:pStyle w:val="BodyText"/>
      </w:pPr>
      <w:r>
        <w:t xml:space="preserve">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4"/>
    <w:bookmarkEnd w:id="265"/>
    <w:bookmarkStart w:id="298" w:name="foundational-virtues"/>
    <w:p>
      <w:pPr>
        <w:pStyle w:val="Heading1"/>
      </w:pPr>
      <w:r>
        <w:t xml:space="preserve">7. Foundational Virtues</w:t>
      </w:r>
    </w:p>
    <w:bookmarkStart w:id="266"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66"/>
    <w:bookmarkStart w:id="267" w:name="five-spiritual-practices"/>
    <w:p>
      <w:pPr>
        <w:pStyle w:val="Heading2"/>
      </w:pPr>
      <w:r>
        <w:t xml:space="preserve">7.2 Five Spiritual Practices</w:t>
      </w:r>
    </w:p>
    <w:p>
      <w:pPr>
        <w:pStyle w:val="FirstParagraph"/>
      </w:pPr>
      <w:r>
        <w:t xml:space="preserve">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67"/>
    <w:bookmarkStart w:id="284"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68"/>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bookmarkStart w:id="269" w:name="piety"/>
    <w:p>
      <w:pPr>
        <w:pStyle w:val="Heading3"/>
      </w:pPr>
      <w:r>
        <w:t xml:space="preserve">7.3.1 Piety</w:t>
      </w:r>
    </w:p>
    <w:p>
      <w:pPr>
        <w:pStyle w:val="FirstParagraph"/>
      </w:pPr>
      <w:r>
        <w:t xml:space="preserve">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69"/>
    <w:bookmarkStart w:id="271"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70"/>
      </w:r>
      <w:r>
        <w:t xml:space="preserve"> </w:t>
      </w:r>
      <w:r>
        <w:t xml:space="preserve">The common view is truthfulness is a strict adherence to fact or expressing their opinions of a matter. While facts should never be denied, nor opinions be avoided, pure truthfulness expresses a different standard than what is common.</w:t>
      </w:r>
    </w:p>
    <w:p>
      <w:pPr>
        <w:pStyle w:val="BodyText"/>
      </w:pPr>
      <w:r>
        <w:t xml:space="preserve">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w:t>
      </w:r>
      <w:r>
        <w:t xml:space="preserve"> </w:t>
      </w:r>
      <w:r>
        <w:rPr>
          <w:iCs/>
          <w:i/>
          <w:bCs/>
          <w:b/>
        </w:rPr>
        <w:t xml:space="preserve">has</w:t>
      </w:r>
      <w:r>
        <w:t xml:space="preserve"> </w:t>
      </w:r>
      <w:r>
        <w:t xml:space="preserve">a desire to know what is true and real, while learning this in a loving and caring way. Every person deserves this respect.</w:t>
      </w:r>
    </w:p>
    <w:bookmarkEnd w:id="271"/>
    <w:bookmarkStart w:id="273"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72"/>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bookmarkEnd w:id="273"/>
    <w:bookmarkStart w:id="276" w:name="loyalty"/>
    <w:p>
      <w:pPr>
        <w:pStyle w:val="Heading3"/>
      </w:pPr>
      <w:r>
        <w:t xml:space="preserve">7.3.4 Loyalty</w:t>
      </w:r>
    </w:p>
    <w:p>
      <w:pPr>
        <w:pStyle w:val="FirstParagraph"/>
      </w:pPr>
      <w:r>
        <w:t xml:space="preserve">Loyalty is a virtue which can purify a soul.</w:t>
      </w:r>
      <w:r>
        <w:rPr>
          <w:rStyle w:val="FootnoteReference"/>
        </w:rPr>
        <w:footnoteReference w:id="274"/>
      </w:r>
      <w:r>
        <w:t xml:space="preserve"> </w:t>
      </w:r>
      <w:r>
        <w:t xml:space="preserve">Bahá’u’lláh often pairs loyalty with love and steadfastness to help express the purpose of loyalty. The first loyalty is to God in servitude.</w:t>
      </w:r>
      <w:r>
        <w:rPr>
          <w:rStyle w:val="FootnoteReference"/>
        </w:rPr>
        <w:footnoteReference w:id="275"/>
      </w:r>
      <w:r>
        <w:t xml:space="preserve"> </w:t>
      </w:r>
      <w:r>
        <w:t xml:space="preserve">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76"/>
    <w:bookmarkStart w:id="282"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77"/>
      </w:r>
      <w:r>
        <w:t xml:space="preserve"> </w:t>
      </w:r>
      <w:r>
        <w:t xml:space="preserve">This is in opposition to describing those who are wolves in sheep’s garments. He enjoins responsibilities for the trustworthy to act as trustees</w:t>
      </w:r>
      <w:r>
        <w:rPr>
          <w:rStyle w:val="FootnoteReference"/>
        </w:rPr>
        <w:footnoteReference w:id="278"/>
      </w:r>
      <w:r>
        <w:t xml:space="preserve"> </w:t>
      </w:r>
      <w:r>
        <w:t xml:space="preserve">with their obligations.</w:t>
      </w:r>
      <w:r>
        <w:rPr>
          <w:rStyle w:val="FootnoteReference"/>
        </w:rPr>
        <w:footnoteReference w:id="279"/>
      </w:r>
      <w:r>
        <w:t xml:space="preserve"> </w:t>
      </w:r>
      <w:r>
        <w:t xml:space="preserve">Trustworthiness eliminates doubts in the affairs of the world.</w:t>
      </w:r>
      <w:r>
        <w:rPr>
          <w:rStyle w:val="FootnoteReference"/>
        </w:rPr>
        <w:footnoteReference w:id="280"/>
      </w:r>
      <w:r>
        <w:t xml:space="preserve"> </w:t>
      </w:r>
      <w:r>
        <w:t xml:space="preserve">Bahá’u’lláh joins trustworthiness with the lights of certainty, steadfastness, and tranquility.</w:t>
      </w:r>
      <w:r>
        <w:rPr>
          <w:rStyle w:val="FootnoteReference"/>
        </w:rPr>
        <w:footnoteReference w:id="281"/>
      </w:r>
    </w:p>
    <w:p>
      <w:pPr>
        <w:pStyle w:val="BodyText"/>
      </w:pPr>
      <w:r>
        <w:t xml:space="preserve">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bookmarkEnd w:id="282"/>
    <w:bookmarkStart w:id="283"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pPr>
        <w:numPr>
          <w:ilvl w:val="0"/>
          <w:numId w:val="1002"/>
        </w:numPr>
      </w:pPr>
      <w:r>
        <w:t xml:space="preserve">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3"/>
    <w:bookmarkEnd w:id="284"/>
    <w:bookmarkStart w:id="286"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nor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5"/>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86"/>
    <w:bookmarkStart w:id="291"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87"/>
      </w:r>
      <w:r>
        <w:t xml:space="preserve"> </w:t>
      </w:r>
      <w:r>
        <w:t xml:space="preserve">Without this virtue, one may become arrogant.</w:t>
      </w:r>
      <w:r>
        <w:rPr>
          <w:rStyle w:val="FootnoteReference"/>
        </w:rPr>
        <w:footnoteReference w:id="288"/>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89"/>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90"/>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91"/>
    <w:bookmarkStart w:id="292"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92"/>
    <w:bookmarkStart w:id="296" w:name="Xe7406ddac38034f9311d34fc51dacefbad12e26"/>
    <w:p>
      <w:pPr>
        <w:pStyle w:val="Heading2"/>
      </w:pPr>
      <w:r>
        <w:t xml:space="preserve">7.7 Illuminations of the Unknown Sister - Foundational Virtues</w:t>
      </w:r>
    </w:p>
    <w:bookmarkStart w:id="293"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3"/>
    <w:bookmarkStart w:id="294"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4"/>
    <w:bookmarkStart w:id="295"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5"/>
    <w:bookmarkEnd w:id="296"/>
    <w:bookmarkStart w:id="297"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297"/>
    <w:bookmarkEnd w:id="298"/>
    <w:bookmarkStart w:id="331" w:name="prayer"/>
    <w:p>
      <w:pPr>
        <w:pStyle w:val="Heading1"/>
      </w:pPr>
      <w:r>
        <w:t xml:space="preserve">8. Prayer</w:t>
      </w:r>
    </w:p>
    <w:bookmarkStart w:id="299" w:name="introduction-2"/>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299"/>
    <w:bookmarkStart w:id="303"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300"/>
      </w:r>
      <w:r>
        <w:t xml:space="preserve"> </w:t>
      </w:r>
      <w:r>
        <w:t xml:space="preserve">The age of maturity will be discussed more in depth in Chapter 15, but the age is defined as 11 for spiritual practices.</w:t>
      </w:r>
      <w:r>
        <w:rPr>
          <w:rStyle w:val="FootnoteReference"/>
        </w:rPr>
        <w:footnoteReference w:id="301"/>
      </w:r>
    </w:p>
    <w:p>
      <w:pPr>
        <w:pStyle w:val="BodyText"/>
      </w:pPr>
      <w:r>
        <w:t xml:space="preserve">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302"/>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3"/>
    <w:bookmarkStart w:id="306"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4"/>
      </w:r>
      <w:r>
        <w:t xml:space="preserve"> </w:t>
      </w:r>
      <w:r>
        <w:t xml:space="preserve">An ablution is the washing of your hands and face with water. If ablutions cannot be performed, the short prayer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5"/>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06"/>
    <w:bookmarkStart w:id="307"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pPr>
        <w:pStyle w:val="BodyText"/>
      </w:pPr>
      <w:r>
        <w:t xml:space="preserve">For individualized non 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in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07"/>
    <w:bookmarkStart w:id="309" w:name="time-of-day"/>
    <w:p>
      <w:pPr>
        <w:pStyle w:val="Heading2"/>
      </w:pPr>
      <w:r>
        <w:t xml:space="preserve">8.5 Time of Day</w:t>
      </w:r>
    </w:p>
    <w:p>
      <w:pPr>
        <w:pStyle w:val="FirstParagraph"/>
      </w:pPr>
      <w:r>
        <w:t xml:space="preserve">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from noon until sunset. The great prayer is to be performed anytime in the 24 hour period.</w:t>
      </w:r>
    </w:p>
    <w:p>
      <w:pPr>
        <w:pStyle w:val="BodyText"/>
      </w:pPr>
      <w:r>
        <w:t xml:space="preserve">For believers who are in high latitudes where the time of day can vary greatly depending on the season, the use of watches and clocks to determine prayer times are acceptable.</w:t>
      </w:r>
      <w:r>
        <w:rPr>
          <w:rStyle w:val="FootnoteReference"/>
        </w:rPr>
        <w:footnoteReference w:id="308"/>
      </w:r>
      <w:r>
        <w:t xml:space="preserve"> </w:t>
      </w:r>
      <w:r>
        <w:t xml:space="preserve">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09"/>
    <w:bookmarkStart w:id="311"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 this would be the mansion of Bahjí in present day Acre,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10"/>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pPr>
        <w:pStyle w:val="BodyText"/>
      </w:pPr>
      <w:r>
        <w:t xml:space="preserve">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11"/>
    <w:bookmarkStart w:id="314"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12"/>
      </w:r>
      <w:r>
        <w:t xml:space="preserve"> </w:t>
      </w:r>
      <w:r>
        <w:t xml:space="preserve">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3"/>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r>
        <w:t xml:space="preserve"> </w:t>
      </w:r>
      <w:r>
        <w:t xml:space="preserve">With congregational prayer limited, the one exception becomes a window into how a community can honor a soul with unity and humility.</w:t>
      </w:r>
    </w:p>
    <w:bookmarkEnd w:id="314"/>
    <w:bookmarkStart w:id="315"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15"/>
    <w:bookmarkStart w:id="318"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16"/>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pPr>
        <w:pStyle w:val="BodyText"/>
      </w:pPr>
      <w:r>
        <w:t xml:space="preserve">A female believer can also interpret these lack of restrictions as she please. Could a woman, in private, pray without any clothing? Could a woman wear athletic shorts and a sports bra? Could she wear a burqa? This is entirely left up to her and her only.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17"/>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18"/>
    <w:bookmarkStart w:id="319"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19"/>
    <w:bookmarkStart w:id="320"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20"/>
    <w:bookmarkStart w:id="321" w:name="during-travel"/>
    <w:p>
      <w:pPr>
        <w:pStyle w:val="Heading2"/>
      </w:pPr>
      <w:r>
        <w:t xml:space="preserve">8.12 During Travel</w:t>
      </w:r>
    </w:p>
    <w:p>
      <w:pPr>
        <w:pStyle w:val="FirstParagraph"/>
      </w:pPr>
      <w:r>
        <w:t xml:space="preserve">During travel, obligatory prayer may be replaced while taking rest. 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 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21"/>
    <w:bookmarkStart w:id="328" w:name="Xe8f718e74fd1e5bab84f46aeacbbe095be43f8d"/>
    <w:p>
      <w:pPr>
        <w:pStyle w:val="Heading2"/>
      </w:pPr>
      <w:r>
        <w:t xml:space="preserve">8.13 Illuminations of The Unknown Sister - Emergent Virtues from Piety</w:t>
      </w:r>
    </w:p>
    <w:bookmarkStart w:id="322"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22"/>
    <w:bookmarkStart w:id="323"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23"/>
    <w:bookmarkStart w:id="324"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bookmarkEnd w:id="324"/>
    <w:bookmarkStart w:id="325"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25"/>
    <w:bookmarkStart w:id="326"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26"/>
    <w:bookmarkStart w:id="327"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27"/>
    <w:bookmarkEnd w:id="328"/>
    <w:bookmarkStart w:id="329" w:name="the-example-of-bahaullah"/>
    <w:p>
      <w:pPr>
        <w:pStyle w:val="Heading2"/>
      </w:pPr>
      <w:r>
        <w:t xml:space="preserve">8.14 The Example of Baha’u’llah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29"/>
    <w:bookmarkStart w:id="330"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30"/>
    <w:bookmarkEnd w:id="331"/>
    <w:bookmarkStart w:id="351" w:name="recitation"/>
    <w:p>
      <w:pPr>
        <w:pStyle w:val="Heading1"/>
      </w:pPr>
      <w:r>
        <w:t xml:space="preserve">9. Recitation</w:t>
      </w:r>
    </w:p>
    <w:bookmarkStart w:id="332" w:name="introduction-3"/>
    <w:p>
      <w:pPr>
        <w:pStyle w:val="Heading2"/>
      </w:pPr>
      <w:r>
        <w:t xml:space="preserve">9.1 Introduction</w:t>
      </w:r>
    </w:p>
    <w:p>
      <w:pPr>
        <w:pStyle w:val="FirstParagraph"/>
      </w:pPr>
      <w:r>
        <w:t xml:space="preserve">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bookmarkEnd w:id="332"/>
    <w:bookmarkStart w:id="334" w:name="who-is-required-to-recite-and-when"/>
    <w:p>
      <w:pPr>
        <w:pStyle w:val="Heading2"/>
      </w:pPr>
      <w:r>
        <w:t xml:space="preserve">9.2 Who is Required to Recite and When?</w:t>
      </w:r>
    </w:p>
    <w:p>
      <w:pPr>
        <w:pStyle w:val="FirstParagraph"/>
      </w:pPr>
      <w:r>
        <w:t xml:space="preserve">Recitation is a practice, which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33"/>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34"/>
    <w:bookmarkStart w:id="336"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35"/>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36"/>
    <w:bookmarkStart w:id="340" w:name="how-should-one-recite"/>
    <w:p>
      <w:pPr>
        <w:pStyle w:val="Heading2"/>
      </w:pPr>
      <w:r>
        <w:t xml:space="preserve">9.4 How Should One Recite?</w:t>
      </w:r>
    </w:p>
    <w:p>
      <w:pPr>
        <w:pStyle w:val="FirstParagraph"/>
      </w:pPr>
      <w:r>
        <w:t xml:space="preserve">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337"/>
      </w:r>
      <w:r>
        <w:t xml:space="preserve"> </w:t>
      </w:r>
      <w:r>
        <w:t xml:space="preserve">and it is welcome for one who is</w:t>
      </w:r>
      <w:r>
        <w:t xml:space="preserve"> </w:t>
      </w:r>
      <w:r>
        <w:t xml:space="preserve">“</w:t>
      </w:r>
      <w:r>
        <w:t xml:space="preserve">enraptured by the love of My Name, the Merciful.</w:t>
      </w:r>
      <w:r>
        <w:t xml:space="preserve">”</w:t>
      </w:r>
      <w:r>
        <w:rPr>
          <w:rStyle w:val="FootnoteReference"/>
        </w:rPr>
        <w:footnoteReference w:id="338"/>
      </w:r>
      <w:r>
        <w:t xml:space="preserve"> </w:t>
      </w:r>
      <w:r>
        <w:t xml:space="preserve">Reciting one verse with spirit and joy is more beneficial for the soul than to recite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39"/>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40"/>
    <w:bookmarkStart w:id="341"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41"/>
    <w:bookmarkStart w:id="348" w:name="X24b638f13268fca0c71683131ef311deb92ded3"/>
    <w:p>
      <w:pPr>
        <w:pStyle w:val="Heading2"/>
      </w:pPr>
      <w:r>
        <w:t xml:space="preserve">9.6 Illuminations of The Unknown Sister - Emergent Virtues from Loyalty</w:t>
      </w:r>
    </w:p>
    <w:bookmarkStart w:id="342"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42"/>
    <w:bookmarkStart w:id="343"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bookmarkEnd w:id="343"/>
    <w:bookmarkStart w:id="344"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bookmarkEnd w:id="344"/>
    <w:bookmarkStart w:id="345"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45"/>
    <w:bookmarkStart w:id="346"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46"/>
    <w:bookmarkStart w:id="347"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47"/>
    <w:bookmarkEnd w:id="348"/>
    <w:bookmarkStart w:id="349"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49"/>
    <w:bookmarkStart w:id="350"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50"/>
    <w:bookmarkEnd w:id="351"/>
    <w:bookmarkStart w:id="387" w:name="remembrance"/>
    <w:p>
      <w:pPr>
        <w:pStyle w:val="Heading1"/>
      </w:pPr>
      <w:r>
        <w:t xml:space="preserve">10. Remembrance</w:t>
      </w:r>
    </w:p>
    <w:bookmarkStart w:id="352" w:name="introduction-4"/>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52"/>
    <w:bookmarkStart w:id="362"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53"/>
      </w:r>
      <w:r>
        <w:t xml:space="preserve"> </w:t>
      </w:r>
      <w:r>
        <w:t xml:space="preserve">Creation, as we learned in Chapters 2 and 3, is everything within us and outside of us. Creation is seen and unseen. We are to remember God’s bounty</w:t>
      </w:r>
      <w:r>
        <w:rPr>
          <w:rStyle w:val="FootnoteReference"/>
        </w:rPr>
        <w:footnoteReference w:id="354"/>
      </w:r>
      <w:r>
        <w:t xml:space="preserve"> </w:t>
      </w:r>
      <w:r>
        <w:t xml:space="preserve">provided to us through this Creation. Within this creation, we can remember God’s mercy</w:t>
      </w:r>
      <w:r>
        <w:rPr>
          <w:rStyle w:val="FootnoteReference"/>
        </w:rPr>
        <w:footnoteReference w:id="355"/>
      </w:r>
      <w:r>
        <w:t xml:space="preserve"> </w:t>
      </w:r>
      <w:r>
        <w:t xml:space="preserve">and His greatness and power.</w:t>
      </w:r>
      <w:r>
        <w:rPr>
          <w:rStyle w:val="FootnoteReference"/>
        </w:rPr>
        <w:footnoteReference w:id="356"/>
      </w:r>
      <w:r>
        <w:t xml:space="preserve"> </w:t>
      </w:r>
      <w:r>
        <w:t xml:space="preserve">If creation seems scary or intimidating, we can always remember to seek refuge in God</w:t>
      </w:r>
      <w:r>
        <w:rPr>
          <w:rStyle w:val="FootnoteReference"/>
        </w:rPr>
        <w:footnoteReference w:id="357"/>
      </w:r>
      <w:r>
        <w:t xml:space="preserve"> </w:t>
      </w:r>
      <w:r>
        <w:t xml:space="preserve">such as with the prayer of the signs.</w:t>
      </w:r>
    </w:p>
    <w:p>
      <w:pPr>
        <w:pStyle w:val="BodyText"/>
      </w:pPr>
      <w:r>
        <w:t xml:space="preserve">We are to remember His mighty and wondrous Name.</w:t>
      </w:r>
      <w:r>
        <w:rPr>
          <w:rStyle w:val="FootnoteReference"/>
        </w:rPr>
        <w:footnoteReference w:id="358"/>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359"/>
      </w:r>
    </w:p>
    <w:p>
      <w:pPr>
        <w:pStyle w:val="BodyText"/>
      </w:pPr>
      <w:r>
        <w:t xml:space="preserve">Given we are to remember God, we are also to remember the Book (Kitáb-i-Aqdas)</w:t>
      </w:r>
      <w:r>
        <w:rPr>
          <w:rStyle w:val="FootnoteReference"/>
        </w:rPr>
        <w:footnoteReference w:id="360"/>
      </w:r>
      <w:r>
        <w:t xml:space="preserve"> </w:t>
      </w:r>
      <w:r>
        <w:t xml:space="preserve">and what was revealed from Him,</w:t>
      </w:r>
      <w:r>
        <w:rPr>
          <w:rStyle w:val="FootnoteReference"/>
        </w:rPr>
        <w:footnoteReference w:id="361"/>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62"/>
    <w:bookmarkStart w:id="366"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br/>
      </w:r>
      <w:r>
        <w:t xml:space="preserve">Alas, that a hundred thousand spiritual tongues are embodied in one speaking tongue, and a hundred thousand hidden meanings appear in one melody—yet there is no ear to hear, nor heart to grasp a single word.</w:t>
      </w:r>
      <w:r>
        <w:rPr>
          <w:rStyle w:val="FootnoteReference"/>
        </w:rPr>
        <w:footnoteReference w:id="363"/>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r>
        <w:t xml:space="preserve"> </w:t>
      </w: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65"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64"/>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65"/>
    <w:bookmarkEnd w:id="366"/>
    <w:bookmarkStart w:id="376" w:name="conscious-remembrance"/>
    <w:p>
      <w:pPr>
        <w:pStyle w:val="Heading2"/>
      </w:pPr>
      <w:r>
        <w:t xml:space="preserve">10.4 Conscious Remembrance</w:t>
      </w:r>
    </w:p>
    <w:p>
      <w:pPr>
        <w:pStyle w:val="FirstParagraph"/>
      </w:pPr>
      <w:r>
        <w:t xml:space="preserve">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367"/>
      </w:r>
      <w:r>
        <w:t xml:space="preserve"> </w:t>
      </w:r>
      <w:r>
        <w:t xml:space="preserve">We should thank Him with joy and spiritual fragrance.</w:t>
      </w:r>
      <w:r>
        <w:rPr>
          <w:rStyle w:val="FootnoteReference"/>
        </w:rPr>
        <w:footnoteReference w:id="368"/>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bookmarkStart w:id="372"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69"/>
      </w:r>
      <w:r>
        <w:t xml:space="preserve"> </w:t>
      </w:r>
      <w:r>
        <w:t xml:space="preserve">This is not an act of worship towards Bahá’u’lláh Himself, but a celebration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70"/>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71"/>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72"/>
    <w:bookmarkStart w:id="373"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t xml:space="preserve"> </w:t>
      </w:r>
      <w:r>
        <w:t xml:space="preserve">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73"/>
    <w:bookmarkStart w:id="375"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facing the Qiblih. Ablutions need to be done prior.</w:t>
      </w:r>
      <w:r>
        <w:rPr>
          <w:rStyle w:val="FootnoteReference"/>
        </w:rPr>
        <w:footnoteReference w:id="374"/>
      </w:r>
      <w:r>
        <w:t xml:space="preserve"> </w:t>
      </w:r>
      <w:r>
        <w:t xml:space="preserve">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75"/>
    <w:bookmarkEnd w:id="376"/>
    <w:bookmarkStart w:id="384" w:name="X3bd3c3fe46330e11caa13a631828f472bd7bb10"/>
    <w:p>
      <w:pPr>
        <w:pStyle w:val="Heading2"/>
      </w:pPr>
      <w:r>
        <w:t xml:space="preserve">10.5 Illuminations of The Unknown Sister - Emergent Virtues from Courtesy</w:t>
      </w:r>
    </w:p>
    <w:bookmarkStart w:id="377"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bookmarkEnd w:id="377"/>
    <w:bookmarkStart w:id="378"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78"/>
    <w:bookmarkStart w:id="379"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bookmarkEnd w:id="379"/>
    <w:bookmarkStart w:id="380"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80"/>
    <w:bookmarkStart w:id="381"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81"/>
    <w:bookmarkStart w:id="382"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the way she answers her child are all meaningful. Refinement does not mean elegance; it means avoiding harm through roughness or haste. Even not speaking becomes an act shaped by consideration rather than avoidance.</w:t>
      </w:r>
    </w:p>
    <w:bookmarkEnd w:id="382"/>
    <w:bookmarkStart w:id="383"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83"/>
    <w:bookmarkEnd w:id="384"/>
    <w:bookmarkStart w:id="386"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virtues of courtesy by betraying the people of Europe:</w:t>
      </w:r>
    </w:p>
    <w:p>
      <w:pPr>
        <w:pStyle w:val="BlockText"/>
      </w:pPr>
      <w:r>
        <w:t xml:space="preserve">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85"/>
      </w:r>
    </w:p>
    <w:p>
      <w:pPr>
        <w:pStyle w:val="FirstParagraph"/>
      </w:pPr>
      <w:r>
        <w:t xml:space="preserve">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86"/>
    <w:bookmarkEnd w:id="387"/>
    <w:bookmarkStart w:id="423" w:name="reflection"/>
    <w:p>
      <w:pPr>
        <w:pStyle w:val="Heading1"/>
      </w:pPr>
      <w:r>
        <w:t xml:space="preserve">11. Reflection</w:t>
      </w:r>
    </w:p>
    <w:p>
      <w:pPr>
        <w:pStyle w:val="FirstParagraph"/>
      </w:pPr>
      <w:r>
        <w:t xml:space="preserve">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388"/>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06"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389"/>
      </w:r>
      <w:r>
        <w:t xml:space="preserve"> </w:t>
      </w:r>
      <w:r>
        <w:t xml:space="preserve">through discovering hidden pearls</w:t>
      </w:r>
      <w:r>
        <w:rPr>
          <w:rStyle w:val="FootnoteReference"/>
        </w:rPr>
        <w:footnoteReference w:id="390"/>
      </w:r>
      <w:r>
        <w:t xml:space="preserve"> </w:t>
      </w:r>
      <w:r>
        <w:t xml:space="preserve">such as pearls of mysteries from the Ocean.</w:t>
      </w:r>
      <w:r>
        <w:rPr>
          <w:rStyle w:val="FootnoteReference"/>
        </w:rPr>
        <w:footnoteReference w:id="391"/>
      </w:r>
      <w:r>
        <w:t xml:space="preserve"> </w:t>
      </w:r>
      <w:r>
        <w:t xml:space="preserve">What are we to understand?</w:t>
      </w:r>
    </w:p>
    <w:bookmarkStart w:id="392"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392"/>
    <w:bookmarkStart w:id="395"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393"/>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394"/>
      </w:r>
      <w:r>
        <w:t xml:space="preserve"> </w:t>
      </w:r>
      <w:r>
        <w:t xml:space="preserve">The Bayán is a love letter to Bahá’u’lláh and to reflect the Bayán, is to discover hidden pearls of love for Bahá’u’lláh.</w:t>
      </w:r>
    </w:p>
    <w:bookmarkEnd w:id="395"/>
    <w:bookmarkStart w:id="397"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396"/>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bookmarkEnd w:id="397"/>
    <w:bookmarkStart w:id="399"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398"/>
      </w:r>
      <w:r>
        <w:t xml:space="preserve"> </w:t>
      </w:r>
      <w:r>
        <w:t xml:space="preserve">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bookmarkEnd w:id="399"/>
    <w:bookmarkStart w:id="403"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400"/>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401"/>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402"/>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bookmarkEnd w:id="403"/>
    <w:bookmarkStart w:id="405"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04"/>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pPr>
        <w:pStyle w:val="BodyText"/>
      </w:pPr>
      <w:r>
        <w:t xml:space="preserve">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05"/>
    <w:bookmarkEnd w:id="406"/>
    <w:bookmarkStart w:id="413"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07"/>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08"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08"/>
    <w:bookmarkStart w:id="410"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09"/>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10"/>
    <w:bookmarkStart w:id="412"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11"/>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12"/>
    <w:bookmarkEnd w:id="413"/>
    <w:bookmarkStart w:id="421" w:name="X4b98c16f39a4cef447479e9bc3c3d7c18bbc02b"/>
    <w:p>
      <w:pPr>
        <w:pStyle w:val="Heading2"/>
      </w:pPr>
      <w:r>
        <w:t xml:space="preserve">11.3 Illuminations of The Unknown Sister - Emergent Virtues from Pure Truthfulness</w:t>
      </w:r>
    </w:p>
    <w:bookmarkStart w:id="414"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14"/>
    <w:bookmarkStart w:id="415"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15"/>
    <w:bookmarkStart w:id="416"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16"/>
    <w:bookmarkStart w:id="417"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17"/>
    <w:bookmarkStart w:id="418"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bookmarkEnd w:id="418"/>
    <w:bookmarkStart w:id="419"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19"/>
    <w:bookmarkStart w:id="420"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20"/>
    <w:bookmarkEnd w:id="421"/>
    <w:bookmarkStart w:id="422"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r>
        <w:br w:type="page"/>
      </w:r>
    </w:p>
    <w:bookmarkEnd w:id="422"/>
    <w:bookmarkEnd w:id="423"/>
    <w:bookmarkStart w:id="490" w:name="honoring-god"/>
    <w:p>
      <w:pPr>
        <w:pStyle w:val="Heading1"/>
      </w:pPr>
      <w:r>
        <w:t xml:space="preserve">12. Honoring God</w:t>
      </w:r>
    </w:p>
    <w:bookmarkStart w:id="428" w:name="introduction-5"/>
    <w:p>
      <w:pPr>
        <w:pStyle w:val="Heading2"/>
      </w:pPr>
      <w:r>
        <w:t xml:space="preserve">12.1 Introduction</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24"/>
      </w:r>
      <w:r>
        <w:t xml:space="preserve"> </w:t>
      </w:r>
      <w:r>
        <w:t xml:space="preserve">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425"/>
      </w:r>
      <w:r>
        <w:t xml:space="preserve"> </w:t>
      </w:r>
      <w:r>
        <w:t xml:space="preserve">which prevent the soul from being a true mirror, it is also the key to the hidden treasure.</w:t>
      </w:r>
      <w:r>
        <w:rPr>
          <w:rStyle w:val="FootnoteReference"/>
        </w:rPr>
        <w:footnoteReference w:id="426"/>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27"/>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28"/>
    <w:bookmarkStart w:id="438" w:name="honor-god-within-sacred-spaces"/>
    <w:p>
      <w:pPr>
        <w:pStyle w:val="Heading2"/>
      </w:pPr>
      <w:r>
        <w:t xml:space="preserve">12.2 Honor God Within Sacred Spaces</w:t>
      </w:r>
    </w:p>
    <w:bookmarkStart w:id="434"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29"/>
      </w:r>
      <w:r>
        <w:t xml:space="preserve"> </w:t>
      </w:r>
      <w:r>
        <w:t xml:space="preserve">These houses are to be built in the name of the Lord of all religions.</w:t>
      </w:r>
      <w:r>
        <w:rPr>
          <w:rStyle w:val="FootnoteReference"/>
        </w:rPr>
        <w:footnoteReference w:id="430"/>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31"/>
      </w:r>
      <w:r>
        <w:t xml:space="preserve"> </w:t>
      </w:r>
      <w:r>
        <w:t xml:space="preserve">They should be established with wisdom, so that its building does not cause conflict.</w:t>
      </w:r>
      <w:r>
        <w:rPr>
          <w:rStyle w:val="FootnoteReference"/>
        </w:rPr>
        <w:footnoteReference w:id="432"/>
      </w:r>
      <w:r>
        <w:t xml:space="preserve"> </w:t>
      </w:r>
      <w:r>
        <w:t xml:space="preserve">For example, Bahá’u’lláh advised the community of Tehran and some others to wait to establish the Mashriq’u’l-Adhkár. 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33"/>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34"/>
    <w:bookmarkStart w:id="437"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35"/>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36"/>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locations. In the tablets Bahá’u’lláh revealed for 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37"/>
    <w:bookmarkEnd w:id="438"/>
    <w:bookmarkStart w:id="457" w:name="honor-god-with-sacred-resources"/>
    <w:p>
      <w:pPr>
        <w:pStyle w:val="Heading2"/>
      </w:pPr>
      <w:r>
        <w:t xml:space="preserve">12.3 Honor God With Sacred Resources</w:t>
      </w:r>
    </w:p>
    <w:bookmarkStart w:id="448"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39"/>
      </w:r>
      <w:r>
        <w:t xml:space="preserve"> </w:t>
      </w:r>
      <w:r>
        <w:t xml:space="preserve">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40"/>
      </w:r>
    </w:p>
    <w:p>
      <w:pPr>
        <w:pStyle w:val="BodyText"/>
      </w:pPr>
      <w:r>
        <w:t xml:space="preserve">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441"/>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42"/>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43"/>
      </w:r>
      <w:r>
        <w:t xml:space="preserve"> </w:t>
      </w:r>
      <w:r>
        <w:t xml:space="preserve">taking care of the poor,</w:t>
      </w:r>
      <w:r>
        <w:rPr>
          <w:rStyle w:val="FootnoteReference"/>
        </w:rPr>
        <w:footnoteReference w:id="444"/>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45"/>
      </w:r>
      <w:r>
        <w:t xml:space="preserve"> </w:t>
      </w:r>
      <w:r>
        <w:t xml:space="preserve">In another letter, He says all of it can be paid for charity.</w:t>
      </w:r>
      <w:r>
        <w:rPr>
          <w:rStyle w:val="FootnoteReference"/>
        </w:rPr>
        <w:footnoteReference w:id="446"/>
      </w:r>
      <w:r>
        <w:t xml:space="preserve"> </w:t>
      </w:r>
      <w:r>
        <w:t xml:space="preserve">It seems there was no rigid methodology in how Ḥuqúqu’lláh was used. The Kitáb-i-Aqdas also specifies endowments can be used for elevated places, which could be the two Houses to be established in every city, such as the Mashriq’u’l-Adhkár and the House of Justice.</w:t>
      </w:r>
    </w:p>
    <w:p>
      <w:pPr>
        <w:pStyle w:val="BodyText"/>
      </w:pPr>
      <w:r>
        <w:t xml:space="preserve">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47"/>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48"/>
    <w:bookmarkStart w:id="450"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49"/>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50"/>
    <w:bookmarkStart w:id="456"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51"/>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52"/>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53"/>
      </w:r>
    </w:p>
    <w:p>
      <w:pPr>
        <w:pStyle w:val="FirstParagraph"/>
      </w:pPr>
      <w:r>
        <w:t xml:space="preserve">The Qur’an does not specify an exact amount, but it states in multiple places to be regular in charity,</w:t>
      </w:r>
      <w:r>
        <w:rPr>
          <w:rStyle w:val="FootnoteReference"/>
        </w:rPr>
        <w:footnoteReference w:id="454"/>
      </w:r>
      <w:r>
        <w:t xml:space="preserve"> </w:t>
      </w:r>
      <w:r>
        <w:t xml:space="preserve">or who are active in deeds of charity.</w:t>
      </w:r>
      <w:r>
        <w:rPr>
          <w:rStyle w:val="FootnoteReference"/>
        </w:rPr>
        <w:footnoteReference w:id="455"/>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56"/>
    <w:bookmarkEnd w:id="457"/>
    <w:bookmarkStart w:id="481" w:name="X58ec82fe05820dd21223657e75c2f4662e37b68"/>
    <w:p>
      <w:pPr>
        <w:pStyle w:val="Heading2"/>
      </w:pPr>
      <w:r>
        <w:t xml:space="preserve">12.4 Honoring God in Sacred Time - The Badíʿ Calendar</w:t>
      </w:r>
    </w:p>
    <w:p>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58"/>
      </w:r>
      <w:r>
        <w:t xml:space="preserve"> </w:t>
      </w:r>
      <w:r>
        <w:t xml:space="preserve">These elements compose not only each aspect of us, but also the spirits which give us life.</w:t>
      </w:r>
      <w:r>
        <w:rPr>
          <w:rStyle w:val="FootnoteReference"/>
        </w:rPr>
        <w:footnoteReference w:id="459"/>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pPr>
        <w:pStyle w:val="BodyText"/>
      </w:pPr>
      <w:r>
        <w:t xml:space="preserve">Dust is assigned to the final six months (Qawl, Masá’il, Sharaf, Sultán,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65" w:name="naw-rúz-1-bahá"/>
    <w:p>
      <w:pPr>
        <w:pStyle w:val="Heading3"/>
      </w:pPr>
      <w:r>
        <w:t xml:space="preserve">12.4.1 Naw-Rúz, 1 Bahá</w:t>
      </w:r>
    </w:p>
    <w:p>
      <w:pPr>
        <w:pStyle w:val="FirstParagraph"/>
      </w:pPr>
      <w:r>
        <w:t xml:space="preserve">The Badíʿ calendar starts with the festival of Naw-Rúz.</w:t>
      </w:r>
      <w:r>
        <w:rPr>
          <w:rStyle w:val="FootnoteReference"/>
        </w:rPr>
        <w:footnoteReference w:id="460"/>
      </w:r>
      <w:r>
        <w:t xml:space="preserve"> </w:t>
      </w:r>
      <w:r>
        <w:t xml:space="preserve">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61"/>
      </w:r>
      <w:r>
        <w:t xml:space="preserve"> </w:t>
      </w:r>
      <w:r>
        <w:t xml:space="preserve">The Báb called it the Day of God.</w:t>
      </w:r>
      <w:r>
        <w:rPr>
          <w:rStyle w:val="FootnoteReference"/>
        </w:rPr>
        <w:footnoteReference w:id="462"/>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63"/>
      </w:r>
      <w:r>
        <w:t xml:space="preserve"> </w:t>
      </w:r>
      <w:r>
        <w:t xml:space="preserve">The festival begins at sunrise.</w:t>
      </w:r>
      <w:r>
        <w:rPr>
          <w:rStyle w:val="FootnoteReference"/>
        </w:rPr>
        <w:footnoteReference w:id="464"/>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65"/>
    <w:bookmarkStart w:id="471" w:name="the-ridván-festival-13-jalál-to-5-jamál"/>
    <w:p>
      <w:pPr>
        <w:pStyle w:val="Heading3"/>
      </w:pPr>
      <w:r>
        <w:t xml:space="preserve">12.4.2 The Ridván Festival, 13 Jalál to 5 Jamál</w:t>
      </w:r>
    </w:p>
    <w:p>
      <w:pPr>
        <w:pStyle w:val="FirstParagraph"/>
      </w:pPr>
      <w:r>
        <w:t xml:space="preserve">Ridván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66"/>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Ridván.</w:t>
      </w:r>
      <w:r>
        <w:rPr>
          <w:rStyle w:val="FootnoteReference"/>
        </w:rPr>
        <w:footnoteReference w:id="467"/>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68"/>
      </w:r>
    </w:p>
    <w:p>
      <w:pPr>
        <w:pStyle w:val="BodyText"/>
      </w:pPr>
      <w:r>
        <w:t xml:space="preserve">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pPr>
        <w:pStyle w:val="BodyText"/>
      </w:pPr>
      <w:r>
        <w:t xml:space="preserve">Ayyám-i-Há are the the intercalary days, which are not bound by the limits of the year and its months. Most years are 4 days of Há, and on leap years, there are 5. They are considered the days of giving.</w:t>
      </w:r>
      <w:r>
        <w:rPr>
          <w:rStyle w:val="FootnoteReference"/>
        </w:rPr>
        <w:footnoteReference w:id="469"/>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70"/>
      </w:r>
    </w:p>
    <w:p>
      <w:pPr>
        <w:pStyle w:val="BodyText"/>
      </w:pPr>
      <w:r>
        <w:t xml:space="preserve">I feel the placement of the Days of Há after the month of Mulk is highly intentional given the purpose of the</w:t>
      </w:r>
      <w:r>
        <w:t xml:space="preserve"> </w:t>
      </w:r>
      <w:r>
        <w:rPr>
          <w:iCs/>
          <w:i/>
          <w:bCs/>
          <w:b/>
        </w:rPr>
        <w:t xml:space="preserve">Badíʿ</w:t>
      </w:r>
      <w:r>
        <w:t xml:space="preserve"> </w:t>
      </w:r>
      <w:r>
        <w:t xml:space="preserve">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71"/>
    <w:bookmarkStart w:id="475" w:name="the-fast-the-month-of-alá"/>
    <w:p>
      <w:pPr>
        <w:pStyle w:val="Heading3"/>
      </w:pPr>
      <w:r>
        <w:t xml:space="preserve">12.4.3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72"/>
      </w:r>
      <w:r>
        <w:t xml:space="preserve"> </w:t>
      </w:r>
      <w:r>
        <w:t xml:space="preserve">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473"/>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74"/>
      </w:r>
      <w:r>
        <w:t xml:space="preserve"> </w:t>
      </w:r>
      <w:r>
        <w:t xml:space="preserve">When your body is restrained, what becomes louder, your ego or your soul?</w:t>
      </w:r>
    </w:p>
    <w:bookmarkEnd w:id="475"/>
    <w:bookmarkStart w:id="477" w:name="monthly-hospitality"/>
    <w:p>
      <w:pPr>
        <w:pStyle w:val="Heading3"/>
      </w:pPr>
      <w:r>
        <w:t xml:space="preserve">12.4.4 Monthly Hospitality</w:t>
      </w:r>
    </w:p>
    <w:p>
      <w:pPr>
        <w:pStyle w:val="FirstParagraph"/>
      </w:pPr>
      <w:r>
        <w:t xml:space="preserve">Every Badíʿ month, hospitality has been prescribed, even if it is only with water.</w:t>
      </w:r>
      <w:r>
        <w:rPr>
          <w:rStyle w:val="FootnoteReference"/>
        </w:rPr>
        <w:footnoteReference w:id="476"/>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bookmarkEnd w:id="477"/>
    <w:bookmarkStart w:id="478" w:name="holy-days-using-the-hijri-calendar"/>
    <w:p>
      <w:pPr>
        <w:pStyle w:val="Heading3"/>
      </w:pPr>
      <w:r>
        <w:t xml:space="preserve">12.4.5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these dates prior to the existence of the Badíʿ calendar, as a transition from the revelation of the Qur’an towards the fulfillment of the Qur’an.</w:t>
      </w:r>
    </w:p>
    <w:bookmarkEnd w:id="478"/>
    <w:bookmarkStart w:id="479" w:name="X2af6cd342b4f7975f86ab91d1838657a5903a57"/>
    <w:p>
      <w:pPr>
        <w:pStyle w:val="Heading3"/>
      </w:pPr>
      <w:r>
        <w:t xml:space="preserve">12.4.6 Declaration of the Báb - 5 Jamadiyu’l-Avval</w:t>
      </w:r>
    </w:p>
    <w:p>
      <w:pPr>
        <w:pStyle w:val="FirstParagraph"/>
      </w:pPr>
      <w:r>
        <w:t xml:space="preserve">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bookmarkEnd w:id="479"/>
    <w:bookmarkStart w:id="480" w:name="the-twin-birthdays---1-and-2-muharram"/>
    <w:p>
      <w:pPr>
        <w:pStyle w:val="Heading3"/>
      </w:pPr>
      <w:r>
        <w:t xml:space="preserve">12.4.7 The Twin Birthdays - 1 and 2 Muharram</w:t>
      </w:r>
    </w:p>
    <w:p>
      <w:pPr>
        <w:pStyle w:val="FirstParagraph"/>
      </w:pPr>
      <w:r>
        <w:t xml:space="preserve">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80"/>
    <w:bookmarkEnd w:id="481"/>
    <w:bookmarkStart w:id="488" w:name="X1b28102cc167ce51fcdb9eadb65d34812420133"/>
    <w:p>
      <w:pPr>
        <w:pStyle w:val="Heading2"/>
      </w:pPr>
      <w:r>
        <w:t xml:space="preserve">12.5 Illuminations of The Unknown Sister - Emergent Virtues from Trustworthiness</w:t>
      </w:r>
    </w:p>
    <w:bookmarkStart w:id="482" w:name="justice"/>
    <w:p>
      <w:pPr>
        <w:pStyle w:val="Heading3"/>
      </w:pPr>
      <w:r>
        <w:t xml:space="preserve">12.5.1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482"/>
    <w:bookmarkStart w:id="483" w:name="mindfulness"/>
    <w:p>
      <w:pPr>
        <w:pStyle w:val="Heading3"/>
      </w:pPr>
      <w:r>
        <w:t xml:space="preserve">12.5.2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483"/>
    <w:bookmarkStart w:id="484" w:name="patience"/>
    <w:p>
      <w:pPr>
        <w:pStyle w:val="Heading3"/>
      </w:pPr>
      <w:r>
        <w:t xml:space="preserve">12.5.3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484"/>
    <w:bookmarkStart w:id="485" w:name="repentance"/>
    <w:p>
      <w:pPr>
        <w:pStyle w:val="Heading3"/>
      </w:pPr>
      <w:r>
        <w:t xml:space="preserve">12.5.4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485"/>
    <w:bookmarkStart w:id="486" w:name="submission"/>
    <w:p>
      <w:pPr>
        <w:pStyle w:val="Heading3"/>
      </w:pPr>
      <w:r>
        <w:t xml:space="preserve">12.5.5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486"/>
    <w:bookmarkStart w:id="487" w:name="trustworthiness-innate-virtue"/>
    <w:p>
      <w:pPr>
        <w:pStyle w:val="Heading3"/>
      </w:pPr>
      <w:r>
        <w:t xml:space="preserve">12.5.6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487"/>
    <w:bookmarkEnd w:id="488"/>
    <w:bookmarkStart w:id="489" w:name="conclusion-1"/>
    <w:p>
      <w:pPr>
        <w:pStyle w:val="Heading2"/>
      </w:pPr>
      <w:r>
        <w:t xml:space="preserve">12.6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489"/>
    <w:bookmarkEnd w:id="490"/>
    <w:bookmarkStart w:id="508" w:name="unity"/>
    <w:p>
      <w:pPr>
        <w:pStyle w:val="Heading1"/>
      </w:pPr>
      <w:r>
        <w:t xml:space="preserve">13. Unity</w:t>
      </w:r>
    </w:p>
    <w:bookmarkStart w:id="496"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491"/>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492"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492"/>
    <w:bookmarkStart w:id="494"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493"/>
      </w:r>
      <w:r>
        <w:t xml:space="preserve"> </w:t>
      </w:r>
      <w:r>
        <w:t xml:space="preserve">All of these worlds eventually return to the point of Oneness.</w:t>
      </w:r>
    </w:p>
    <w:bookmarkEnd w:id="494"/>
    <w:bookmarkStart w:id="495"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495"/>
    <w:bookmarkEnd w:id="496"/>
    <w:bookmarkStart w:id="497"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497"/>
    <w:bookmarkStart w:id="505" w:name="Xbfbc95512dc35da0ac72404af92c4783875e846"/>
    <w:p>
      <w:pPr>
        <w:pStyle w:val="Heading2"/>
      </w:pPr>
      <w:r>
        <w:t xml:space="preserve">13.3 Illuminations of The Unknown Sister -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dark—even if we still call it light.</w:t>
      </w:r>
    </w:p>
    <w:bookmarkStart w:id="498" w:name="X34dcac3381513cf919b628b4b7688972825777b"/>
    <w:p>
      <w:pPr>
        <w:pStyle w:val="Heading3"/>
      </w:pPr>
      <w:r>
        <w:t xml:space="preserve">13.3.1 When the Constellation Fractures - 5 Examples</w:t>
      </w:r>
    </w:p>
    <w:p>
      <w:pPr>
        <w:pStyle w:val="FirstParagraph"/>
      </w:pPr>
      <w:r>
        <w:t xml:space="preserve">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bookmarkEnd w:id="498"/>
    <w:bookmarkStart w:id="499"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w:t>
      </w:r>
      <w:r>
        <w:br/>
      </w:r>
      <w:r>
        <w:t xml:space="preserve">Without trustworthiness, piety risks becoming image or intention without follow-through, where devotion to duty is felt but cannot be depended upon.</w:t>
      </w:r>
    </w:p>
    <w:bookmarkEnd w:id="499"/>
    <w:bookmarkStart w:id="500"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00"/>
    <w:bookmarkStart w:id="501"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01"/>
    <w:bookmarkStart w:id="502"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02"/>
    <w:bookmarkStart w:id="503" w:name="trustworthiness-as-an-idol"/>
    <w:p>
      <w:pPr>
        <w:pStyle w:val="Heading3"/>
      </w:pPr>
      <w:r>
        <w:t xml:space="preserve">13.3.6 Trustworthiness as an Idol</w:t>
      </w:r>
    </w:p>
    <w:p>
      <w:pPr>
        <w:pStyle w:val="FirstParagraph"/>
      </w:pPr>
      <w:r>
        <w:t xml:space="preserve">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03"/>
    <w:bookmarkStart w:id="504"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04"/>
    <w:bookmarkEnd w:id="505"/>
    <w:bookmarkStart w:id="506" w:name="unity-in-the-kitab-i-aqdas"/>
    <w:p>
      <w:pPr>
        <w:pStyle w:val="Heading2"/>
      </w:pPr>
      <w:r>
        <w:t xml:space="preserve">13.4 Unity in the Kitab-i-Aqdas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pPr>
        <w:pStyle w:val="BodyText"/>
      </w:pPr>
      <w:r>
        <w:rPr>
          <w:iCs/>
          <w:i/>
        </w:rPr>
        <w:t xml:space="preserve">Reflection: If you claim belief, yet pick and choose what to obey, what then do you believe? Can one achieve unity ignoring the many which composes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06"/>
    <w:bookmarkStart w:id="507"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r>
        <w:br w:type="page"/>
      </w:r>
    </w:p>
    <w:bookmarkEnd w:id="507"/>
    <w:bookmarkEnd w:id="508"/>
    <w:bookmarkStart w:id="555" w:name="from-birth-to-maturity"/>
    <w:p>
      <w:pPr>
        <w:pStyle w:val="Heading1"/>
      </w:pPr>
      <w:r>
        <w:t xml:space="preserve">14. From Birth to Maturity</w:t>
      </w:r>
    </w:p>
    <w:bookmarkStart w:id="511" w:name="introduction-6"/>
    <w:p>
      <w:pPr>
        <w:pStyle w:val="Heading2"/>
      </w:pPr>
      <w:r>
        <w:t xml:space="preserve">14.1 Introduction</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09"/>
      </w:r>
      <w:r>
        <w:t xml:space="preserve"> </w:t>
      </w:r>
      <w:r>
        <w:t xml:space="preserve">while also saying we must exceed the boundaries of self and desire.</w:t>
      </w:r>
      <w:r>
        <w:rPr>
          <w:rStyle w:val="FootnoteReference"/>
        </w:rPr>
        <w:footnoteReference w:id="510"/>
      </w:r>
      <w:r>
        <w:t xml:space="preserve"> </w:t>
      </w:r>
      <w:r>
        <w:t xml:space="preserve">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11"/>
    <w:bookmarkStart w:id="512" w:name="the-right-to-life"/>
    <w:p>
      <w:pPr>
        <w:pStyle w:val="Heading2"/>
      </w:pPr>
      <w:r>
        <w:t xml:space="preserve">14.2 The Right to Life</w:t>
      </w:r>
    </w:p>
    <w:p>
      <w:pPr>
        <w:pStyle w:val="FirstParagraph"/>
      </w:pPr>
      <w:r>
        <w:t xml:space="preserve">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12"/>
    <w:bookmarkStart w:id="513"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13"/>
    <w:bookmarkStart w:id="514"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14"/>
    <w:bookmarkStart w:id="515" w:name="the-right-to-dignified-appearance"/>
    <w:p>
      <w:pPr>
        <w:pStyle w:val="Heading2"/>
      </w:pPr>
      <w:r>
        <w:t xml:space="preserve">14.5 The Right to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15"/>
    <w:bookmarkStart w:id="518"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16"/>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17"/>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18"/>
    <w:bookmarkStart w:id="541"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19"/>
      </w:r>
      <w:r>
        <w:t xml:space="preserve"> </w:t>
      </w:r>
      <w:r>
        <w:t xml:space="preserve">Oppression is used in the context of lewdness, which opposes the virtues of righteousness and piety.</w:t>
      </w:r>
      <w:r>
        <w:rPr>
          <w:rStyle w:val="FootnoteReference"/>
        </w:rPr>
        <w:footnoteReference w:id="520"/>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22"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21"/>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22"/>
    <w:bookmarkStart w:id="524" w:name="lewdness"/>
    <w:p>
      <w:pPr>
        <w:pStyle w:val="Heading3"/>
      </w:pPr>
      <w:r>
        <w:t xml:space="preserve">14.7.2 Lewdness</w:t>
      </w:r>
    </w:p>
    <w:p>
      <w:pPr>
        <w:pStyle w:val="FirstParagraph"/>
      </w:pPr>
      <w:r>
        <w:t xml:space="preserve">All people have a right to be free from lewdness.</w:t>
      </w:r>
      <w:r>
        <w:rPr>
          <w:rStyle w:val="FootnoteReference"/>
        </w:rPr>
        <w:footnoteReference w:id="523"/>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24"/>
    <w:bookmarkStart w:id="526" w:name="pederasty"/>
    <w:p>
      <w:pPr>
        <w:pStyle w:val="Heading3"/>
      </w:pPr>
      <w:r>
        <w:t xml:space="preserve">14.7.3 Pederasty</w:t>
      </w:r>
    </w:p>
    <w:p>
      <w:pPr>
        <w:pStyle w:val="FirstParagraph"/>
      </w:pPr>
      <w:r>
        <w:t xml:space="preserve">Pederasty</w:t>
      </w:r>
      <w:r>
        <w:rPr>
          <w:rStyle w:val="FootnoteReference"/>
        </w:rPr>
        <w:footnoteReference w:id="525"/>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26"/>
    <w:bookmarkStart w:id="528"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27"/>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28"/>
    <w:bookmarkStart w:id="531"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29"/>
      </w:r>
      <w:r>
        <w:t xml:space="preserve"> </w:t>
      </w:r>
      <w:r>
        <w:t xml:space="preserve">The threat of physical harm to coerce consent would also be prohibited. Emotional harm can include contention, disputes, backbiting, and slander.</w:t>
      </w:r>
      <w:r>
        <w:rPr>
          <w:rStyle w:val="FootnoteReference"/>
        </w:rPr>
        <w:footnoteReference w:id="530"/>
      </w:r>
      <w:r>
        <w:t xml:space="preserve"> </w:t>
      </w:r>
      <w:r>
        <w:t xml:space="preserve">Instead, all people have a right to consultation and a right to walk away and leave emotional harm.</w:t>
      </w:r>
    </w:p>
    <w:bookmarkEnd w:id="531"/>
    <w:bookmarkStart w:id="532" w:name="slavery"/>
    <w:p>
      <w:pPr>
        <w:pStyle w:val="Heading3"/>
      </w:pPr>
      <w:r>
        <w:t xml:space="preserve">14.7.6 Slavery</w:t>
      </w:r>
    </w:p>
    <w:p>
      <w:pPr>
        <w:pStyle w:val="FirstParagraph"/>
      </w:pPr>
      <w:r>
        <w:t xml:space="preserve">All people have a right from being purchased or sold as slaves or servants.</w:t>
      </w:r>
    </w:p>
    <w:bookmarkEnd w:id="532"/>
    <w:bookmarkStart w:id="533"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33"/>
    <w:bookmarkStart w:id="534"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34"/>
    <w:bookmarkStart w:id="537"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pPr>
        <w:pStyle w:val="BodyText"/>
      </w:pPr>
      <w:r>
        <w:t xml:space="preserve">There is a right to be free from consuming that which robs a person of reason.</w:t>
      </w:r>
      <w:r>
        <w:rPr>
          <w:rStyle w:val="FootnoteReference"/>
        </w:rPr>
        <w:footnoteReference w:id="535"/>
      </w:r>
      <w:r>
        <w:t xml:space="preserve"> </w:t>
      </w:r>
      <w:r>
        <w:t xml:space="preserve">This will cause a person to become heedless and suspicious. Opium is explicitly mentioned</w:t>
      </w:r>
      <w:r>
        <w:rPr>
          <w:rStyle w:val="FootnoteReference"/>
        </w:rPr>
        <w:footnoteReference w:id="536"/>
      </w:r>
      <w:r>
        <w:t xml:space="preserve"> </w:t>
      </w:r>
      <w:r>
        <w:t xml:space="preserve">along with gambling. Reason is a virtue all people have a right to.</w:t>
      </w:r>
    </w:p>
    <w:bookmarkEnd w:id="537"/>
    <w:bookmarkStart w:id="539"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38"/>
      </w:r>
    </w:p>
    <w:bookmarkEnd w:id="539"/>
    <w:bookmarkStart w:id="540"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40"/>
    <w:bookmarkEnd w:id="541"/>
    <w:bookmarkStart w:id="543"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42"/>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43"/>
    <w:bookmarkStart w:id="545"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44"/>
      </w:r>
      <w:r>
        <w:t xml:space="preserve"> </w:t>
      </w:r>
      <w:r>
        <w:t xml:space="preserve">This right can 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45"/>
    <w:bookmarkStart w:id="546"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pPr>
        <w:pStyle w:val="BodyText"/>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46"/>
    <w:bookmarkStart w:id="552"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47"/>
      </w:r>
      <w:r>
        <w:t xml:space="preserve"> </w:t>
      </w:r>
      <w:r>
        <w:t xml:space="preserve">Education includes at least two languages</w:t>
      </w:r>
      <w:r>
        <w:rPr>
          <w:rStyle w:val="FootnoteReference"/>
        </w:rPr>
        <w:footnoteReference w:id="548"/>
      </w:r>
      <w:r>
        <w:t xml:space="preserve"> </w:t>
      </w:r>
      <w:r>
        <w:t xml:space="preserve">(the primary language of home and a secondary language), science,</w:t>
      </w:r>
      <w:r>
        <w:rPr>
          <w:rStyle w:val="FootnoteReference"/>
        </w:rPr>
        <w:footnoteReference w:id="549"/>
      </w:r>
      <w:r>
        <w:t xml:space="preserve"> </w:t>
      </w:r>
      <w:r>
        <w:t xml:space="preserve">arts, crafts,</w:t>
      </w:r>
      <w:r>
        <w:rPr>
          <w:rStyle w:val="FootnoteReference"/>
        </w:rPr>
        <w:footnoteReference w:id="550"/>
      </w:r>
      <w:r>
        <w:t xml:space="preserve"> </w:t>
      </w:r>
      <w:r>
        <w:t xml:space="preserve">and the sacred words of God.</w:t>
      </w:r>
      <w:r>
        <w:rPr>
          <w:rStyle w:val="FootnoteReference"/>
        </w:rPr>
        <w:footnoteReference w:id="551"/>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52"/>
    <w:bookmarkStart w:id="553"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bookmarkEnd w:id="553"/>
    <w:bookmarkStart w:id="554"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54"/>
    <w:bookmarkEnd w:id="555"/>
    <w:bookmarkStart w:id="592" w:name="from-maturity-to-devotion"/>
    <w:p>
      <w:pPr>
        <w:pStyle w:val="Heading1"/>
      </w:pPr>
      <w:r>
        <w:t xml:space="preserve">15. From Maturity to Devotion</w:t>
      </w:r>
    </w:p>
    <w:bookmarkStart w:id="557"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pPr>
        <w:pStyle w:val="BodyText"/>
      </w:pPr>
      <w:r>
        <w:t xml:space="preserve">Before explaining what maturity is, I want to introduce what I believe is the first responsibility we have at maturity. Bahá’u’lláh says</w:t>
      </w:r>
      <w:r>
        <w:t xml:space="preserve"> </w:t>
      </w:r>
      <w:r>
        <w:t xml:space="preserve">“</w:t>
      </w:r>
      <w:r>
        <w:t xml:space="preserve">no one should object to those who rule over the people.</w:t>
      </w:r>
      <w:r>
        <w:t xml:space="preserve">”</w:t>
      </w:r>
      <w:r>
        <w:rPr>
          <w:rStyle w:val="FootnoteReference"/>
        </w:rPr>
        <w:footnoteReference w:id="556"/>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pPr>
        <w:pStyle w:val="BodyText"/>
      </w:pPr>
      <w:r>
        <w:rPr>
          <w:iCs/>
          <w:i/>
        </w:rPr>
        <w:t xml:space="preserve">Reflection: Where do you invest your energy, in contesting authority or in cultivating hearts?</w:t>
      </w:r>
    </w:p>
    <w:p>
      <w:pPr>
        <w:pStyle w:val="BodyText"/>
      </w:pPr>
      <w:r>
        <w:t xml:space="preserve">With that first responsibility in view, we can now define what maturity means in this framework.</w:t>
      </w:r>
    </w:p>
    <w:bookmarkEnd w:id="557"/>
    <w:bookmarkStart w:id="560" w:name="what-is-maturity"/>
    <w:p>
      <w:pPr>
        <w:pStyle w:val="Heading2"/>
      </w:pPr>
      <w:r>
        <w:t xml:space="preserve">15.2 What is Maturity?</w:t>
      </w:r>
    </w:p>
    <w:p>
      <w:pPr>
        <w:pStyle w:val="FirstParagraph"/>
      </w:pPr>
      <w:r>
        <w:t xml:space="preserve">The Kitáb-i-Aqdas mentions maturity twice. The first is when prayer and fasting become obligatory</w:t>
      </w:r>
      <w:r>
        <w:rPr>
          <w:rStyle w:val="FootnoteReference"/>
        </w:rPr>
        <w:footnoteReference w:id="558"/>
      </w:r>
      <w:r>
        <w:t xml:space="preserve"> </w:t>
      </w:r>
      <w:r>
        <w:t xml:space="preserve">and when to receive inheritance.</w:t>
      </w:r>
      <w:r>
        <w:rPr>
          <w:rStyle w:val="FootnoteReference"/>
        </w:rPr>
        <w:footnoteReference w:id="559"/>
      </w:r>
      <w:r>
        <w:t xml:space="preserve"> </w:t>
      </w:r>
      <w:r>
        <w:t xml:space="preserve">On the latter right, Bahá’u’lláh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Bahá’u’lláh’s revelation. In the Lawḥ-i-Ra’ís (A Tablet to a Chief), Bahá’u’lláh closes with an instruction for Ali Pasha.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their actions. The Kitáb-i-Aqdas also conditions marriage upon the consent of both potential spouses. In other words, maturity is not only capacity, it is moral sight, and consent is one of its first proofs.</w:t>
      </w:r>
    </w:p>
    <w:p>
      <w:pPr>
        <w:pStyle w:val="BodyText"/>
      </w:pPr>
      <w:r>
        <w:t xml:space="preserve">With these conditions, let’s look at how the Badíʿ calendar’s progression moves through the maturation process.</w:t>
      </w:r>
    </w:p>
    <w:p>
      <w:pPr>
        <w:pStyle w:val="BodyText"/>
      </w:pPr>
      <w:r>
        <w:rPr>
          <w:iCs/>
          <w:i/>
        </w:rPr>
        <w:t xml:space="preserve">Reflection: If maturity is moral sight, what should time itself be teaching you?</w:t>
      </w:r>
    </w:p>
    <w:p>
      <w:pPr>
        <w:pStyle w:val="BodyText"/>
      </w:pPr>
      <w:r>
        <w:t xml:space="preserve">The next section uses the sacred rhythm of the year to make the stages of maturity easier to see.</w:t>
      </w:r>
    </w:p>
    <w:bookmarkEnd w:id="560"/>
    <w:bookmarkStart w:id="574" w:name="the-badíʿ-calendars-rhythm-of-maturity"/>
    <w:p>
      <w:pPr>
        <w:pStyle w:val="Heading2"/>
      </w:pPr>
      <w:r>
        <w:t xml:space="preserve">15.3 The Badíʿ Calendar’s Rhythm of Maturity</w:t>
      </w:r>
    </w:p>
    <w:p>
      <w:pPr>
        <w:pStyle w:val="FirstParagraph"/>
      </w:pPr>
      <w:r>
        <w:t xml:space="preserve">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bookmarkStart w:id="564" w:name="at-age-11"/>
    <w:p>
      <w:pPr>
        <w:pStyle w:val="Heading3"/>
      </w:pPr>
      <w:r>
        <w:t xml:space="preserve">15.3.1 At Age 11</w:t>
      </w:r>
    </w:p>
    <w:p>
      <w:pPr>
        <w:pStyle w:val="FirstParagraph"/>
      </w:pPr>
      <w:r>
        <w:t xml:space="preserve">Age 11 corresponds to God’s name Huwa.</w:t>
      </w:r>
      <w:r>
        <w:rPr>
          <w:rStyle w:val="FootnoteReference"/>
        </w:rPr>
        <w:footnoteReference w:id="561"/>
      </w:r>
      <w:r>
        <w:t xml:space="preserve"> </w:t>
      </w:r>
      <w:r>
        <w:t xml:space="preserve">Huwa is composed of two Arabic letters</w:t>
      </w:r>
      <w:r>
        <w:t xml:space="preserve"> </w:t>
      </w:r>
      <w:r>
        <w:t xml:space="preserve">“</w:t>
      </w:r>
      <w:r>
        <w:t xml:space="preserve">Ha</w:t>
      </w:r>
      <w:r>
        <w:t xml:space="preserve">”</w:t>
      </w:r>
      <w:r>
        <w:t xml:space="preserve"> </w:t>
      </w:r>
      <w:r>
        <w:t xml:space="preserve">(ه) and letter</w:t>
      </w:r>
      <w:r>
        <w:t xml:space="preserve"> </w:t>
      </w:r>
      <w:r>
        <w:t xml:space="preserve">“</w:t>
      </w:r>
      <w:r>
        <w:t xml:space="preserve">Waw</w:t>
      </w:r>
      <w:r>
        <w:t xml:space="preserve">”</w:t>
      </w:r>
      <w:r>
        <w:t xml:space="preserve"> </w:t>
      </w:r>
      <w:r>
        <w:t xml:space="preserve">(و). Bahá’u’lláh says the letter Ha corresponds with God’s inward identification and indexing of Himself as</w:t>
      </w:r>
      <w:r>
        <w:t xml:space="preserve"> </w:t>
      </w:r>
      <w:r>
        <w:t xml:space="preserve">“</w:t>
      </w:r>
      <w:r>
        <w:t xml:space="preserve">He.</w:t>
      </w:r>
      <w:r>
        <w:t xml:space="preserve">”</w:t>
      </w:r>
      <w:r>
        <w:rPr>
          <w:rStyle w:val="FootnoteReference"/>
        </w:rPr>
        <w:footnoteReference w:id="562"/>
      </w:r>
      <w:r>
        <w:t xml:space="preserve"> </w:t>
      </w:r>
      <w:r>
        <w:t xml:space="preserve">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563"/>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bookmarkEnd w:id="564"/>
    <w:bookmarkStart w:id="566" w:name="at-age-15"/>
    <w:p>
      <w:pPr>
        <w:pStyle w:val="Heading3"/>
      </w:pPr>
      <w:r>
        <w:t xml:space="preserve">15.3.2 At Age 15</w:t>
      </w:r>
    </w:p>
    <w:p>
      <w:pPr>
        <w:pStyle w:val="FirstParagraph"/>
      </w:pPr>
      <w:r>
        <w:t xml:space="preserve">Age 15 marks the second state of maturity according to the Badíʿ calendar. This would mark the time when we reach the age of reason and moral awareness.</w:t>
      </w:r>
      <w:r>
        <w:rPr>
          <w:rStyle w:val="FootnoteReference"/>
        </w:rPr>
        <w:footnoteReference w:id="565"/>
      </w:r>
      <w:r>
        <w:t xml:space="preserve"> </w:t>
      </w:r>
      <w:r>
        <w:t xml:space="preserve">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bookmarkEnd w:id="566"/>
    <w:bookmarkStart w:id="570" w:name="at-age-19"/>
    <w:p>
      <w:pPr>
        <w:pStyle w:val="Heading3"/>
      </w:pPr>
      <w:r>
        <w:t xml:space="preserve">15.3.3 At Age 19</w:t>
      </w:r>
    </w:p>
    <w:p>
      <w:pPr>
        <w:pStyle w:val="FirstParagraph"/>
      </w:pPr>
      <w:r>
        <w:t xml:space="preserve">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67"/>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68"/>
      </w:r>
    </w:p>
    <w:p>
      <w:pPr>
        <w:pStyle w:val="BodyText"/>
      </w:pPr>
      <w:r>
        <w:t xml:space="preserve">To mark this age, a person should render thanksgiving for the day of his conception as an embryo.</w:t>
      </w:r>
      <w:r>
        <w:rPr>
          <w:rStyle w:val="FootnoteReference"/>
        </w:rPr>
        <w:footnoteReference w:id="569"/>
      </w:r>
      <w:r>
        <w:t xml:space="preserve"> </w:t>
      </w:r>
      <w:r>
        <w:t xml:space="preserve">This also suggests the possibility we not just observe a birthday, but we celebrate the conception date as marking the age of a person. This also marks the first time we have the responsibility to practice reflection.</w:t>
      </w:r>
    </w:p>
    <w:bookmarkEnd w:id="570"/>
    <w:bookmarkStart w:id="572"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571"/>
      </w:r>
      <w:r>
        <w:t xml:space="preserve"> </w:t>
      </w:r>
      <w:r>
        <w:t xml:space="preserve">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bookmarkEnd w:id="572"/>
    <w:bookmarkStart w:id="573"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pPr>
        <w:pStyle w:val="BodyText"/>
      </w:pPr>
      <w:r>
        <w:rPr>
          <w:iCs/>
          <w:i/>
        </w:rPr>
        <w:t xml:space="preserve">Reflection: How do you use sacred time to mature your soul?</w:t>
      </w:r>
    </w:p>
    <w:p>
      <w:pPr>
        <w:pStyle w:val="BodyText"/>
      </w:pPr>
      <w:r>
        <w:t xml:space="preserve">Now we move from the calendar’s pattern into the adult’s first inner obligations.</w:t>
      </w:r>
    </w:p>
    <w:bookmarkEnd w:id="573"/>
    <w:bookmarkEnd w:id="574"/>
    <w:bookmarkStart w:id="576"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Bahá’u’lláh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75"/>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pPr>
        <w:pStyle w:val="BodyText"/>
      </w:pPr>
      <w:r>
        <w:rPr>
          <w:iCs/>
          <w:i/>
        </w:rPr>
        <w:t xml:space="preserve">Reflection: What changes when you refuse borrowed eyes and borrowed ears?</w:t>
      </w:r>
    </w:p>
    <w:p>
      <w:pPr>
        <w:pStyle w:val="BodyText"/>
      </w:pPr>
      <w:r>
        <w:t xml:space="preserve">With independent seeking established, we can now state the first explicit right that follows from it.</w:t>
      </w:r>
    </w:p>
    <w:bookmarkEnd w:id="576"/>
    <w:bookmarkStart w:id="577" w:name="right-to-belief"/>
    <w:p>
      <w:pPr>
        <w:pStyle w:val="Heading2"/>
      </w:pPr>
      <w:r>
        <w:t xml:space="preserve">15.5 Right to Belief</w:t>
      </w:r>
    </w:p>
    <w:p>
      <w:pPr>
        <w:pStyle w:val="FirstParagraph"/>
      </w:pPr>
      <w:r>
        <w:t xml:space="preserve">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pPr>
        <w:pStyle w:val="BodyText"/>
      </w:pPr>
      <w:r>
        <w:t xml:space="preserve">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pPr>
        <w:pStyle w:val="BodyText"/>
      </w:pPr>
      <w:r>
        <w:rPr>
          <w:iCs/>
          <w:i/>
        </w:rPr>
        <w:t xml:space="preserve">Reflection: If belief cannot be coerced, what kind of accountability can still be asked of the soul?</w:t>
      </w:r>
    </w:p>
    <w:p>
      <w:pPr>
        <w:pStyle w:val="BodyText"/>
      </w:pPr>
      <w:r>
        <w:t xml:space="preserve">From here, we can name the core accountabilities that shape devotion into conduct.</w:t>
      </w:r>
    </w:p>
    <w:bookmarkEnd w:id="577"/>
    <w:bookmarkStart w:id="581" w:name="spiritual-accountability"/>
    <w:p>
      <w:pPr>
        <w:pStyle w:val="Heading2"/>
      </w:pPr>
      <w:r>
        <w:t xml:space="preserve">15.6 Spiritual Accountability</w:t>
      </w:r>
    </w:p>
    <w:p>
      <w:pPr>
        <w:pStyle w:val="FirstParagraph"/>
      </w:pPr>
      <w:r>
        <w:t xml:space="preserve">There are various guidelines in the Kitáb-i-Aqdas which focus on aspects of spiritual accountability. For each guideline, they will be presented as both a right and responsibility.</w:t>
      </w:r>
    </w:p>
    <w:bookmarkStart w:id="578"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bookmarkEnd w:id="578"/>
    <w:bookmarkStart w:id="579"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79"/>
    <w:bookmarkStart w:id="580"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pPr>
        <w:pStyle w:val="BodyText"/>
      </w:pPr>
      <w:r>
        <w:rPr>
          <w:iCs/>
          <w:i/>
        </w:rPr>
        <w:t xml:space="preserve">Reflection: When you speak of maturity, do you mean legal adulthood or the soul’s growth into discernment?</w:t>
      </w:r>
    </w:p>
    <w:p>
      <w:pPr>
        <w:pStyle w:val="BodyText"/>
      </w:pPr>
      <w:r>
        <w:t xml:space="preserve">Next we widen the lens to spiritual maturity, where law becomes symbol and devotion becomes station.</w:t>
      </w:r>
    </w:p>
    <w:bookmarkEnd w:id="580"/>
    <w:bookmarkEnd w:id="581"/>
    <w:bookmarkStart w:id="586" w:name="the-right-to-spiritual-maturity"/>
    <w:p>
      <w:pPr>
        <w:pStyle w:val="Heading2"/>
      </w:pPr>
      <w:r>
        <w:t xml:space="preserve">15.7 The Right to Spiritual Maturity</w:t>
      </w:r>
    </w:p>
    <w:p>
      <w:pPr>
        <w:pStyle w:val="FirstParagraph"/>
      </w:pPr>
      <w:r>
        <w:t xml:space="preserve">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pPr>
        <w:pStyle w:val="BodyText"/>
      </w:pPr>
      <w:r>
        <w:t xml:space="preserve">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not being valued, such as the virtue of heedfulness. A sign of maturation is belief in the Manifestation of God.</w:t>
      </w:r>
    </w:p>
    <w:p>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582"/>
      </w:r>
    </w:p>
    <w:p>
      <w:pPr>
        <w:pStyle w:val="BodyText"/>
      </w:pPr>
      <w:r>
        <w:t xml:space="preserve">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583"/>
      </w:r>
      <w:r>
        <w:t xml:space="preserve"> </w:t>
      </w:r>
      <w:r>
        <w:t xml:space="preserve">With this said, I do believe in what the Kitáb-i-Aqdas says in its opening in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584"/>
      </w:r>
      <w:r>
        <w:t xml:space="preserve"> </w:t>
      </w:r>
      <w:r>
        <w:t xml:space="preserve">An associated responsibility is for a person to no longer be moved by desires and illusions.</w:t>
      </w:r>
      <w:r>
        <w:rPr>
          <w:rStyle w:val="FootnoteReference"/>
        </w:rPr>
        <w:footnoteReference w:id="585"/>
      </w:r>
    </w:p>
    <w:p>
      <w:pPr>
        <w:pStyle w:val="BodyText"/>
      </w:pPr>
      <w:r>
        <w:rPr>
          <w:iCs/>
          <w:i/>
        </w:rPr>
        <w:t xml:space="preserve">Reflection: If spiritual maturity is a station, what obligations does it place on your speech and your influence?</w:t>
      </w:r>
    </w:p>
    <w:p>
      <w:pPr>
        <w:pStyle w:val="BodyText"/>
      </w:pPr>
      <w:r>
        <w:t xml:space="preserve">Now we can name the responsibilities that belong to maturity in its spiritual sense.</w:t>
      </w:r>
    </w:p>
    <w:bookmarkEnd w:id="586"/>
    <w:bookmarkStart w:id="590"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587"/>
      </w:r>
      <w:r>
        <w:t xml:space="preserve"> </w:t>
      </w:r>
      <w:r>
        <w:t xml:space="preserve">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588"/>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589"/>
      </w:r>
    </w:p>
    <w:p>
      <w:pPr>
        <w:pStyle w:val="FirstParagraph"/>
      </w:pPr>
      <w:r>
        <w:rPr>
          <w:iCs/>
          <w:i/>
        </w:rPr>
        <w:t xml:space="preserve">Reflection: If maturity is stewardship, what does it ask you to protect in those still growing?</w:t>
      </w:r>
    </w:p>
    <w:p>
      <w:pPr>
        <w:pStyle w:val="BodyText"/>
      </w:pPr>
      <w:r>
        <w:t xml:space="preserve">To close, we return to your core pattern, and carry it forward into the private life of the mature soul.</w:t>
      </w:r>
    </w:p>
    <w:bookmarkEnd w:id="590"/>
    <w:bookmarkStart w:id="591" w:name="conclusion-3"/>
    <w:p>
      <w:pPr>
        <w:pStyle w:val="Heading2"/>
      </w:pPr>
      <w:r>
        <w:t xml:space="preserve">15.9 Conclusion</w:t>
      </w:r>
    </w:p>
    <w:p>
      <w:pPr>
        <w:pStyle w:val="FirstParagraph"/>
      </w:pPr>
      <w:r>
        <w:t xml:space="preserve">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591"/>
    <w:bookmarkEnd w:id="592"/>
    <w:bookmarkStart w:id="636" w:name="the-private-self"/>
    <w:p>
      <w:pPr>
        <w:pStyle w:val="Heading1"/>
      </w:pPr>
      <w:r>
        <w:t xml:space="preserve">16. The Private Self</w:t>
      </w:r>
    </w:p>
    <w:p>
      <w:pPr>
        <w:pStyle w:val="FirstParagraph"/>
      </w:pPr>
      <w:r>
        <w:t xml:space="preserve">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bookmarkStart w:id="593" w:name="Xefa14bc45e2520be3101a78a13207deb3fb28d3"/>
    <w:p>
      <w:pPr>
        <w:pStyle w:val="Heading2"/>
      </w:pPr>
      <w:r>
        <w:t xml:space="preserve">16.1 Responsibilities Associated With Premature Rights</w:t>
      </w:r>
    </w:p>
    <w:p>
      <w:pPr>
        <w:pStyle w:val="FirstParagraph"/>
      </w:pPr>
      <w:r>
        <w:t xml:space="preserve">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pPr>
        <w:numPr>
          <w:ilvl w:val="0"/>
          <w:numId w:val="1003"/>
        </w:numPr>
      </w:pPr>
      <w:r>
        <w:t xml:space="preserve">The responsibility of life</w:t>
      </w:r>
    </w:p>
    <w:p>
      <w:pPr>
        <w:numPr>
          <w:ilvl w:val="0"/>
          <w:numId w:val="1003"/>
        </w:numPr>
      </w:pPr>
      <w:r>
        <w:t xml:space="preserve">The responsibility of identity</w:t>
      </w:r>
    </w:p>
    <w:p>
      <w:pPr>
        <w:numPr>
          <w:ilvl w:val="0"/>
          <w:numId w:val="1003"/>
        </w:numPr>
      </w:pPr>
      <w:r>
        <w:t xml:space="preserve">The responsibility of purity</w:t>
      </w:r>
    </w:p>
    <w:p>
      <w:pPr>
        <w:numPr>
          <w:ilvl w:val="0"/>
          <w:numId w:val="1003"/>
        </w:numPr>
      </w:pPr>
      <w:r>
        <w:t xml:space="preserve">The responsibility of a dignified appearance</w:t>
      </w:r>
    </w:p>
    <w:p>
      <w:pPr>
        <w:numPr>
          <w:ilvl w:val="0"/>
          <w:numId w:val="1003"/>
        </w:numPr>
      </w:pPr>
      <w:r>
        <w:t xml:space="preserve">The responsibility of love and kindness</w:t>
      </w:r>
    </w:p>
    <w:p>
      <w:pPr>
        <w:numPr>
          <w:ilvl w:val="0"/>
          <w:numId w:val="1003"/>
        </w:numPr>
      </w:pPr>
      <w:r>
        <w:t xml:space="preserve">The responsibility to not oppress, to include lewdness, pederasty, physical harm, emotional harm, provision, hatred, corruption, tyranny, and justice.</w:t>
      </w:r>
    </w:p>
    <w:p>
      <w:pPr>
        <w:numPr>
          <w:ilvl w:val="0"/>
          <w:numId w:val="1003"/>
        </w:numPr>
      </w:pPr>
      <w:r>
        <w:t xml:space="preserve">The responsibility to have a skilled physician</w:t>
      </w:r>
    </w:p>
    <w:p>
      <w:pPr>
        <w:numPr>
          <w:ilvl w:val="0"/>
          <w:numId w:val="1003"/>
        </w:numPr>
      </w:pPr>
      <w:r>
        <w:t xml:space="preserve">The responsibility to education</w:t>
      </w:r>
    </w:p>
    <w:p>
      <w:pPr>
        <w:numPr>
          <w:ilvl w:val="0"/>
          <w:numId w:val="1003"/>
        </w:numPr>
      </w:pPr>
      <w:r>
        <w:t xml:space="preserve">The responsibility of the Minor Trust</w:t>
      </w:r>
    </w:p>
    <w:p>
      <w:pPr>
        <w:pStyle w:val="FirstParagraph"/>
      </w:pPr>
      <w:r>
        <w:rPr>
          <w:iCs/>
          <w:i/>
        </w:rPr>
        <w:t xml:space="preserve">Reflection: What have you allowed to shape your private reality?</w:t>
      </w:r>
    </w:p>
    <w:p>
      <w:pPr>
        <w:pStyle w:val="BodyText"/>
      </w:pPr>
      <w:r>
        <w:t xml:space="preserve">The next section names the main threat to private reality, which is illusion.</w:t>
      </w:r>
    </w:p>
    <w:bookmarkEnd w:id="593"/>
    <w:bookmarkStart w:id="596" w:name="X1f45706ca40fd8f85c7b1a73cb099d601f0b270"/>
    <w:p>
      <w:pPr>
        <w:pStyle w:val="Heading2"/>
      </w:pPr>
      <w:r>
        <w:t xml:space="preserve">16.2 The Right and Responsibility to Be Free From Illusions</w:t>
      </w:r>
    </w:p>
    <w:p>
      <w:pPr>
        <w:pStyle w:val="FirstParagraph"/>
      </w:pPr>
      <w:r>
        <w:t xml:space="preserve">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Kitáb-i-Aqdas describes illusions as idols of our desires.</w:t>
      </w:r>
      <w:r>
        <w:rPr>
          <w:rStyle w:val="FootnoteReference"/>
        </w:rPr>
        <w:footnoteReference w:id="594"/>
      </w:r>
      <w:r>
        <w:t xml:space="preserve"> </w:t>
      </w:r>
      <w:r>
        <w:t xml:space="preserve">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pPr>
        <w:pStyle w:val="BodyText"/>
      </w:pPr>
      <w:r>
        <w:t xml:space="preserve">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595"/>
      </w:r>
      <w:r>
        <w:t xml:space="preserve"> </w:t>
      </w:r>
      <w:r>
        <w:t xml:space="preserve">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pPr>
        <w:pStyle w:val="BodyText"/>
      </w:pPr>
      <w:r>
        <w:rPr>
          <w:iCs/>
          <w:i/>
        </w:rPr>
        <w:t xml:space="preserve">Reflection: Who are you privately following, and why?</w:t>
      </w:r>
    </w:p>
    <w:p>
      <w:pPr>
        <w:pStyle w:val="BodyText"/>
      </w:pPr>
      <w:r>
        <w:t xml:space="preserve">The next section applies illusion to influence, especially miserable influence.</w:t>
      </w:r>
    </w:p>
    <w:bookmarkEnd w:id="596"/>
    <w:bookmarkStart w:id="598" w:name="X9ada0953a31f2e01ae40a8cc2c464076a5d6612"/>
    <w:p>
      <w:pPr>
        <w:pStyle w:val="Heading2"/>
      </w:pPr>
      <w:r>
        <w:t xml:space="preserve">16.3 The Right and Responsibility To Not Be Wretched</w:t>
      </w:r>
    </w:p>
    <w:p>
      <w:pPr>
        <w:pStyle w:val="FirstParagraph"/>
      </w:pPr>
      <w:r>
        <w:t xml:space="preserve">The Kitáb-i-Aqdas tells us not to follow a wretched one.</w:t>
      </w:r>
      <w:r>
        <w:rPr>
          <w:rStyle w:val="FootnoteReference"/>
        </w:rPr>
        <w:footnoteReference w:id="597"/>
      </w:r>
      <w:r>
        <w:t xml:space="preserve"> </w:t>
      </w:r>
      <w:r>
        <w:t xml:space="preserve">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pPr>
        <w:pStyle w:val="BodyText"/>
      </w:pPr>
      <w:r>
        <w:t xml:space="preserve">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pPr>
        <w:pStyle w:val="BodyText"/>
      </w:pPr>
      <w:r>
        <w:rPr>
          <w:iCs/>
          <w:i/>
        </w:rPr>
        <w:t xml:space="preserve">Reflection: Where do you apply strictness to others that you refuse for yourself?</w:t>
      </w:r>
    </w:p>
    <w:p>
      <w:pPr>
        <w:pStyle w:val="BodyText"/>
      </w:pPr>
      <w:r>
        <w:t xml:space="preserve">The next section treats tyranny as a private pattern before it becomes public harm.</w:t>
      </w:r>
    </w:p>
    <w:bookmarkEnd w:id="598"/>
    <w:bookmarkStart w:id="604" w:name="X51704d0e94133ab9353df306b97bdd13fcfbddf"/>
    <w:p>
      <w:pPr>
        <w:pStyle w:val="Heading2"/>
      </w:pPr>
      <w:r>
        <w:t xml:space="preserve">16.4 The Right and Responsibility To Not Be a Tyrant</w:t>
      </w:r>
    </w:p>
    <w:p>
      <w:pPr>
        <w:pStyle w:val="FirstParagraph"/>
      </w:pPr>
      <w:r>
        <w:t xml:space="preserve">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w:t>
      </w:r>
      <w:r>
        <w:t xml:space="preserve"> </w:t>
      </w:r>
      <w:r>
        <w:t xml:space="preserve">“</w:t>
      </w:r>
      <w:r>
        <w:t xml:space="preserve">Do not be preoccupied with yourself,</w:t>
      </w:r>
      <w:r>
        <w:rPr>
          <w:rStyle w:val="FootnoteReference"/>
        </w:rPr>
        <w:footnoteReference w:id="599"/>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00"/>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for scholars</w:t>
      </w:r>
      <w:r>
        <w:rPr>
          <w:rStyle w:val="FootnoteReference"/>
        </w:rPr>
        <w:footnoteReference w:id="601"/>
      </w:r>
      <w:r>
        <w:t xml:space="preserve"> </w:t>
      </w:r>
      <w:r>
        <w:t xml:space="preserve">and sovereign leaders</w:t>
      </w:r>
      <w:r>
        <w:rPr>
          <w:rStyle w:val="FootnoteReference"/>
        </w:rPr>
        <w:footnoteReference w:id="602"/>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603"/>
      </w:r>
    </w:p>
    <w:p>
      <w:pPr>
        <w:pStyle w:val="BodyText"/>
      </w:pPr>
      <w:r>
        <w:rPr>
          <w:iCs/>
          <w:i/>
        </w:rPr>
        <w:t xml:space="preserve">Reflection: Which desire most often becomes your idol?</w:t>
      </w:r>
    </w:p>
    <w:p>
      <w:pPr>
        <w:pStyle w:val="BodyText"/>
      </w:pPr>
      <w:r>
        <w:t xml:space="preserve">The next section names self and desire as boundaries that impersonate freedom.</w:t>
      </w:r>
    </w:p>
    <w:bookmarkEnd w:id="604"/>
    <w:bookmarkStart w:id="607" w:name="break-the-boundaries-of-self-and-desire"/>
    <w:p>
      <w:pPr>
        <w:pStyle w:val="Heading2"/>
      </w:pPr>
      <w:r>
        <w:t xml:space="preserve">16.5 Break the Boundaries of Self and Desire</w:t>
      </w:r>
    </w:p>
    <w:p>
      <w:pPr>
        <w:pStyle w:val="FirstParagraph"/>
      </w:pPr>
      <w:r>
        <w:t xml:space="preserve">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pPr>
        <w:pStyle w:val="BodyText"/>
      </w:pPr>
      <w:r>
        <w:t xml:space="preserve">Like delusions, we are to break the boundaries of self and desire.</w:t>
      </w:r>
      <w:r>
        <w:rPr>
          <w:rStyle w:val="FootnoteReference"/>
        </w:rPr>
        <w:footnoteReference w:id="605"/>
      </w:r>
      <w:r>
        <w:t xml:space="preserve"> </w:t>
      </w:r>
      <w:r>
        <w:t xml:space="preserve">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606"/>
      </w:r>
      <w:r>
        <w:t xml:space="preserve"> </w:t>
      </w:r>
      <w:r>
        <w:t xml:space="preserve">Division and unity start with who we are in private.</w:t>
      </w:r>
    </w:p>
    <w:p>
      <w:pPr>
        <w:pStyle w:val="BodyText"/>
      </w:pPr>
      <w:r>
        <w:rPr>
          <w:iCs/>
          <w:i/>
        </w:rPr>
        <w:t xml:space="preserve">Reflection: Which parts of your identity feel permanent, and why?</w:t>
      </w:r>
    </w:p>
    <w:p>
      <w:pPr>
        <w:pStyle w:val="BodyText"/>
      </w:pPr>
      <w:r>
        <w:t xml:space="preserve">The next section defines the self in practical terms so you can see what must be refined.</w:t>
      </w:r>
    </w:p>
    <w:bookmarkEnd w:id="607"/>
    <w:bookmarkStart w:id="608"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pPr>
        <w:pStyle w:val="BodyText"/>
      </w:pPr>
      <w:r>
        <w:t xml:space="preserve">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pPr>
        <w:pStyle w:val="BodyText"/>
      </w:pPr>
      <w:r>
        <w:rPr>
          <w:iCs/>
          <w:i/>
        </w:rPr>
        <w:t xml:space="preserve">Reflection: Which desire feels most rational, yet most controlling?</w:t>
      </w:r>
    </w:p>
    <w:p>
      <w:pPr>
        <w:pStyle w:val="BodyText"/>
      </w:pPr>
      <w:r>
        <w:t xml:space="preserve">The next section maps desire as a moral responsibility rather than a forbidden experience.</w:t>
      </w:r>
    </w:p>
    <w:bookmarkEnd w:id="608"/>
    <w:bookmarkStart w:id="632" w:name="desires"/>
    <w:p>
      <w:pPr>
        <w:pStyle w:val="Heading2"/>
      </w:pPr>
      <w:r>
        <w:t xml:space="preserve">16.7 Desires</w:t>
      </w:r>
    </w:p>
    <w:p>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Kitáb-i-Aqdas has at least 17 different types of desires we are responsible for controlling. The next section will discuss these according to theme.</w:t>
      </w:r>
    </w:p>
    <w:bookmarkStart w:id="616"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09"/>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10"/>
      </w:r>
    </w:p>
    <w:p>
      <w:pPr>
        <w:pStyle w:val="BodyText"/>
      </w:pPr>
      <w:r>
        <w:t xml:space="preserve">We also have a responsibility in our desire of might.</w:t>
      </w:r>
      <w:r>
        <w:rPr>
          <w:rStyle w:val="FootnoteReference"/>
        </w:rPr>
        <w:footnoteReference w:id="611"/>
      </w:r>
      <w:r>
        <w:t xml:space="preserve"> </w:t>
      </w:r>
      <w:r>
        <w:t xml:space="preserve">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612"/>
      </w:r>
    </w:p>
    <w:p>
      <w:pPr>
        <w:pStyle w:val="BodyText"/>
      </w:pPr>
      <w:r>
        <w:t xml:space="preserve">One way we often demonstrate our status is through our wealth, or obvious presentation of wealth. Bahá’u’lláh warns us in desiring the treasures of the world.</w:t>
      </w:r>
      <w:r>
        <w:rPr>
          <w:rStyle w:val="FootnoteReference"/>
        </w:rPr>
        <w:footnoteReference w:id="613"/>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14"/>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15"/>
      </w:r>
      <w:r>
        <w:t xml:space="preserve"> </w:t>
      </w:r>
      <w:r>
        <w:t xml:space="preserve">and a responsibility to give inheritance. Bahá’u’lláh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16"/>
    <w:bookmarkStart w:id="619" w:name="desires-of-knowledge"/>
    <w:p>
      <w:pPr>
        <w:pStyle w:val="Heading3"/>
      </w:pPr>
      <w:r>
        <w:t xml:space="preserve">16.7.2 Desires of Knowledge</w:t>
      </w:r>
    </w:p>
    <w:p>
      <w:pPr>
        <w:pStyle w:val="FirstParagraph"/>
      </w:pPr>
      <w:r>
        <w:t xml:space="preserve">There are three types of desires regarding knowledge we have a responsibility for. Bahá’u’lláh does not want us to be proud in our knowledge.</w:t>
      </w:r>
      <w:r>
        <w:rPr>
          <w:rStyle w:val="FootnoteReference"/>
        </w:rPr>
        <w:footnoteReference w:id="617"/>
      </w:r>
      <w:r>
        <w:t xml:space="preserve"> </w:t>
      </w:r>
      <w:r>
        <w:t xml:space="preserve">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618"/>
      </w:r>
      <w:r>
        <w:t xml:space="preserve"> </w:t>
      </w:r>
      <w:r>
        <w:t xml:space="preserve">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bookmarkEnd w:id="619"/>
    <w:bookmarkStart w:id="623" w:name="desires-of-self-interest"/>
    <w:p>
      <w:pPr>
        <w:pStyle w:val="Heading3"/>
      </w:pPr>
      <w:r>
        <w:t xml:space="preserve">16.7.3 Desires of Self-Interest</w:t>
      </w:r>
    </w:p>
    <w:p>
      <w:pPr>
        <w:pStyle w:val="FirstParagraph"/>
      </w:pPr>
      <w:r>
        <w:t xml:space="preserve">The Kitáb-i-Aqdas describes how we should view ourselves as the fingers of one hand and the limbs of one body.</w:t>
      </w:r>
      <w:r>
        <w:rPr>
          <w:rStyle w:val="FootnoteReference"/>
        </w:rPr>
        <w:footnoteReference w:id="620"/>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Bahá’u’lláh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pPr>
        <w:pStyle w:val="BodyText"/>
      </w:pPr>
      <w:r>
        <w:t xml:space="preserve">Bahá’u’lláh says we should not desire for others what we would not desire for yourself.</w:t>
      </w:r>
      <w:r>
        <w:rPr>
          <w:rStyle w:val="FootnoteReference"/>
        </w:rPr>
        <w:footnoteReference w:id="621"/>
      </w:r>
      <w:r>
        <w:t xml:space="preserve"> </w:t>
      </w:r>
      <w:r>
        <w:t xml:space="preserve">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22"/>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23"/>
    <w:bookmarkStart w:id="631" w:name="desires-of-the-body"/>
    <w:p>
      <w:pPr>
        <w:pStyle w:val="Heading3"/>
      </w:pPr>
      <w:r>
        <w:t xml:space="preserve">16.7.4 Desires of the Body</w:t>
      </w:r>
    </w:p>
    <w:p>
      <w:pPr>
        <w:pStyle w:val="FirstParagraph"/>
      </w:pPr>
      <w:r>
        <w:t xml:space="preserve">The final section about desire will discuss the desires of the body. Bahá’u’lláh expresses specific commands regarding food and drink,</w:t>
      </w:r>
      <w:r>
        <w:rPr>
          <w:rStyle w:val="FootnoteReference"/>
        </w:rPr>
        <w:footnoteReference w:id="624"/>
      </w:r>
      <w:r>
        <w:t xml:space="preserve"> </w:t>
      </w:r>
      <w:r>
        <w:t xml:space="preserve">drugs such as opium,</w:t>
      </w:r>
      <w:r>
        <w:rPr>
          <w:rStyle w:val="FootnoteReference"/>
        </w:rPr>
        <w:footnoteReference w:id="625"/>
      </w:r>
      <w:r>
        <w:t xml:space="preserve"> </w:t>
      </w:r>
      <w:r>
        <w:t xml:space="preserve">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Pr>
      <w:r>
        <w:t xml:space="preserve">Do not eat except when hungry</w:t>
      </w:r>
    </w:p>
    <w:p>
      <w:pPr>
        <w:numPr>
          <w:ilvl w:val="0"/>
          <w:numId w:val="1004"/>
        </w:numPr>
      </w:pPr>
      <w:r>
        <w:t xml:space="preserve">Do not drink except when thirsty</w:t>
      </w:r>
    </w:p>
    <w:p>
      <w:pPr>
        <w:numPr>
          <w:ilvl w:val="0"/>
          <w:numId w:val="1004"/>
        </w:numPr>
      </w:pPr>
      <w:r>
        <w:t xml:space="preserve">Eat only after digestion</w:t>
      </w:r>
    </w:p>
    <w:p>
      <w:pPr>
        <w:numPr>
          <w:ilvl w:val="0"/>
          <w:numId w:val="1004"/>
        </w:numPr>
      </w:pPr>
      <w:r>
        <w:t xml:space="preserve">Swallow only after thorough chewing</w:t>
      </w:r>
    </w:p>
    <w:p>
      <w:pPr>
        <w:numPr>
          <w:ilvl w:val="0"/>
          <w:numId w:val="1004"/>
        </w:numPr>
      </w:pPr>
      <w:r>
        <w:t xml:space="preserve">Use foods to initially treat ailments</w:t>
      </w:r>
    </w:p>
    <w:p>
      <w:pPr>
        <w:numPr>
          <w:ilvl w:val="0"/>
          <w:numId w:val="1004"/>
        </w:numPr>
      </w:pPr>
      <w:r>
        <w:t xml:space="preserve">Do not mix opposites at the table. Begin with soft before hard, and liquid before solid.</w:t>
      </w:r>
    </w:p>
    <w:p>
      <w:pPr>
        <w:numPr>
          <w:ilvl w:val="0"/>
          <w:numId w:val="1004"/>
        </w:numPr>
      </w:pPr>
      <w:r>
        <w:t xml:space="preserve">Walk a little after eating</w:t>
      </w:r>
    </w:p>
    <w:p>
      <w:pPr>
        <w:numPr>
          <w:ilvl w:val="0"/>
          <w:numId w:val="1004"/>
        </w:numPr>
      </w:pPr>
      <w:r>
        <w:t xml:space="preserve">Avoid foods which are hard to chew</w:t>
      </w:r>
    </w:p>
    <w:p>
      <w:pPr>
        <w:numPr>
          <w:ilvl w:val="0"/>
          <w:numId w:val="1004"/>
        </w:numPr>
      </w:pPr>
      <w:r>
        <w:t xml:space="preserve">Eat only a little in the morning</w:t>
      </w:r>
    </w:p>
    <w:p>
      <w:pPr>
        <w:numPr>
          <w:ilvl w:val="0"/>
          <w:numId w:val="1004"/>
        </w:numPr>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26"/>
      </w:r>
      <w:r>
        <w:t xml:space="preserve"> </w:t>
      </w:r>
      <w:r>
        <w:t xml:space="preserve">Our desire to seem pious does not give a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627"/>
      </w:r>
      <w:r>
        <w:t xml:space="preserve"> </w:t>
      </w:r>
      <w:r>
        <w:t xml:space="preserve">nor with our parents and step-parents.</w:t>
      </w:r>
      <w:r>
        <w:rPr>
          <w:rStyle w:val="FootnoteReference"/>
        </w:rPr>
        <w:footnoteReference w:id="628"/>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29"/>
      </w:r>
      <w:r>
        <w:t xml:space="preserve"> </w:t>
      </w:r>
      <w:r>
        <w:t xml:space="preserve">This also means a married person has a right to be free from the desire of another person who is not their spouse.</w:t>
      </w:r>
    </w:p>
    <w:p>
      <w:pPr>
        <w:pStyle w:val="BodyText"/>
      </w:pPr>
      <w:r>
        <w:t xml:space="preserve">We are also warned about allowing certain music and melodies</w:t>
      </w:r>
      <w:r>
        <w:rPr>
          <w:rStyle w:val="FootnoteReference"/>
        </w:rPr>
        <w:footnoteReference w:id="630"/>
      </w:r>
      <w:r>
        <w:t xml:space="preserve"> </w:t>
      </w:r>
      <w:r>
        <w:t xml:space="preserve">causing desire. There is a right to music and melodies, but a responsibility to be virtuous in its use.</w:t>
      </w:r>
    </w:p>
    <w:p>
      <w:pPr>
        <w:pStyle w:val="BodyText"/>
      </w:pPr>
      <w:r>
        <w:t xml:space="preserve">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pPr>
        <w:pStyle w:val="BodyText"/>
      </w:pPr>
      <w:r>
        <w:t xml:space="preserve">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pPr>
        <w:pStyle w:val="BodyText"/>
      </w:pPr>
      <w:r>
        <w:t xml:space="preserve">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pPr>
        <w:pStyle w:val="BodyText"/>
      </w:pPr>
      <w:r>
        <w:rPr>
          <w:iCs/>
          <w:i/>
        </w:rPr>
        <w:t xml:space="preserve">Reflection: Which desire could become healthier through virtue?</w:t>
      </w:r>
    </w:p>
    <w:p>
      <w:pPr>
        <w:pStyle w:val="BodyText"/>
      </w:pPr>
      <w:r>
        <w:t xml:space="preserve">The next section identifies moderation as the discipline that reshapes desire without denying it.</w:t>
      </w:r>
    </w:p>
    <w:bookmarkEnd w:id="631"/>
    <w:bookmarkEnd w:id="632"/>
    <w:bookmarkStart w:id="633"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w:t>
      </w:r>
      <w:r>
        <w:t xml:space="preserve"> </w:t>
      </w:r>
      <w:r>
        <w:t xml:space="preserve">“</w:t>
      </w:r>
      <w:r>
        <w:t xml:space="preserve">I am</w:t>
      </w:r>
      <w:r>
        <w:t xml:space="preserve">”</w:t>
      </w:r>
      <w:r>
        <w:t xml:space="preserve"> </w:t>
      </w:r>
      <w:r>
        <w:t xml:space="preserve">statement, we have a wide variety of names and attributes to pull from instead of just one limiting aspect.</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p>
      <w:pPr>
        <w:pStyle w:val="BodyText"/>
      </w:pPr>
      <w:r>
        <w:rPr>
          <w:iCs/>
          <w:i/>
        </w:rPr>
        <w:t xml:space="preserve">Reflection: What does freedom require when no one is watching?</w:t>
      </w:r>
    </w:p>
    <w:p>
      <w:pPr>
        <w:pStyle w:val="BodyText"/>
      </w:pPr>
      <w:r>
        <w:t xml:space="preserve">The next section closes the chapter by tying private discipline to public unity.</w:t>
      </w:r>
    </w:p>
    <w:bookmarkEnd w:id="633"/>
    <w:bookmarkStart w:id="635" w:name="freedom"/>
    <w:p>
      <w:pPr>
        <w:pStyle w:val="Heading2"/>
      </w:pPr>
      <w:r>
        <w:t xml:space="preserve">16.9 Freedom</w:t>
      </w:r>
    </w:p>
    <w:p>
      <w:pPr>
        <w:pStyle w:val="FirstParagraph"/>
      </w:pPr>
      <w:r>
        <w:t xml:space="preserve">To conclude the discussion about the private self, there is one more desire I want to close with. Bahá’u’lláh warns in desiring freedom and taking pride in it.</w:t>
      </w:r>
      <w:r>
        <w:rPr>
          <w:rStyle w:val="FootnoteReference"/>
        </w:rPr>
        <w:footnoteReference w:id="634"/>
      </w:r>
      <w:r>
        <w:t xml:space="preserve"> </w:t>
      </w:r>
      <w:r>
        <w:t xml:space="preserve">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pPr>
        <w:pStyle w:val="BodyText"/>
      </w:pPr>
      <w:r>
        <w:t xml:space="preserve">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r>
        <w:br w:type="page"/>
      </w:r>
    </w:p>
    <w:bookmarkEnd w:id="635"/>
    <w:bookmarkEnd w:id="636"/>
    <w:bookmarkStart w:id="671" w:name="the-constructive-social-life"/>
    <w:p>
      <w:pPr>
        <w:pStyle w:val="Heading1"/>
      </w:pPr>
      <w:r>
        <w:t xml:space="preserve">17. The Constructive Social Life</w:t>
      </w:r>
    </w:p>
    <w:p>
      <w:pPr>
        <w:pStyle w:val="FirstParagraph"/>
      </w:pPr>
      <w:r>
        <w:t xml:space="preserve">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pPr>
        <w:pStyle w:val="BodyText"/>
      </w:pPr>
      <w:r>
        <w:t xml:space="preserve">All of the prior rights and responsibilities expressed so far in Part 3 still apply in this chapter. What follows builds upon this foundation.</w:t>
      </w:r>
    </w:p>
    <w:p>
      <w:pPr>
        <w:pStyle w:val="BodyText"/>
      </w:pPr>
      <w:r>
        <w:rPr>
          <w:iCs/>
          <w:i/>
        </w:rPr>
        <w:t xml:space="preserve">Reflection: How does personal belief become visible through community life?</w:t>
      </w:r>
    </w:p>
    <w:p>
      <w:pPr>
        <w:pStyle w:val="BodyText"/>
      </w:pPr>
      <w:r>
        <w:t xml:space="preserve">This question opens the path toward understanding the Cause of God as lived experience.</w:t>
      </w:r>
    </w:p>
    <w:bookmarkStart w:id="650" w:name="the-cause-of-god"/>
    <w:p>
      <w:pPr>
        <w:pStyle w:val="Heading2"/>
      </w:pPr>
      <w:r>
        <w:t xml:space="preserve">17.1 The Cause of God</w:t>
      </w:r>
    </w:p>
    <w:p>
      <w:pPr>
        <w:pStyle w:val="FirstParagraph"/>
      </w:pPr>
      <w:r>
        <w:t xml:space="preserve">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pPr>
        <w:pStyle w:val="BodyText"/>
      </w:pPr>
      <w:r>
        <w:t xml:space="preserve">All believers have the responsibility to exalt God’s Word.</w:t>
      </w:r>
      <w:r>
        <w:rPr>
          <w:rStyle w:val="FootnoteReference"/>
        </w:rPr>
        <w:footnoteReference w:id="637"/>
      </w:r>
      <w:r>
        <w:t xml:space="preserve"> </w:t>
      </w:r>
      <w:r>
        <w:t xml:space="preserve">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638"/>
      </w:r>
      <w:r>
        <w:t xml:space="preserve"> </w:t>
      </w:r>
      <w:r>
        <w:t xml:space="preserve">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pPr>
        <w:pStyle w:val="BodyText"/>
      </w:pPr>
      <w:r>
        <w:t xml:space="preserve">We have responsibilities to associate</w:t>
      </w:r>
      <w:r>
        <w:rPr>
          <w:rStyle w:val="FootnoteReference"/>
        </w:rPr>
        <w:footnoteReference w:id="639"/>
      </w:r>
      <w:r>
        <w:t xml:space="preserve"> </w:t>
      </w:r>
      <w:r>
        <w:t xml:space="preserve">and consort</w:t>
      </w:r>
      <w:r>
        <w:rPr>
          <w:rStyle w:val="FootnoteReference"/>
        </w:rPr>
        <w:footnoteReference w:id="640"/>
      </w:r>
      <w:r>
        <w:t xml:space="preserve"> </w:t>
      </w:r>
      <w:r>
        <w:t xml:space="preserve">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641"/>
      </w:r>
      <w:r>
        <w:t xml:space="preserve"> </w:t>
      </w:r>
      <w:r>
        <w:t xml:space="preserve">and assist</w:t>
      </w:r>
      <w:r>
        <w:rPr>
          <w:rStyle w:val="FootnoteReference"/>
        </w:rPr>
        <w:footnoteReference w:id="642"/>
      </w:r>
      <w:r>
        <w:t xml:space="preserve"> </w:t>
      </w:r>
      <w:r>
        <w:t xml:space="preserve">the Cause in a positive and healthy way. To help with proclamation, Bahá’u’lláh also advises us to learn different languages</w:t>
      </w:r>
      <w:r>
        <w:rPr>
          <w:rStyle w:val="FootnoteReference"/>
        </w:rPr>
        <w:footnoteReference w:id="643"/>
      </w:r>
      <w:r>
        <w:t xml:space="preserve"> </w:t>
      </w:r>
      <w:r>
        <w:t xml:space="preserve">so we can communicate with different people. This is not a requirement, though. We should serve the Cause in all conditions.</w:t>
      </w:r>
      <w:r>
        <w:rPr>
          <w:rStyle w:val="FootnoteReference"/>
        </w:rPr>
        <w:footnoteReference w:id="644"/>
      </w:r>
      <w:r>
        <w:t xml:space="preserve"> </w:t>
      </w:r>
      <w:r>
        <w:t xml:space="preserve">We are promised God strengthens us and He is with us and will aid us. With this promise, there is no need to hesitate in serving this Cause</w:t>
      </w:r>
      <w:r>
        <w:rPr>
          <w:rStyle w:val="FootnoteReference"/>
        </w:rPr>
        <w:footnoteReference w:id="645"/>
      </w:r>
      <w:r>
        <w:t xml:space="preserve"> </w:t>
      </w:r>
      <w:r>
        <w:t xml:space="preserve">or to let disbelievers’ sorrow overcome us.</w:t>
      </w:r>
      <w:r>
        <w:rPr>
          <w:rStyle w:val="FootnoteReference"/>
        </w:rPr>
        <w:footnoteReference w:id="646"/>
      </w:r>
      <w:r>
        <w:t xml:space="preserve"> </w:t>
      </w:r>
      <w:r>
        <w:t xml:space="preserve">With God’s Word being exalted, there is no reason to dispute about God and His Cause</w:t>
      </w:r>
      <w:r>
        <w:rPr>
          <w:rStyle w:val="FootnoteReference"/>
        </w:rPr>
        <w:footnoteReference w:id="647"/>
      </w:r>
      <w:r>
        <w:t xml:space="preserve"> </w:t>
      </w:r>
      <w:r>
        <w:t xml:space="preserve">even if there are interpretive differences and various understandings. We have the right to be free from disputes about God and His Cause. The fear of God will help to keep veils away</w:t>
      </w:r>
      <w:r>
        <w:rPr>
          <w:rStyle w:val="FootnoteReference"/>
        </w:rPr>
        <w:footnoteReference w:id="648"/>
      </w:r>
      <w:r>
        <w:t xml:space="preserve"> </w:t>
      </w:r>
      <w:r>
        <w:t xml:space="preserve">which can lead to disputes, much like they helped with the prior chapter’s illusions and desires. God’s love burns away those veils, a love which is the foundation of the friendliness and fellowship to show others.</w:t>
      </w:r>
    </w:p>
    <w:p>
      <w:pPr>
        <w:pStyle w:val="BodyText"/>
      </w:pPr>
      <w:r>
        <w:t xml:space="preserve">We have a responsibility to support His chosen ones.</w:t>
      </w:r>
      <w:r>
        <w:rPr>
          <w:rStyle w:val="FootnoteReference"/>
        </w:rPr>
        <w:footnoteReference w:id="649"/>
      </w:r>
      <w:r>
        <w:t xml:space="preserve"> </w:t>
      </w:r>
      <w:r>
        <w:t xml:space="preserve">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pPr>
        <w:pStyle w:val="BodyText"/>
      </w:pPr>
      <w:r>
        <w:rPr>
          <w:iCs/>
          <w:i/>
        </w:rPr>
        <w:t xml:space="preserve">Reflection: What does it mean for faith to shape the physical world around us?</w:t>
      </w:r>
    </w:p>
    <w:p>
      <w:pPr>
        <w:pStyle w:val="BodyText"/>
      </w:pPr>
      <w:r>
        <w:t xml:space="preserve">This reflection turns attention toward development as an expression of devotion.</w:t>
      </w:r>
    </w:p>
    <w:bookmarkEnd w:id="650"/>
    <w:bookmarkStart w:id="657" w:name="community-building"/>
    <w:p>
      <w:pPr>
        <w:pStyle w:val="Heading2"/>
      </w:pPr>
      <w:r>
        <w:t xml:space="preserve">17.2 Community Building</w:t>
      </w:r>
    </w:p>
    <w:p>
      <w:pPr>
        <w:pStyle w:val="FirstParagraph"/>
      </w:pPr>
      <w:r>
        <w:t xml:space="preserve">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pPr>
        <w:pStyle w:val="BodyText"/>
      </w:pPr>
      <w:r>
        <w:t xml:space="preserve">Bahá’u’lláh says to build up the cities and lands of God</w:t>
      </w:r>
      <w:r>
        <w:rPr>
          <w:rStyle w:val="FootnoteReference"/>
        </w:rPr>
        <w:footnoteReference w:id="651"/>
      </w:r>
      <w:r>
        <w:t xml:space="preserve"> </w:t>
      </w:r>
      <w:r>
        <w:t xml:space="preserve">then remember Him within them. This building up includes not only specific buildings of faith, but also the infrastructure to support the entire Cause. In the chapter</w:t>
      </w:r>
      <w:r>
        <w:t xml:space="preserve"> </w:t>
      </w:r>
      <w:r>
        <w:t xml:space="preserve">“</w:t>
      </w:r>
      <w:r>
        <w:t xml:space="preserve">Honoring God</w:t>
      </w:r>
      <w:r>
        <w:t xml:space="preserve">”</w:t>
      </w:r>
      <w:r>
        <w:t xml:space="preserve"> </w:t>
      </w:r>
      <w:r>
        <w:t xml:space="preserve">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our own houses as perfectly as possible in the lands.</w:t>
      </w:r>
      <w:r>
        <w:rPr>
          <w:rStyle w:val="FootnoteReference"/>
        </w:rPr>
        <w:footnoteReference w:id="652"/>
      </w:r>
      <w:r>
        <w:t xml:space="preserve"> </w:t>
      </w:r>
      <w:r>
        <w:t xml:space="preserve">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perfect as possible. Bahá’u’lláh also tells us to renew our furnishings after the passing of nineteen years.</w:t>
      </w:r>
      <w:r>
        <w:rPr>
          <w:rStyle w:val="FootnoteReference"/>
        </w:rPr>
        <w:footnoteReference w:id="653"/>
      </w:r>
      <w:r>
        <w:t xml:space="preserve"> </w:t>
      </w:r>
      <w:r>
        <w:t xml:space="preserve">All people have a right to secure dignified housing.</w:t>
      </w:r>
    </w:p>
    <w:p>
      <w:pPr>
        <w:pStyle w:val="BodyText"/>
      </w:pPr>
      <w:r>
        <w:t xml:space="preserve">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pPr>
        <w:pStyle w:val="BodyText"/>
      </w:pPr>
      <w:r>
        <w:t xml:space="preserve">The final aspect of the socioeconomic development of the lands are to build Houses of Justice in every city</w:t>
      </w:r>
      <w:r>
        <w:rPr>
          <w:rStyle w:val="FootnoteReference"/>
        </w:rPr>
        <w:footnoteReference w:id="654"/>
      </w:r>
      <w:r>
        <w:t xml:space="preserve"> </w:t>
      </w:r>
      <w:r>
        <w:t xml:space="preserve">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655"/>
      </w:r>
      <w:r>
        <w:t xml:space="preserve"> </w:t>
      </w:r>
      <w:r>
        <w:t xml:space="preserve">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656"/>
      </w:r>
      <w:r>
        <w:t xml:space="preserve"> </w:t>
      </w:r>
      <w:r>
        <w:t xml:space="preserve">Houses of Justice do not need to be built in villages, but there is no exclusion if there are the minimum 9 individuals.</w:t>
      </w:r>
    </w:p>
    <w:p>
      <w:pPr>
        <w:pStyle w:val="BodyText"/>
      </w:pPr>
      <w:r>
        <w:rPr>
          <w:iCs/>
          <w:i/>
        </w:rPr>
        <w:t xml:space="preserve">Reflection: Which everyday behaviors quietly sustain a healthy society?</w:t>
      </w:r>
    </w:p>
    <w:p>
      <w:pPr>
        <w:pStyle w:val="BodyText"/>
      </w:pPr>
      <w:r>
        <w:t xml:space="preserve">This reflection narrows the focus from structures to daily conduct.</w:t>
      </w:r>
    </w:p>
    <w:bookmarkEnd w:id="657"/>
    <w:bookmarkStart w:id="670" w:name="positive-social-actions"/>
    <w:p>
      <w:pPr>
        <w:pStyle w:val="Heading2"/>
      </w:pPr>
      <w:r>
        <w:t xml:space="preserve">17.3 Positive Social Actions</w:t>
      </w:r>
    </w:p>
    <w:p>
      <w:pPr>
        <w:pStyle w:val="FirstParagraph"/>
      </w:pPr>
      <w:r>
        <w:t xml:space="preserve">A responsibility to act with good deeds</w:t>
      </w:r>
      <w:r>
        <w:rPr>
          <w:rStyle w:val="FootnoteReference"/>
        </w:rPr>
        <w:footnoteReference w:id="658"/>
      </w:r>
      <w:r>
        <w:t xml:space="preserve"> </w:t>
      </w:r>
      <w:r>
        <w:t xml:space="preserve">and a right to be free from bad deeds.</w:t>
      </w:r>
    </w:p>
    <w:p>
      <w:pPr>
        <w:pStyle w:val="BodyText"/>
      </w:pPr>
      <w:r>
        <w:t xml:space="preserve">A responsibility to engage in activities which benefit yourself and others</w:t>
      </w:r>
      <w:r>
        <w:rPr>
          <w:rStyle w:val="FootnoteReference"/>
        </w:rPr>
        <w:footnoteReference w:id="659"/>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pPr>
        <w:pStyle w:val="BodyText"/>
      </w:pPr>
      <w:r>
        <w:t xml:space="preserve">A responsibility to provide for the poor and needy</w:t>
      </w:r>
      <w:r>
        <w:rPr>
          <w:rStyle w:val="FootnoteReference"/>
        </w:rPr>
        <w:footnoteReference w:id="660"/>
      </w:r>
      <w:r>
        <w:t xml:space="preserve"> </w:t>
      </w:r>
      <w:r>
        <w:t xml:space="preserve">and a right to be free of poverty.</w:t>
      </w:r>
    </w:p>
    <w:p>
      <w:pPr>
        <w:pStyle w:val="BodyText"/>
      </w:pPr>
      <w:r>
        <w:t xml:space="preserve">A responsibility to provide hospitality</w:t>
      </w:r>
      <w:r>
        <w:rPr>
          <w:rStyle w:val="FootnoteReference"/>
        </w:rPr>
        <w:footnoteReference w:id="661"/>
      </w:r>
      <w:r>
        <w:t xml:space="preserve"> </w:t>
      </w:r>
      <w:r>
        <w:t xml:space="preserve">once per Bayání month.</w:t>
      </w:r>
    </w:p>
    <w:p>
      <w:pPr>
        <w:pStyle w:val="BodyText"/>
      </w:pPr>
      <w:r>
        <w:t xml:space="preserve">A responsibility to fulfill promises</w:t>
      </w:r>
      <w:r>
        <w:rPr>
          <w:rStyle w:val="FootnoteReference"/>
        </w:rPr>
        <w:footnoteReference w:id="662"/>
      </w:r>
      <w:r>
        <w:t xml:space="preserve"> </w:t>
      </w:r>
      <w:r>
        <w:t xml:space="preserve">and a right for promises received to be fulfilled. Promises can be informal such as verbal agreements with friends or the proverbial pinky promise, or they can be formalized through contracts.</w:t>
      </w:r>
    </w:p>
    <w:p>
      <w:pPr>
        <w:pStyle w:val="BodyText"/>
      </w:pPr>
      <w:r>
        <w:t xml:space="preserve">A responsibility to purify every disliked thing with water</w:t>
      </w:r>
      <w:r>
        <w:rPr>
          <w:rStyle w:val="FootnoteReference"/>
        </w:rPr>
        <w:footnoteReference w:id="663"/>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pStyle w:val="BodyText"/>
      </w:pPr>
      <w:r>
        <w:t xml:space="preserve">A responsibility to respond with joy when invited to banquets and gatherings</w:t>
      </w:r>
      <w:r>
        <w:rPr>
          <w:rStyle w:val="FootnoteReference"/>
        </w:rPr>
        <w:footnoteReference w:id="664"/>
      </w:r>
      <w:r>
        <w:t xml:space="preserve"> </w:t>
      </w:r>
      <w:r>
        <w:t xml:space="preserve">and a right to receive a response to such invitations. The response can be a no, but if it is a yes, the promise should be fulfilled. If the response is a joyless yes, consider making it a no.</w:t>
      </w:r>
    </w:p>
    <w:p>
      <w:pPr>
        <w:pStyle w:val="BodyText"/>
      </w:pPr>
      <w:r>
        <w:t xml:space="preserve">A responsibility from being a plaything for the ignorant,</w:t>
      </w:r>
      <w:r>
        <w:rPr>
          <w:rStyle w:val="FootnoteReference"/>
        </w:rPr>
        <w:footnoteReference w:id="665"/>
      </w:r>
      <w:r>
        <w:t xml:space="preserve"> </w:t>
      </w:r>
      <w:r>
        <w:t xml:space="preserve">a responsibility born from good manners. This can be associated with what we say, do, or present ourselves. All have the right to be free from being considered as playthings.</w:t>
      </w:r>
    </w:p>
    <w:p>
      <w:pPr>
        <w:pStyle w:val="BodyText"/>
      </w:pPr>
      <w:r>
        <w:t xml:space="preserve">A responsibility to seek knowledge for the recognition of the known</w:t>
      </w:r>
      <w:r>
        <w:rPr>
          <w:rStyle w:val="FootnoteReference"/>
        </w:rPr>
        <w:footnoteReference w:id="666"/>
      </w:r>
      <w:r>
        <w:t xml:space="preserve"> </w:t>
      </w:r>
      <w:r>
        <w:t xml:space="preserve">and a right to seek knowledge. Relatedly we have a responsibility to read from sciences which benefit us</w:t>
      </w:r>
      <w:r>
        <w:rPr>
          <w:rStyle w:val="FootnoteReference"/>
        </w:rPr>
        <w:footnoteReference w:id="667"/>
      </w:r>
      <w:r>
        <w:t xml:space="preserve"> </w:t>
      </w:r>
      <w:r>
        <w:t xml:space="preserve">with a right to be able to read these sciences. This could be rather expansive but would require discernment. In general, the pursuit of facts, the wisdom to use these facts to benefit yourself and others, and caution towards opinions which disguise facts and harms.</w:t>
      </w:r>
    </w:p>
    <w:p>
      <w:pPr>
        <w:pStyle w:val="BodyText"/>
      </w:pPr>
      <w:r>
        <w:t xml:space="preserve">A responsibility to respond in kindness if angered.</w:t>
      </w:r>
      <w:r>
        <w:rPr>
          <w:rStyle w:val="FootnoteReference"/>
        </w:rPr>
        <w:footnoteReference w:id="668"/>
      </w:r>
      <w:r>
        <w:t xml:space="preserve"> </w:t>
      </w:r>
      <w:r>
        <w:t xml:space="preserve">Note this is not a prohibition of anger, but a guidance to ensure anger does not end up betraying our constellation of virtues. There is a right to be responded to without anger.</w:t>
      </w:r>
    </w:p>
    <w:p>
      <w:pPr>
        <w:pStyle w:val="BodyText"/>
      </w:pPr>
      <w:r>
        <w:t xml:space="preserve">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669"/>
      </w:r>
      <w:r>
        <w:t xml:space="preserve"> </w:t>
      </w:r>
      <w:r>
        <w:t xml:space="preserve">This does not mean hide injustice or the breaking of laws.</w:t>
      </w:r>
    </w:p>
    <w:p>
      <w:pPr>
        <w:pStyle w:val="BodyText"/>
      </w:pPr>
      <w:r>
        <w:t xml:space="preserve">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pPr>
        <w:pStyle w:val="BodyText"/>
      </w:pPr>
      <w:r>
        <w:t xml:space="preserve">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r>
        <w:br w:type="page"/>
      </w:r>
    </w:p>
    <w:bookmarkEnd w:id="670"/>
    <w:bookmarkEnd w:id="671"/>
    <w:bookmarkStart w:id="719" w:name="the-protective-social-life"/>
    <w:p>
      <w:pPr>
        <w:pStyle w:val="Heading1"/>
      </w:pPr>
      <w:r>
        <w:t xml:space="preserve">18. The Protective Social Life</w:t>
      </w:r>
    </w:p>
    <w:p>
      <w:pPr>
        <w:pStyle w:val="FirstParagraph"/>
      </w:pPr>
      <w:r>
        <w:t xml:space="preserve">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pPr>
        <w:pStyle w:val="BodyText"/>
      </w:pPr>
      <w:r>
        <w:t xml:space="preserve">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bookmarkStart w:id="688"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672"/>
      </w:r>
      <w:r>
        <w:t xml:space="preserve"> </w:t>
      </w:r>
      <w:r>
        <w:t xml:space="preserve">At some point, the period of the Kitáb-i-Aqdas will end with a new Day of Resurrection, Manifestation of God, and a new Book.</w:t>
      </w:r>
    </w:p>
    <w:bookmarkStart w:id="676"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673"/>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a believer struggles to distinguish between Bahá’u’lláh and the interpreter.</w:t>
      </w:r>
    </w:p>
    <w:p>
      <w:pPr>
        <w:pStyle w:val="BodyText"/>
      </w:pPr>
      <w:r>
        <w:t xml:space="preserve">Interpretation itself is not prohibited. Bahá’u’lláh advises to interpret both the outward and the inward.</w:t>
      </w:r>
      <w:r>
        <w:rPr>
          <w:rStyle w:val="FootnoteReference"/>
        </w:rPr>
        <w:footnoteReference w:id="674"/>
      </w:r>
      <w:r>
        <w:t xml:space="preserve"> </w:t>
      </w:r>
      <w:r>
        <w:t xml:space="preserve">To neglect either will cause deviation. If Bahá’u’lláh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75"/>
      </w:r>
      <w:r>
        <w:t xml:space="preserve"> </w:t>
      </w:r>
      <w:r>
        <w:t xml:space="preserve">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76"/>
    <w:bookmarkStart w:id="678"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677"/>
      </w:r>
      <w:r>
        <w:t xml:space="preserve"> </w:t>
      </w:r>
      <w:r>
        <w:t xml:space="preserve">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Bahá’u’lláh gives an example in His sermon on infallibility in the Ishráqát.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bookmarkEnd w:id="678"/>
    <w:bookmarkStart w:id="682"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Bahá’u’lláh prohibits the kissing of hands</w:t>
      </w:r>
      <w:r>
        <w:rPr>
          <w:rStyle w:val="FootnoteReference"/>
        </w:rPr>
        <w:footnoteReference w:id="679"/>
      </w:r>
      <w:r>
        <w:t xml:space="preserve"> </w:t>
      </w:r>
      <w:r>
        <w:t xml:space="preserve">as a sign of inferiority. We are all prohibited from ascending pulpits</w:t>
      </w:r>
      <w:r>
        <w:rPr>
          <w:rStyle w:val="FootnoteReference"/>
        </w:rPr>
        <w:footnoteReference w:id="680"/>
      </w:r>
      <w:r>
        <w:t xml:space="preserve"> </w:t>
      </w:r>
      <w:r>
        <w:t xml:space="preserve">which physically visualizes one being above the others.</w:t>
      </w:r>
    </w:p>
    <w:p>
      <w:pPr>
        <w:pStyle w:val="BodyText"/>
      </w:pPr>
      <w:r>
        <w:t xml:space="preserve">One of the most important in my view is the prohibition from seeking forgiveness from another.</w:t>
      </w:r>
      <w:r>
        <w:rPr>
          <w:rStyle w:val="FootnoteReference"/>
        </w:rPr>
        <w:footnoteReference w:id="681"/>
      </w:r>
      <w:r>
        <w:t xml:space="preserve"> </w:t>
      </w:r>
      <w:r>
        <w:t xml:space="preserve">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682"/>
    <w:bookmarkStart w:id="684"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683"/>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684"/>
    <w:bookmarkStart w:id="687" w:name="boasting"/>
    <w:p>
      <w:pPr>
        <w:pStyle w:val="Heading3"/>
      </w:pPr>
      <w:r>
        <w:t xml:space="preserve">18.1.5 Boasting</w:t>
      </w:r>
    </w:p>
    <w:p>
      <w:pPr>
        <w:pStyle w:val="FirstParagraph"/>
      </w:pPr>
      <w:r>
        <w:t xml:space="preserve">The final act of self-exaltation would be boasting.</w:t>
      </w:r>
      <w:r>
        <w:rPr>
          <w:rStyle w:val="FootnoteReference"/>
        </w:rPr>
        <w:footnoteReference w:id="685"/>
      </w:r>
      <w:r>
        <w:t xml:space="preserve"> </w:t>
      </w:r>
      <w:r>
        <w:t xml:space="preserve">Boasting is prohibited. This can also take many forms involving pride and self-satisfaction, designed to convey a sense of superiority. These forms can include 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686"/>
      </w:r>
    </w:p>
    <w:p>
      <w:pPr>
        <w:pStyle w:val="BodyText"/>
      </w:pPr>
      <w:r>
        <w:rPr>
          <w:iCs/>
          <w:i/>
        </w:rPr>
        <w:t xml:space="preserve">Reflection: Where do I subtly elevate my voice, knowledge, or spiritual practice above others, and what would humility look like in those moments?</w:t>
      </w:r>
    </w:p>
    <w:p>
      <w:pPr>
        <w:pStyle w:val="BodyText"/>
      </w:pPr>
      <w:r>
        <w:t xml:space="preserve">This next section shifts from inner pride to outward words, because community safety begins with how we speak.</w:t>
      </w:r>
    </w:p>
    <w:bookmarkEnd w:id="687"/>
    <w:bookmarkEnd w:id="688"/>
    <w:bookmarkStart w:id="704" w:name="prohibited-speech"/>
    <w:p>
      <w:pPr>
        <w:pStyle w:val="Heading2"/>
      </w:pPr>
      <w:r>
        <w:t xml:space="preserve">18.2 Prohibited Speech</w:t>
      </w:r>
    </w:p>
    <w:p>
      <w:pPr>
        <w:pStyle w:val="FirstParagraph"/>
      </w:pPr>
      <w:r>
        <w:t xml:space="preserve">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bookmarkStart w:id="689" w:name="causing-sadness"/>
    <w:p>
      <w:pPr>
        <w:pStyle w:val="Heading3"/>
      </w:pPr>
      <w:r>
        <w:t xml:space="preserve">18.2.1 Causing Sadness</w:t>
      </w:r>
    </w:p>
    <w:p>
      <w:pPr>
        <w:pStyle w:val="FirstParagraph"/>
      </w:pPr>
      <w:r>
        <w:t xml:space="preserve">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689"/>
    <w:bookmarkStart w:id="691" w:name="slander"/>
    <w:p>
      <w:pPr>
        <w:pStyle w:val="Heading3"/>
      </w:pPr>
      <w:r>
        <w:t xml:space="preserve">18.2.2 Slander</w:t>
      </w:r>
    </w:p>
    <w:p>
      <w:pPr>
        <w:pStyle w:val="FirstParagraph"/>
      </w:pPr>
      <w:r>
        <w:t xml:space="preserve">Slander is prohibited.</w:t>
      </w:r>
      <w:r>
        <w:rPr>
          <w:rStyle w:val="FootnoteReference"/>
        </w:rPr>
        <w:footnoteReference w:id="690"/>
      </w:r>
      <w:r>
        <w:t xml:space="preserve"> </w:t>
      </w:r>
      <w:r>
        <w:t xml:space="preserve">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between oral and written speech. My gut feeling is both would be included, but I have no evidence of this for now other than Bahá’u’lláh’s stern responses to written statements which seemed like libel.</w:t>
      </w:r>
    </w:p>
    <w:bookmarkEnd w:id="691"/>
    <w:bookmarkStart w:id="693" w:name="backbiting"/>
    <w:p>
      <w:pPr>
        <w:pStyle w:val="Heading3"/>
      </w:pPr>
      <w:r>
        <w:t xml:space="preserve">18.2.3 Backbiting</w:t>
      </w:r>
    </w:p>
    <w:p>
      <w:pPr>
        <w:pStyle w:val="FirstParagraph"/>
      </w:pPr>
      <w:r>
        <w:t xml:space="preserve">Backbiting is prohibited.</w:t>
      </w:r>
      <w:r>
        <w:rPr>
          <w:rStyle w:val="FootnoteReference"/>
        </w:rPr>
        <w:footnoteReference w:id="692"/>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693"/>
    <w:bookmarkStart w:id="696"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694"/>
      </w:r>
      <w:r>
        <w:t xml:space="preserve"> </w:t>
      </w:r>
      <w:r>
        <w:t xml:space="preserve">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695"/>
      </w:r>
      <w:r>
        <w:t xml:space="preserve"> </w:t>
      </w:r>
      <w:r>
        <w:t xml:space="preserve">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bookmarkEnd w:id="696"/>
    <w:bookmarkStart w:id="698" w:name="objecting"/>
    <w:p>
      <w:pPr>
        <w:pStyle w:val="Heading3"/>
      </w:pPr>
      <w:r>
        <w:t xml:space="preserve">18.2.5 Objecting</w:t>
      </w:r>
    </w:p>
    <w:p>
      <w:pPr>
        <w:pStyle w:val="FirstParagraph"/>
      </w:pPr>
      <w:r>
        <w:t xml:space="preserve">Objecting is prohibited.</w:t>
      </w:r>
      <w:r>
        <w:rPr>
          <w:rStyle w:val="FootnoteReference"/>
        </w:rPr>
        <w:footnoteReference w:id="697"/>
      </w:r>
      <w:r>
        <w:t xml:space="preserve"> </w:t>
      </w:r>
      <w:r>
        <w:t xml:space="preserve">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698"/>
    <w:bookmarkStart w:id="700" w:name="raising-voices-in-public-remembrance"/>
    <w:p>
      <w:pPr>
        <w:pStyle w:val="Heading3"/>
      </w:pPr>
      <w:r>
        <w:t xml:space="preserve">18.2.6 Raising Voices in Public Remembrance</w:t>
      </w:r>
    </w:p>
    <w:p>
      <w:pPr>
        <w:pStyle w:val="FirstParagraph"/>
      </w:pPr>
      <w:r>
        <w:t xml:space="preserve">Bahá’u’lláh prohibits raising voices in streets or marketplaces in remembrance.</w:t>
      </w:r>
      <w:r>
        <w:rPr>
          <w:rStyle w:val="FootnoteReference"/>
        </w:rPr>
        <w:footnoteReference w:id="699"/>
      </w:r>
      <w:r>
        <w:t xml:space="preserve"> </w:t>
      </w:r>
      <w:r>
        <w:t xml:space="preserve">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00"/>
    <w:bookmarkStart w:id="703"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01"/>
      </w:r>
      <w:r>
        <w:t xml:space="preserve"> </w:t>
      </w:r>
      <w:r>
        <w:t xml:space="preserve">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702"/>
      </w:r>
      <w:r>
        <w:t xml:space="preserve"> </w:t>
      </w:r>
      <w:r>
        <w:t xml:space="preserve">Everyone has a right to produce whatever content they want. Censorship is forbidden. We are responsible for what we consume.</w:t>
      </w:r>
    </w:p>
    <w:p>
      <w:pPr>
        <w:pStyle w:val="BodyText"/>
      </w:pPr>
      <w:r>
        <w:rPr>
          <w:iCs/>
          <w:i/>
        </w:rPr>
        <w:t xml:space="preserve">Reflection: How often do my words protect another person’s dignity, and when might they quietly erode it?</w:t>
      </w:r>
    </w:p>
    <w:p>
      <w:pPr>
        <w:pStyle w:val="BodyText"/>
      </w:pPr>
      <w:r>
        <w:t xml:space="preserve">This next section connects small violations of dignity to the larger social descent into oppression.</w:t>
      </w:r>
    </w:p>
    <w:bookmarkEnd w:id="703"/>
    <w:bookmarkEnd w:id="704"/>
    <w:bookmarkStart w:id="705" w:name="dehumanization"/>
    <w:p>
      <w:pPr>
        <w:pStyle w:val="Heading2"/>
      </w:pPr>
      <w:r>
        <w:t xml:space="preserve">18.3 Dehumanization</w:t>
      </w:r>
    </w:p>
    <w:p>
      <w:pPr>
        <w:pStyle w:val="FirstParagraph"/>
      </w:pPr>
      <w:r>
        <w:t xml:space="preserve">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pPr>
        <w:pStyle w:val="BodyText"/>
      </w:pPr>
      <w:r>
        <w:t xml:space="preserve">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pPr>
        <w:pStyle w:val="BodyText"/>
      </w:pPr>
      <w:r>
        <w:t xml:space="preserve">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pPr>
        <w:pStyle w:val="BodyText"/>
      </w:pPr>
      <w:r>
        <w:rPr>
          <w:iCs/>
          <w:i/>
        </w:rPr>
        <w:t xml:space="preserve">Reflection: What small patterns in my thinking or behavior could contribute to seeing another person as less fully human?</w:t>
      </w:r>
    </w:p>
    <w:p>
      <w:pPr>
        <w:pStyle w:val="BodyText"/>
      </w:pPr>
      <w:r>
        <w:t xml:space="preserve">This next section lists the core violent and oppressive acts the community must restrain, with justice shaped by both law and conscience.</w:t>
      </w:r>
    </w:p>
    <w:bookmarkEnd w:id="705"/>
    <w:bookmarkStart w:id="718" w:name="violent-and-oppressive-acts"/>
    <w:p>
      <w:pPr>
        <w:pStyle w:val="Heading2"/>
      </w:pPr>
      <w:r>
        <w:t xml:space="preserve">18.4 Violent and Oppressive Acts</w:t>
      </w:r>
    </w:p>
    <w:p>
      <w:pPr>
        <w:pStyle w:val="FirstParagraph"/>
      </w:pPr>
      <w:r>
        <w:t xml:space="preserve">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06"/>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&amp; batter)</w:t>
      </w:r>
      <w:r>
        <w:rPr>
          <w:rStyle w:val="FootnoteReference"/>
        </w:rPr>
        <w:footnoteReference w:id="707"/>
      </w:r>
      <w:r>
        <w:t xml:space="preserve"> </w:t>
      </w:r>
      <w:r>
        <w:t xml:space="preserve">For injuries to the head and body</w:t>
      </w:r>
      <w:r>
        <w:rPr>
          <w:rStyle w:val="FootnoteReference"/>
        </w:rPr>
        <w:footnoteReference w:id="708"/>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09"/>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10"/>
      </w:r>
      <w:r>
        <w:t xml:space="preserve"> </w:t>
      </w:r>
      <w:r>
        <w:t xml:space="preserve">There are no exceptions. The diyah payment is 100 Bayánic mithqáls of gold (See Appendix 4) for the family of the deceased.</w:t>
      </w:r>
    </w:p>
    <w:p>
      <w:pPr>
        <w:pStyle w:val="BodyText"/>
      </w:pPr>
      <w:r>
        <w:t xml:space="preserve">Law #4: Murder (Homicide).</w:t>
      </w:r>
      <w:r>
        <w:rPr>
          <w:rStyle w:val="FootnoteReference"/>
        </w:rPr>
        <w:footnoteReference w:id="711"/>
      </w:r>
      <w:r>
        <w:t xml:space="preserve"> </w:t>
      </w:r>
      <w:r>
        <w:t xml:space="preserve">The punishment is execution or life imprisonment.</w:t>
      </w:r>
      <w:r>
        <w:rPr>
          <w:rStyle w:val="FootnoteReference"/>
        </w:rPr>
        <w:footnoteReference w:id="712"/>
      </w:r>
    </w:p>
    <w:p>
      <w:pPr>
        <w:pStyle w:val="BodyText"/>
      </w:pPr>
      <w:r>
        <w:t xml:space="preserve">Law #5: Trespassing.</w:t>
      </w:r>
      <w:r>
        <w:rPr>
          <w:rStyle w:val="FootnoteReference"/>
        </w:rPr>
        <w:footnoteReference w:id="713"/>
      </w:r>
      <w:r>
        <w:t xml:space="preserve"> </w:t>
      </w:r>
      <w:r>
        <w:t xml:space="preserve">There is no punishment specified.</w:t>
      </w:r>
    </w:p>
    <w:p>
      <w:pPr>
        <w:pStyle w:val="BodyText"/>
      </w:pPr>
      <w:r>
        <w:t xml:space="preserve">Law #6: Theft (stealing).</w:t>
      </w:r>
      <w:r>
        <w:rPr>
          <w:rStyle w:val="FootnoteReference"/>
        </w:rPr>
        <w:footnoteReference w:id="714"/>
      </w:r>
      <w:r>
        <w:t xml:space="preserve"> </w:t>
      </w:r>
      <w:r>
        <w:t xml:space="preserve">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pPr>
        <w:pStyle w:val="BodyText"/>
      </w:pPr>
      <w:r>
        <w:t xml:space="preserve">Law #7: Arson</w:t>
      </w:r>
      <w:r>
        <w:rPr>
          <w:rStyle w:val="FootnoteReference"/>
        </w:rPr>
        <w:footnoteReference w:id="715"/>
      </w:r>
      <w:r>
        <w:t xml:space="preserve"> </w:t>
      </w:r>
      <w:r>
        <w:t xml:space="preserve">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pPr>
        <w:pStyle w:val="BodyText"/>
      </w:pPr>
      <w:r>
        <w:t xml:space="preserve">Law #8: Selling and buying people</w:t>
      </w:r>
      <w:r>
        <w:rPr>
          <w:rStyle w:val="FootnoteReference"/>
        </w:rPr>
        <w:footnoteReference w:id="716"/>
      </w:r>
      <w:r>
        <w:t xml:space="preserve"> </w:t>
      </w:r>
      <w:r>
        <w:t xml:space="preserve">without any stated punishment.</w:t>
      </w:r>
    </w:p>
    <w:bookmarkStart w:id="717" w:name="intersection-of-laws-an-example-of-rape"/>
    <w:p>
      <w:pPr>
        <w:pStyle w:val="Heading3"/>
      </w:pPr>
      <w:r>
        <w:t xml:space="preserve">18.4.1 Intersection of Laws: An Example of Rape</w:t>
      </w:r>
    </w:p>
    <w:p>
      <w:pPr>
        <w:pStyle w:val="FirstParagraph"/>
      </w:pPr>
      <w:r>
        <w:t xml:space="preserve">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rPr>
          <w:iCs/>
          <w:i/>
        </w:rPr>
        <w:t xml:space="preserve">Reflection: How do clear boundaries around harm shape my understanding of justice, responsibility, and protection within community?</w:t>
      </w:r>
    </w:p>
    <w:p>
      <w:pPr>
        <w:pStyle w:val="BodyText"/>
      </w:pPr>
      <w:r>
        <w:t xml:space="preserve">This concludes the basic foundations of the social life. In the next chapter, we move from protection to construction as we transition toward building and maintaining loving relationships, marriage, parenting, and divorce.</w:t>
      </w:r>
    </w:p>
    <w:p>
      <w:r>
        <w:br w:type="page"/>
      </w:r>
    </w:p>
    <w:bookmarkEnd w:id="717"/>
    <w:bookmarkEnd w:id="718"/>
    <w:bookmarkEnd w:id="719"/>
    <w:bookmarkStart w:id="769" w:name="affectionate-relationships"/>
    <w:p>
      <w:pPr>
        <w:pStyle w:val="Heading1"/>
      </w:pPr>
      <w:r>
        <w:t xml:space="preserve">19. Affectionate Relationships</w:t>
      </w:r>
    </w:p>
    <w:p>
      <w:pPr>
        <w:pStyle w:val="FirstParagraph"/>
      </w:pPr>
      <w:r>
        <w:t xml:space="preserve">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bookmarkStart w:id="749" w:name="marriage-1"/>
    <w:p>
      <w:pPr>
        <w:pStyle w:val="Heading2"/>
      </w:pPr>
      <w:r>
        <w:t xml:space="preserve">19.1 Marriage</w:t>
      </w:r>
    </w:p>
    <w:p>
      <w:pPr>
        <w:pStyle w:val="FirstParagraph"/>
      </w:pPr>
      <w:r>
        <w:t xml:space="preserve">Marriage is enjoined upon us.</w:t>
      </w:r>
      <w:r>
        <w:rPr>
          <w:rStyle w:val="FootnoteReference"/>
        </w:rPr>
        <w:footnoteReference w:id="720"/>
      </w:r>
      <w:r>
        <w:t xml:space="preserve"> </w:t>
      </w:r>
      <w:r>
        <w:t xml:space="preserve">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721"/>
      </w:r>
      <w:r>
        <w:t xml:space="preserve"> </w:t>
      </w:r>
      <w:r>
        <w:t xml:space="preserve">Bahá’u’lláh instructed monks to leave their seclusion so they may bear fruits and enter into wedlock.</w:t>
      </w:r>
      <w:r>
        <w:rPr>
          <w:rStyle w:val="FootnoteReference"/>
        </w:rPr>
        <w:footnoteReference w:id="722"/>
      </w:r>
      <w:r>
        <w:t xml:space="preserve"> </w:t>
      </w:r>
      <w:r>
        <w:t xml:space="preserve">To a particular believer, Bahá’u’lláh said marriage is not permitted to be passed by as it is God’s tradition.</w:t>
      </w:r>
      <w:r>
        <w:rPr>
          <w:rStyle w:val="FootnoteReference"/>
        </w:rPr>
        <w:footnoteReference w:id="723"/>
      </w:r>
    </w:p>
    <w:bookmarkStart w:id="725" w:name="purpose-of-marriage"/>
    <w:p>
      <w:pPr>
        <w:pStyle w:val="Heading3"/>
      </w:pPr>
      <w:r>
        <w:t xml:space="preserve">19.1.1 Purpose of Marriage</w:t>
      </w:r>
    </w:p>
    <w:p>
      <w:pPr>
        <w:pStyle w:val="FirstParagraph"/>
      </w:pPr>
      <w:r>
        <w:t xml:space="preserve">From the second paragraph of the Marriage Prayer (I am unable to find the first), Bahá’u’lláh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24"/>
      </w:r>
      <w:r>
        <w:t xml:space="preserve"> </w:t>
      </w:r>
      <w:r>
        <w:t xml:space="preserve">These are the fruits both the Báb described as</w:t>
      </w:r>
      <w:r>
        <w:t xml:space="preserve"> </w:t>
      </w:r>
      <w:r>
        <w:t xml:space="preserve">“</w:t>
      </w:r>
      <w:r>
        <w:t xml:space="preserve">a letter of their own being may remain to proclaim the unity of God.</w:t>
      </w:r>
      <w:r>
        <w:t xml:space="preserve">”</w:t>
      </w:r>
    </w:p>
    <w:p>
      <w:pPr>
        <w:pStyle w:val="BodyText"/>
      </w:pPr>
      <w:r>
        <w:t xml:space="preserve">The Bayán had recommended believers separate if either partner is unable to fulfill the obligation of having a baby. In the Súriy-i-Haykal, Bahá’u’lláh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be similar to the journey of the soul to God the Beloved in Bahá’u’lláh’s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25"/>
    <w:bookmarkStart w:id="726" w:name="who-may-marry-and-how-many"/>
    <w:p>
      <w:pPr>
        <w:pStyle w:val="Heading3"/>
      </w:pPr>
      <w:r>
        <w:t xml:space="preserve">19.1.2 Who May Marry and How Many?</w:t>
      </w:r>
    </w:p>
    <w:p>
      <w:pPr>
        <w:pStyle w:val="FirstParagraph"/>
      </w:pPr>
      <w:r>
        <w:t xml:space="preserve">Everywhere Bahá’u’lláh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 marriage is between a man and a woman.</w:t>
      </w:r>
    </w:p>
    <w:p>
      <w:pPr>
        <w:pStyle w:val="BodyText"/>
      </w:pPr>
      <w:r>
        <w:t xml:space="preserve">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pPr>
        <w:pStyle w:val="BodyText"/>
      </w:pPr>
      <w:r>
        <w:t xml:space="preserve">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26"/>
    <w:bookmarkStart w:id="735" w:name="consent"/>
    <w:p>
      <w:pPr>
        <w:pStyle w:val="Heading3"/>
      </w:pPr>
      <w:r>
        <w:t xml:space="preserve">19.1.3 Consent</w:t>
      </w:r>
    </w:p>
    <w:p>
      <w:pPr>
        <w:pStyle w:val="FirstParagraph"/>
      </w:pPr>
      <w:r>
        <w:t xml:space="preserve">Marriage requires the consent of both parties.</w:t>
      </w:r>
      <w:r>
        <w:rPr>
          <w:rStyle w:val="FootnoteReference"/>
        </w:rPr>
        <w:footnoteReference w:id="727"/>
      </w:r>
      <w:r>
        <w:t xml:space="preserve"> </w:t>
      </w:r>
      <w:r>
        <w:t xml:space="preserve">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 person can consent to marriage, if they have the means and meet the rest of the requirements covered.</w:t>
      </w:r>
      <w:r>
        <w:rPr>
          <w:rStyle w:val="FootnoteReference"/>
        </w:rPr>
        <w:footnoteReference w:id="728"/>
      </w:r>
      <w:r>
        <w:t xml:space="preserve"> </w:t>
      </w:r>
      <w:r>
        <w:t xml:space="preserve">Remember in Chapter 14 the prohibition of pederasty and the right to be free from this practice. No adult has a right to marry a child.</w:t>
      </w:r>
    </w:p>
    <w:p>
      <w:pPr>
        <w:pStyle w:val="BodyText"/>
      </w:pPr>
      <w:r>
        <w:t xml:space="preserve">Consent cannot be obtained through coercion or any type of threat. Consent is formerly recognized for both the man and woman with a phrase signifying their devotion to God.</w:t>
      </w:r>
      <w:r>
        <w:rPr>
          <w:rStyle w:val="FootnoteReference"/>
        </w:rPr>
        <w:footnoteReference w:id="729"/>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730"/>
      </w:r>
      <w:r>
        <w:t xml:space="preserve"> </w:t>
      </w:r>
      <w:r>
        <w:t xml:space="preserve">This continues the Bayán’s law, which also says the dowry must be in incremental steps of 19, and nothing in between. The groom offers what he is willing or able to pay and the bride chooses to accept. See Appendix 4 regarding the calculation of a Bayanic mithqal.</w:t>
      </w:r>
    </w:p>
    <w:p>
      <w:pPr>
        <w:pStyle w:val="BodyText"/>
      </w:pPr>
      <w:r>
        <w:t xml:space="preserve">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pPr>
        <w:pStyle w:val="BodyText"/>
      </w:pPr>
      <w:r>
        <w:t xml:space="preserve">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731"/>
      </w:r>
      <w:r>
        <w:t xml:space="preserve"> </w:t>
      </w:r>
      <w:r>
        <w:t xml:space="preserve">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pPr>
        <w:pStyle w:val="BodyText"/>
      </w:pPr>
      <w:r>
        <w:t xml:space="preserve">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732"/>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Bahá’u’lláh nominated himself to be in place of the father of Mírzá Asadu’lláh Iṣfahání in his marriage with Gawhar in 1882.</w:t>
      </w:r>
      <w:r>
        <w:rPr>
          <w:rStyle w:val="FootnoteReference"/>
        </w:rPr>
        <w:footnoteReference w:id="733"/>
      </w:r>
      <w:r>
        <w:t xml:space="preserve"> </w:t>
      </w:r>
      <w:r>
        <w:t xml:space="preserve">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734"/>
      </w:r>
    </w:p>
    <w:p>
      <w:pPr>
        <w:pStyle w:val="BodyText"/>
      </w:pPr>
      <w:r>
        <w:t xml:space="preserve">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bookmarkEnd w:id="735"/>
    <w:bookmarkStart w:id="740"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736"/>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37"/>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w:t>
      </w:r>
      <w:r>
        <w:t xml:space="preserve"> </w:t>
      </w:r>
      <w:r>
        <w:t xml:space="preserve">“</w:t>
      </w:r>
      <w:r>
        <w:t xml:space="preserve">O Land of Ṣád, the Sun of Hijaz asks thee about His family, and the Virgin, the Chosen One, about her sons and daughter.</w:t>
      </w:r>
      <w:r>
        <w:t xml:space="preserve">”</w:t>
      </w:r>
      <w:r>
        <w:rPr>
          <w:rStyle w:val="FootnoteReference"/>
        </w:rPr>
        <w:footnoteReference w:id="738"/>
      </w:r>
      <w:r>
        <w:t xml:space="preserve"> </w:t>
      </w:r>
      <w:r>
        <w:t xml:space="preserve">How is it a mother is given the title Virgin? This demonstrates virginity is not solely a physical attribute but a spiritual condition for one who acts purely for the sake of God.</w:t>
      </w:r>
    </w:p>
    <w:p>
      <w:pPr>
        <w:pStyle w:val="BodyText"/>
      </w:pPr>
      <w:r>
        <w:t xml:space="preserve">In the second example, Bahá’u’lláh is discussing Mírzá Yaḥyá, the leader of the Bayání people who did not believe in Bahá’u’lláh.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39"/>
      </w:r>
      <w:r>
        <w:t xml:space="preserve"> </w:t>
      </w:r>
      <w:r>
        <w:t xml:space="preserve">In this example, the coveting of virgins is a form of idolatry which is a veil between you and God.</w:t>
      </w:r>
    </w:p>
    <w:bookmarkEnd w:id="740"/>
    <w:bookmarkStart w:id="742" w:name="the-marriage-contract"/>
    <w:p>
      <w:pPr>
        <w:pStyle w:val="Heading3"/>
      </w:pPr>
      <w:r>
        <w:t xml:space="preserve">19.1.5 The Marriage Contract</w:t>
      </w:r>
    </w:p>
    <w:p>
      <w:pPr>
        <w:pStyle w:val="FirstParagraph"/>
      </w:pPr>
      <w:r>
        <w:t xml:space="preserve">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41"/>
      </w:r>
      <w:r>
        <w:t xml:space="preserve"> </w:t>
      </w:r>
      <w:r>
        <w:t xml:space="preserve">This particularly protects the rights of women from coercion. The Houses of Justice are to ensure marriage is conducted according to the divine law. Each couple can add anything to the contract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pPr>
        <w:pStyle w:val="BodyText"/>
      </w:pPr>
      <w:r>
        <w:t xml:space="preserve">The marriage contract becomes nullified if dowry is not paid, if one does not return home from travel by an agreed upon time, and if one of the spouses passes away.</w:t>
      </w:r>
    </w:p>
    <w:bookmarkEnd w:id="742"/>
    <w:bookmarkStart w:id="744"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43"/>
      </w:r>
      <w:r>
        <w:t xml:space="preserve"> </w:t>
      </w:r>
      <w:r>
        <w:t xml:space="preserve">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bookmarkEnd w:id="744"/>
    <w:bookmarkStart w:id="745"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bookmarkEnd w:id="745"/>
    <w:bookmarkStart w:id="746"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bookmarkEnd w:id="746"/>
    <w:bookmarkStart w:id="748"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47"/>
      </w:r>
      <w:r>
        <w:t xml:space="preserve"> </w:t>
      </w:r>
      <w:r>
        <w:t xml:space="preserve">For each offense, the fine is doubled from the prior offense. This goes from 9 to 18 to 36 to 72 and so on. Bahá’u’lláh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pPr>
        <w:pStyle w:val="BodyText"/>
      </w:pPr>
      <w:r>
        <w:rPr>
          <w:iCs/>
          <w:i/>
        </w:rPr>
        <w:t xml:space="preserve">Reflection: How do you see marriage shaping your capacity for unity, trust, and fidelity?</w:t>
      </w:r>
    </w:p>
    <w:p>
      <w:pPr>
        <w:pStyle w:val="BodyText"/>
      </w:pPr>
      <w:r>
        <w:t xml:space="preserve">To move outward from the marriage law, we can trace how affection forms and matures before a couple ever reaches wedlock.</w:t>
      </w:r>
    </w:p>
    <w:bookmarkEnd w:id="748"/>
    <w:bookmarkEnd w:id="749"/>
    <w:bookmarkStart w:id="763"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w:t>
      </w:r>
      <w:r>
        <w:t xml:space="preserve"> </w:t>
      </w:r>
      <w:r>
        <w:t xml:space="preserve">“</w:t>
      </w:r>
      <w:r>
        <w:t xml:space="preserve">God loves unity and concord.</w:t>
      </w:r>
      <w:r>
        <w:t xml:space="preserve">”</w:t>
      </w:r>
      <w:r>
        <w:rPr>
          <w:rStyle w:val="FootnoteReference"/>
        </w:rPr>
        <w:footnoteReference w:id="750"/>
      </w:r>
      <w:r>
        <w:t xml:space="preserve"> </w:t>
      </w:r>
      <w:r>
        <w:t xml:space="preserve">In seeking an ideal, we shouldn’t risk limiting the ways unity and concord can manifest itself in everyday life.</w:t>
      </w:r>
    </w:p>
    <w:bookmarkStart w:id="754" w:name="stage-1-friendship"/>
    <w:p>
      <w:pPr>
        <w:pStyle w:val="Heading3"/>
      </w:pPr>
      <w:r>
        <w:t xml:space="preserve">19.2.1 Stage 1: Friendship</w:t>
      </w:r>
    </w:p>
    <w:p>
      <w:pPr>
        <w:pStyle w:val="FirstParagraph"/>
      </w:pPr>
      <w:r>
        <w:t xml:space="preserve">As discussed in Chapter 18, our first foundation is friendliness and fellowship</w:t>
      </w:r>
      <w:r>
        <w:rPr>
          <w:rStyle w:val="FootnoteReference"/>
        </w:rPr>
        <w:footnoteReference w:id="751"/>
      </w:r>
      <w:r>
        <w:t xml:space="preserve"> </w:t>
      </w:r>
      <w:r>
        <w:t xml:space="preserve">even with the followers of other religion.</w:t>
      </w:r>
      <w:r>
        <w:rPr>
          <w:rStyle w:val="FootnoteReference"/>
        </w:rPr>
        <w:footnoteReference w:id="752"/>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pPr>
        <w:pStyle w:val="BodyText"/>
      </w:pPr>
      <w:r>
        <w:t xml:space="preserve">Friendship requires mutual effort. Every person you come across may not be a friend. Bahá’u’lláh warns us not to associate with the wicked, nor seek companionship with them.</w:t>
      </w:r>
      <w:r>
        <w:rPr>
          <w:rStyle w:val="FootnoteReference"/>
        </w:rPr>
        <w:footnoteReference w:id="753"/>
      </w:r>
      <w:r>
        <w:t xml:space="preserve"> </w:t>
      </w:r>
      <w:r>
        <w:t xml:space="preserve">If someone comes up to you and does not start with a smile and a warm greeting, be cautious. If a stranger is focused on fulfilling their immediate wants,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54"/>
    <w:bookmarkStart w:id="755" w:name="stage-2-fellowship"/>
    <w:p>
      <w:pPr>
        <w:pStyle w:val="Heading3"/>
      </w:pPr>
      <w:r>
        <w:t xml:space="preserve">19.2.2 Stage 2: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bookmarkEnd w:id="755"/>
    <w:bookmarkStart w:id="758" w:name="stage-3-spiritual-kinship"/>
    <w:p>
      <w:pPr>
        <w:pStyle w:val="Heading3"/>
      </w:pPr>
      <w:r>
        <w:t xml:space="preserve">19.2.3 Stage 3: Spiritual Kinship</w:t>
      </w:r>
    </w:p>
    <w:p>
      <w:pPr>
        <w:pStyle w:val="FirstParagraph"/>
      </w:pPr>
      <w:r>
        <w:t xml:space="preserve">From fellowship can come a relationship I am calling spiritual kinship. The foundation of this relationship is a shared belief in Bahá’u’lláh and living in the same Day of God. Distant souls are drawn closer</w:t>
      </w:r>
      <w:r>
        <w:rPr>
          <w:rStyle w:val="FootnoteReference"/>
        </w:rPr>
        <w:footnoteReference w:id="756"/>
      </w:r>
      <w:r>
        <w:t xml:space="preserve"> </w:t>
      </w:r>
      <w:r>
        <w:t xml:space="preserve">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757"/>
      </w:r>
    </w:p>
    <w:p>
      <w:pPr>
        <w:pStyle w:val="BodyText"/>
      </w:pPr>
      <w:r>
        <w:t xml:space="preserve">The Hidden Words is, in my opinion, a pillar of spiritual kinship. Throughout the Arabic and Persian versions, Bahá’u’lláh enjoins us with a declaration</w:t>
      </w:r>
      <w:r>
        <w:t xml:space="preserve"> </w:t>
      </w:r>
      <w:r>
        <w:t xml:space="preserve">“</w:t>
      </w:r>
      <w:r>
        <w:t xml:space="preserve">O Son…</w:t>
      </w:r>
      <w:r>
        <w:t xml:space="preserve">”</w:t>
      </w:r>
      <w:r>
        <w:t xml:space="preserve"> </w:t>
      </w:r>
      <w:r>
        <w:t xml:space="preserve">where each of us are both a Son of God, a Son of Bahá’u’lláh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58"/>
    <w:bookmarkStart w:id="759" w:name="stage-4-courtship"/>
    <w:p>
      <w:pPr>
        <w:pStyle w:val="Heading3"/>
      </w:pPr>
      <w:r>
        <w:t xml:space="preserve">19.2.4 Stage 4: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59"/>
    <w:bookmarkStart w:id="762" w:name="stage-5-engagement"/>
    <w:p>
      <w:pPr>
        <w:pStyle w:val="Heading3"/>
      </w:pPr>
      <w:r>
        <w:t xml:space="preserve">19.2.5 Stage 5: Engagement</w:t>
      </w:r>
    </w:p>
    <w:p>
      <w:pPr>
        <w:pStyle w:val="FirstParagraph"/>
      </w:pPr>
      <w:r>
        <w:t xml:space="preserve">If courtship is successful, you are on the path towards marriage. When discussing marriage, Bahá’u’lláh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60"/>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Bahá’u’lláh advises delaying the wedding is not recommended.</w:t>
      </w:r>
      <w:r>
        <w:rPr>
          <w:rStyle w:val="FootnoteReference"/>
        </w:rPr>
        <w:footnoteReference w:id="761"/>
      </w:r>
      <w:r>
        <w:t xml:space="preserve"> </w:t>
      </w:r>
      <w:r>
        <w:t xml:space="preserve">He did not define a hard limit though and in the same advice, said the timing of the wedding is entirely up to the couple’s discretion. This might be something discussed by the couple and parents in their consultation.</w:t>
      </w:r>
    </w:p>
    <w:p>
      <w:pPr>
        <w:pStyle w:val="BodyText"/>
      </w:pPr>
      <w:r>
        <w:rPr>
          <w:iCs/>
          <w:i/>
        </w:rPr>
        <w:t xml:space="preserve">Reflection: Which stage most challenges you to balance affection with spiritual discipline?</w:t>
      </w:r>
    </w:p>
    <w:p>
      <w:pPr>
        <w:pStyle w:val="BodyText"/>
      </w:pPr>
      <w:r>
        <w:t xml:space="preserve">Before looking at other choices, it helps to name what happens when relationships jump ahead of their own foundations.</w:t>
      </w:r>
    </w:p>
    <w:bookmarkEnd w:id="762"/>
    <w:bookmarkEnd w:id="763"/>
    <w:bookmarkStart w:id="764" w:name="skipping-stages"/>
    <w:p>
      <w:pPr>
        <w:pStyle w:val="Heading2"/>
      </w:pPr>
      <w:r>
        <w:t xml:space="preserve">19.3 Skipping Stages</w:t>
      </w:r>
    </w:p>
    <w:p>
      <w:pPr>
        <w:pStyle w:val="FirstParagraph"/>
      </w:pPr>
      <w:r>
        <w:t xml:space="preserve">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pPr>
        <w:pStyle w:val="BodyText"/>
      </w:pPr>
      <w:r>
        <w:t xml:space="preserve">Another way skipping stages is important is in the application of the Maturity Matching Principle. It is important to note the fortress of well-being is most vulnerable when one partner is significantly more 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pPr>
        <w:pStyle w:val="BodyText"/>
      </w:pPr>
      <w:r>
        <w:t xml:space="preserve">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pPr>
        <w:pStyle w:val="BodyText"/>
      </w:pPr>
      <w:r>
        <w:t xml:space="preserve">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pPr>
        <w:pStyle w:val="BodyText"/>
      </w:pPr>
      <w:r>
        <w:t xml:space="preserve">When these stages are skipped, as expressed in Chapter 16</w:t>
      </w:r>
      <w:r>
        <w:t xml:space="preserve"> </w:t>
      </w:r>
      <w:r>
        <w:t xml:space="preserve">“</w:t>
      </w:r>
      <w:r>
        <w:t xml:space="preserve">The Private Self,</w:t>
      </w:r>
      <w:r>
        <w:t xml:space="preserve">”</w:t>
      </w:r>
      <w:r>
        <w:t xml:space="preserve"> </w:t>
      </w:r>
      <w:r>
        <w:t xml:space="preserve">we also need to be aware as individuals what is an illusion and what is real as expressed in Chapter 16</w:t>
      </w:r>
      <w:r>
        <w:t xml:space="preserve"> </w:t>
      </w:r>
      <w:r>
        <w:t xml:space="preserve">“</w:t>
      </w:r>
      <w:r>
        <w:t xml:space="preserve">The Private Self.</w:t>
      </w:r>
      <w:r>
        <w:t xml:space="preserve">”</w:t>
      </w:r>
      <w:r>
        <w:t xml:space="preserve"> </w:t>
      </w:r>
      <w:r>
        <w:t xml:space="preserve">This is a delicate balance individuals and communities must navigate with care and consultation.</w:t>
      </w:r>
    </w:p>
    <w:p>
      <w:pPr>
        <w:pStyle w:val="BodyText"/>
      </w:pPr>
      <w:r>
        <w:rPr>
          <w:iCs/>
          <w:i/>
        </w:rPr>
        <w:t xml:space="preserve">Reflection: Where do you see impatience weakening the fortress of affection?</w:t>
      </w:r>
    </w:p>
    <w:p>
      <w:pPr>
        <w:pStyle w:val="BodyText"/>
      </w:pPr>
      <w:r>
        <w:t xml:space="preserve">To honor affection without sentimentality, we also need language for those whose paths do not follow the usual pattern.</w:t>
      </w:r>
    </w:p>
    <w:bookmarkEnd w:id="764"/>
    <w:bookmarkStart w:id="767" w:name="non-traditional-relationship-choices"/>
    <w:p>
      <w:pPr>
        <w:pStyle w:val="Heading2"/>
      </w:pPr>
      <w:r>
        <w:t xml:space="preserve">19.4 Non-Traditional Relationship Choices</w:t>
      </w:r>
    </w:p>
    <w:bookmarkStart w:id="765" w:name="celibacy"/>
    <w:p>
      <w:pPr>
        <w:pStyle w:val="Heading3"/>
      </w:pPr>
      <w:r>
        <w:t xml:space="preserve">19.4.1 Celibacy</w:t>
      </w:r>
    </w:p>
    <w:p>
      <w:pPr>
        <w:pStyle w:val="FirstParagraph"/>
      </w:pPr>
      <w:r>
        <w:t xml:space="preserve">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65"/>
    <w:bookmarkStart w:id="766"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pPr>
        <w:pStyle w:val="BodyText"/>
      </w:pPr>
      <w:r>
        <w:rPr>
          <w:iCs/>
          <w:i/>
        </w:rPr>
        <w:t xml:space="preserve">Reflection: What responsibilities do your closest bonds place upon you?</w:t>
      </w:r>
    </w:p>
    <w:p>
      <w:pPr>
        <w:pStyle w:val="BodyText"/>
      </w:pPr>
      <w:r>
        <w:t xml:space="preserve">To conclude this chapter, we can gather its stages into one measure of communal health.</w:t>
      </w:r>
    </w:p>
    <w:bookmarkEnd w:id="766"/>
    <w:bookmarkEnd w:id="767"/>
    <w:bookmarkStart w:id="768" w:name="conclusion-4"/>
    <w:p>
      <w:pPr>
        <w:pStyle w:val="Heading2"/>
      </w:pPr>
      <w:r>
        <w:t xml:space="preserve">19.5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r>
        <w:br w:type="page"/>
      </w:r>
    </w:p>
    <w:bookmarkEnd w:id="768"/>
    <w:bookmarkEnd w:id="769"/>
    <w:bookmarkStart w:id="829" w:name="trusteeship"/>
    <w:p>
      <w:pPr>
        <w:pStyle w:val="Heading1"/>
      </w:pPr>
      <w:r>
        <w:t xml:space="preserve">20. Trusteeship</w:t>
      </w:r>
    </w:p>
    <w:p>
      <w:pPr>
        <w:pStyle w:val="FirstParagraph"/>
      </w:pPr>
      <w:r>
        <w:t xml:space="preserve">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pPr>
        <w:pStyle w:val="BodyText"/>
      </w:pPr>
      <w:r>
        <w:t xml:space="preserve">There are many kinds of trusteeships expressed in the Kitáb-i-Aqdas. Bahá’u’lláh describes trusts for orphans, widows,</w:t>
      </w:r>
      <w:r>
        <w:rPr>
          <w:rStyle w:val="FootnoteReference"/>
        </w:rPr>
        <w:footnoteReference w:id="770"/>
      </w:r>
      <w:r>
        <w:t xml:space="preserve"> </w:t>
      </w:r>
      <w:r>
        <w:t xml:space="preserve">weak descendants,</w:t>
      </w:r>
      <w:r>
        <w:rPr>
          <w:rStyle w:val="FootnoteReference"/>
        </w:rPr>
        <w:footnoteReference w:id="771"/>
      </w:r>
      <w:r>
        <w:t xml:space="preserve"> </w:t>
      </w:r>
      <w:r>
        <w:t xml:space="preserve">the destitute</w:t>
      </w:r>
      <w:r>
        <w:rPr>
          <w:rStyle w:val="FootnoteReference"/>
        </w:rPr>
        <w:footnoteReference w:id="772"/>
      </w:r>
      <w:r>
        <w:t xml:space="preserve">, and the kingdom.</w:t>
      </w:r>
      <w:r>
        <w:rPr>
          <w:rStyle w:val="FootnoteReference"/>
        </w:rPr>
        <w:footnoteReference w:id="773"/>
      </w:r>
      <w:r>
        <w:t xml:space="preserve"> </w:t>
      </w:r>
      <w:r>
        <w:t xml:space="preserve">The trustees are the Houses of Justice, fathers, the wealthy, and God. To frame the rest of this chapter, let us take a look at the sacred trust of God with God as the Trustee.</w:t>
      </w:r>
    </w:p>
    <w:bookmarkStart w:id="775" w:name="god-as-trustee---kingdom-as-trust"/>
    <w:p>
      <w:pPr>
        <w:pStyle w:val="Heading2"/>
      </w:pPr>
      <w:r>
        <w:t xml:space="preserve">20.1 God as Trustee - Kingdom as Trust</w:t>
      </w:r>
    </w:p>
    <w:p>
      <w:pPr>
        <w:pStyle w:val="FirstParagraph"/>
      </w:pPr>
      <w:r>
        <w:t xml:space="preserve">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74"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pPr>
        <w:pStyle w:val="BodyText"/>
      </w:pPr>
      <w:r>
        <w:t xml:space="preserve">Most of the rest of the book will be framed within the context of Trusteeship, as we have moved into the realm of power and the dynamics power causes. This chapter will look at trusteeship with weak descendants, widows, the destitute, and the moral ecology we live within.</w:t>
      </w:r>
    </w:p>
    <w:p>
      <w:pPr>
        <w:pStyle w:val="BodyText"/>
      </w:pPr>
      <w:r>
        <w:rPr>
          <w:iCs/>
          <w:i/>
        </w:rPr>
        <w:t xml:space="preserve">Reflection: Where do you exercise power without naming it as trust?</w:t>
      </w:r>
    </w:p>
    <w:p>
      <w:pPr>
        <w:pStyle w:val="BodyText"/>
      </w:pPr>
      <w:r>
        <w:t xml:space="preserve">To move from theology into lived responsibility, we begin with the most immediate trust entrusted to humanity.</w:t>
      </w:r>
    </w:p>
    <w:bookmarkEnd w:id="774"/>
    <w:bookmarkEnd w:id="775"/>
    <w:bookmarkStart w:id="779" w:name="Xd9317fee22cef18843b9d9aa92ffbac1f3f9342"/>
    <w:p>
      <w:pPr>
        <w:pStyle w:val="Heading2"/>
      </w:pPr>
      <w:r>
        <w:t xml:space="preserve">20.2 Weak Descendants as Trust - Parents as Trust</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their sons and daughters in learning and writing, and also what has been prescribed.</w:t>
      </w:r>
      <w:r>
        <w:rPr>
          <w:rStyle w:val="FootnoteReference"/>
        </w:rPr>
        <w:footnoteReference w:id="776"/>
      </w:r>
      <w:r>
        <w:t xml:space="preserve"> </w:t>
      </w:r>
      <w:r>
        <w:t xml:space="preserve">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77"/>
      </w:r>
    </w:p>
    <w:p>
      <w:pPr>
        <w:pStyle w:val="BodyText"/>
      </w:pPr>
      <w:r>
        <w:t xml:space="preserve">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778"/>
      </w:r>
    </w:p>
    <w:p>
      <w:pPr>
        <w:pStyle w:val="BodyText"/>
      </w:pPr>
      <w:r>
        <w:t xml:space="preserve">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pPr>
        <w:pStyle w:val="BodyText"/>
      </w:pPr>
      <w:r>
        <w:t xml:space="preserve">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w:t>
      </w:r>
      <w:r>
        <w:t xml:space="preserve"> </w:t>
      </w:r>
      <w:r>
        <w:t xml:space="preserve">‘</w:t>
      </w:r>
      <w:r>
        <w:t xml:space="preserve">Alá</w:t>
      </w:r>
      <w:r>
        <w:t xml:space="preserve">’</w:t>
      </w:r>
      <w:r>
        <w:t xml:space="preserve">.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for the parents never end.</w:t>
      </w:r>
    </w:p>
    <w:p>
      <w:pPr>
        <w:pStyle w:val="BodyText"/>
      </w:pPr>
      <w:r>
        <w:rPr>
          <w:iCs/>
          <w:i/>
        </w:rPr>
        <w:t xml:space="preserve">Reflection: How does stewardship reshape what it means to be a parent?</w:t>
      </w:r>
    </w:p>
    <w:p>
      <w:pPr>
        <w:pStyle w:val="BodyText"/>
      </w:pPr>
      <w:r>
        <w:t xml:space="preserve">When parents are absent, trusteeship becomes a communal duty rather than a private one.</w:t>
      </w:r>
    </w:p>
    <w:bookmarkEnd w:id="779"/>
    <w:bookmarkStart w:id="782" w:name="Xa5feadbf34bbb02b50a8c4e4e1f8fa8badff952"/>
    <w:p>
      <w:pPr>
        <w:pStyle w:val="Heading2"/>
      </w:pPr>
      <w:r>
        <w:t xml:space="preserve">20.3 Orphans as Trust - Houses of Justice as Trustee</w:t>
      </w:r>
    </w:p>
    <w:p>
      <w:pPr>
        <w:pStyle w:val="FirstParagraph"/>
      </w:pPr>
      <w:r>
        <w:t xml:space="preserve">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780"/>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Bahá’u’lláh served as the trustee for orphans in His lifetime. For example, he provided fifty tumens for the orphans of Ḥájí ’Alí Qarabághí.</w:t>
      </w:r>
      <w:r>
        <w:rPr>
          <w:rStyle w:val="FootnoteReference"/>
        </w:rPr>
        <w:footnoteReference w:id="781"/>
      </w:r>
      <w:r>
        <w:t xml:space="preserve"> </w:t>
      </w:r>
      <w:r>
        <w:t xml:space="preserve">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pPr>
        <w:pStyle w:val="BodyText"/>
      </w:pPr>
      <w:r>
        <w:rPr>
          <w:iCs/>
          <w:i/>
        </w:rPr>
        <w:t xml:space="preserve">Reflection: Who becomes responsible when belonging is lost?</w:t>
      </w:r>
    </w:p>
    <w:p>
      <w:pPr>
        <w:pStyle w:val="BodyText"/>
      </w:pPr>
      <w:r>
        <w:t xml:space="preserve">From orphanhood, trusteeship turns toward the intimacy of marriage, where care must remain free of possession.</w:t>
      </w:r>
    </w:p>
    <w:bookmarkEnd w:id="782"/>
    <w:bookmarkStart w:id="783" w:name="spouse-as-trust---spouse-as-trustee"/>
    <w:p>
      <w:pPr>
        <w:pStyle w:val="Heading2"/>
      </w:pPr>
      <w:r>
        <w:t xml:space="preserve">20.4 Spouse as Trust - Spouse as Trustee</w:t>
      </w:r>
    </w:p>
    <w:p>
      <w:pPr>
        <w:pStyle w:val="FirstParagraph"/>
      </w:pPr>
      <w:r>
        <w:t xml:space="preserve">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pPr>
        <w:pStyle w:val="BodyText"/>
      </w:pPr>
      <w:r>
        <w:t xml:space="preserve">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pPr>
        <w:pStyle w:val="BodyText"/>
      </w:pPr>
      <w:r>
        <w:rPr>
          <w:iCs/>
          <w:i/>
        </w:rPr>
        <w:t xml:space="preserve">Reflection: How does love change when ownership is replaced with trust?</w:t>
      </w:r>
    </w:p>
    <w:p>
      <w:pPr>
        <w:pStyle w:val="BodyText"/>
      </w:pPr>
      <w:r>
        <w:t xml:space="preserve">As children rise into maturity, trusteeship reverses direction and becomes a duty toward those who raised them.</w:t>
      </w:r>
    </w:p>
    <w:bookmarkEnd w:id="783"/>
    <w:bookmarkStart w:id="789" w:name="X307a812a91894165a7a3cbbcdf21a61a1eb3c77"/>
    <w:p>
      <w:pPr>
        <w:pStyle w:val="Heading2"/>
      </w:pPr>
      <w:r>
        <w:t xml:space="preserve">20.5 Aging Parents as Trust - Mature Children as Trustee</w:t>
      </w:r>
    </w:p>
    <w:p>
      <w:pPr>
        <w:pStyle w:val="FirstParagraph"/>
      </w:pPr>
      <w:r>
        <w:t xml:space="preserve">For parents who have not forfeited their rights as parents due to neglect of their children, Bahá’u’lláh says the second greatest fruit is regard for the rights of one’s parents.</w:t>
      </w:r>
      <w:r>
        <w:rPr>
          <w:rStyle w:val="FootnoteReference"/>
        </w:rPr>
        <w:footnoteReference w:id="784"/>
      </w:r>
      <w:r>
        <w:t xml:space="preserve"> </w:t>
      </w:r>
      <w:r>
        <w:t xml:space="preserve">The Báb says we are to provide for our parents if they are not self-sufficient</w:t>
      </w:r>
      <w:r>
        <w:rPr>
          <w:rStyle w:val="FootnoteReference"/>
        </w:rPr>
        <w:footnoteReference w:id="785"/>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786"/>
      </w:r>
      <w:r>
        <w:t xml:space="preserve"> </w:t>
      </w:r>
      <w:r>
        <w:t xml:space="preserve">If an adult has lost their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787"/>
      </w:r>
      <w:r>
        <w:t xml:space="preserve"> </w:t>
      </w:r>
      <w:r>
        <w:t xml:space="preserve">Bahá’u’lláh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788"/>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pPr>
        <w:pStyle w:val="BodyText"/>
      </w:pPr>
      <w:r>
        <w:rPr>
          <w:iCs/>
          <w:i/>
        </w:rPr>
        <w:t xml:space="preserve">Reflection: When does care require letting go rather than control?</w:t>
      </w:r>
    </w:p>
    <w:p>
      <w:pPr>
        <w:pStyle w:val="BodyText"/>
      </w:pPr>
      <w:r>
        <w:t xml:space="preserve">From family trusteeship, we widen outward to communal care for those whose vulnerability is intensified by loss.</w:t>
      </w:r>
    </w:p>
    <w:bookmarkEnd w:id="789"/>
    <w:bookmarkStart w:id="790" w:name="X73292c9f198f1d8b723fed098e0d25bb5e26fdc"/>
    <w:p>
      <w:pPr>
        <w:pStyle w:val="Heading2"/>
      </w:pPr>
      <w:r>
        <w:t xml:space="preserve">20.6 Widows as Trust -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pPr>
        <w:pStyle w:val="BodyText"/>
      </w:pPr>
      <w:r>
        <w:rPr>
          <w:iCs/>
          <w:i/>
        </w:rPr>
        <w:t xml:space="preserve">Reflection: What does protective care look like without intrusion?</w:t>
      </w:r>
    </w:p>
    <w:p>
      <w:pPr>
        <w:pStyle w:val="BodyText"/>
      </w:pPr>
      <w:r>
        <w:t xml:space="preserve">When poverty enters, trusteeship must confront provision as a right rather than charity as a preference.</w:t>
      </w:r>
    </w:p>
    <w:bookmarkEnd w:id="790"/>
    <w:bookmarkStart w:id="792" w:name="Xdeb51514ee795bbefd504b498f11844d3c2e06c"/>
    <w:p>
      <w:pPr>
        <w:pStyle w:val="Heading2"/>
      </w:pPr>
      <w:r>
        <w:t xml:space="preserve">20.7 The Destitute as Trust - The Wealthy as Trustee</w:t>
      </w:r>
    </w:p>
    <w:p>
      <w:pPr>
        <w:pStyle w:val="FirstParagraph"/>
      </w:pPr>
      <w:r>
        <w:t xml:space="preserve">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791"/>
      </w:r>
      <w:r>
        <w:t xml:space="preserve"> </w:t>
      </w:r>
      <w:r>
        <w:t xml:space="preserve">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pPr>
        <w:pStyle w:val="BodyText"/>
      </w:pPr>
      <w:r>
        <w:t xml:space="preserve">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p>
      <w:pPr>
        <w:pStyle w:val="BodyText"/>
      </w:pPr>
      <w:r>
        <w:rPr>
          <w:iCs/>
          <w:i/>
        </w:rPr>
        <w:t xml:space="preserve">Reflection: How do you measure provision as justice rather than generosity?</w:t>
      </w:r>
    </w:p>
    <w:p>
      <w:pPr>
        <w:pStyle w:val="BodyText"/>
      </w:pPr>
      <w:r>
        <w:t xml:space="preserve">Trusteeship also reaches beyond human relationships into the environment that sustains every soul.</w:t>
      </w:r>
    </w:p>
    <w:bookmarkEnd w:id="792"/>
    <w:bookmarkStart w:id="807" w:name="X76df74494726c5ba3ad82df674a09d7479e02e2"/>
    <w:p>
      <w:pPr>
        <w:pStyle w:val="Heading2"/>
      </w:pPr>
      <w:r>
        <w:t xml:space="preserve">20.8 Animals and the Earth as Trust - Believers as Trustee</w:t>
      </w:r>
    </w:p>
    <w:p>
      <w:pPr>
        <w:pStyle w:val="FirstParagraph"/>
      </w:pPr>
      <w:r>
        <w:t xml:space="preserve">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793"/>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794"/>
      </w:r>
      <w:r>
        <w:t xml:space="preserve"> </w:t>
      </w:r>
      <w:r>
        <w:t xml:space="preserve">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795"/>
      </w:r>
      <w:r>
        <w:t xml:space="preserve"> </w:t>
      </w:r>
      <w:r>
        <w:t xml:space="preserve">and they are integrated within the Bayánic Calendar.</w:t>
      </w:r>
      <w:r>
        <w:rPr>
          <w:rStyle w:val="FootnoteReference"/>
        </w:rPr>
        <w:footnoteReference w:id="796"/>
      </w:r>
      <w:r>
        <w:t xml:space="preserve"> </w:t>
      </w:r>
      <w:r>
        <w:t xml:space="preserve">Chapter 12.7 includes these elements in the table describing the calendar.</w:t>
      </w:r>
    </w:p>
    <w:p>
      <w:pPr>
        <w:pStyle w:val="BodyText"/>
      </w:pPr>
      <w:r>
        <w:t xml:space="preserve">Creation is where we recognize the names of God and develop our virtues. A corrupted Earth would greatly increase the difficulty in achieving this spiritual progress. Thus, we have a moral ecology in which we operate.</w:t>
      </w:r>
    </w:p>
    <w:bookmarkStart w:id="803" w:name="moral-ecology"/>
    <w:p>
      <w:pPr>
        <w:pStyle w:val="Heading3"/>
      </w:pPr>
      <w:r>
        <w:t xml:space="preserve">20.8.1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pPr>
        <w:pStyle w:val="BodyText"/>
      </w:pPr>
      <w:r>
        <w:t xml:space="preserve">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797"/>
      </w:r>
      <w:r>
        <w:t xml:space="preserve"> </w:t>
      </w:r>
      <w:r>
        <w:t xml:space="preserve">The Land of T (Tehran) is instructed not to grieve the injustice perpetuated upon it.</w:t>
      </w:r>
      <w:r>
        <w:rPr>
          <w:rStyle w:val="FootnoteReference"/>
        </w:rPr>
        <w:footnoteReference w:id="798"/>
      </w:r>
      <w:r>
        <w:t xml:space="preserve"> </w:t>
      </w:r>
      <w:r>
        <w:t xml:space="preserve">The Land of Ba rejoiced when Bahá’u’lláh arrived after being released from the land of prison, which the land of prison became saddened.</w:t>
      </w:r>
      <w:r>
        <w:rPr>
          <w:rStyle w:val="FootnoteReference"/>
        </w:rPr>
        <w:footnoteReference w:id="799"/>
      </w:r>
      <w:r>
        <w:t xml:space="preserve"> </w:t>
      </w:r>
      <w:r>
        <w:t xml:space="preserve">Flowers, fruits, trees, leaves, and rivers are pleasing examples of divine power and craftsmanship in honor of the passing of a believer.</w:t>
      </w:r>
      <w:r>
        <w:rPr>
          <w:rStyle w:val="FootnoteReference"/>
        </w:rPr>
        <w:footnoteReference w:id="800"/>
      </w:r>
      <w:r>
        <w:t xml:space="preserve"> </w:t>
      </w:r>
      <w:r>
        <w:t xml:space="preserve">In the same tablet He says the trees, stones, clay, and pebbles serve as witnesses.</w:t>
      </w:r>
    </w:p>
    <w:p>
      <w:pPr>
        <w:pStyle w:val="BodyText"/>
      </w:pPr>
      <w:r>
        <w:t xml:space="preserve">Every instance we observe Bahá’u’lláh’s metaphors and descriptions of the earthly creation, maybe we should also consider the idea Bahá’u’lláh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01"/>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pPr>
        <w:pStyle w:val="BodyText"/>
      </w:pPr>
      <w:r>
        <w:t xml:space="preserve">Imagine when the next future Manifestation of God appears hundreds of years from now. Will they witness an Earth and people who are more purified than when Bahá’u’lláh lived among us?</w:t>
      </w:r>
    </w:p>
    <w:p>
      <w:pPr>
        <w:pStyle w:val="BodyText"/>
      </w:pPr>
      <w:r>
        <w:t xml:space="preserve">The Báb even included a prohibition from buying or selling the four elements of fire, air, water, and earth.</w:t>
      </w:r>
      <w:r>
        <w:rPr>
          <w:rStyle w:val="FootnoteReference"/>
        </w:rPr>
        <w:footnoteReference w:id="802"/>
      </w:r>
      <w:r>
        <w:t xml:space="preserve"> </w:t>
      </w:r>
      <w:r>
        <w:t xml:space="preserve">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bookmarkEnd w:id="803"/>
    <w:bookmarkStart w:id="806" w:name="animals"/>
    <w:p>
      <w:pPr>
        <w:pStyle w:val="Heading3"/>
      </w:pPr>
      <w:r>
        <w:t xml:space="preserve">20.8.2 Animals</w:t>
      </w:r>
    </w:p>
    <w:p>
      <w:pPr>
        <w:pStyle w:val="FirstParagraph"/>
      </w:pPr>
      <w:r>
        <w:t xml:space="preserve">Bahá’u’lláh does tell us not to load an animal with more than it can bear.</w:t>
      </w:r>
      <w:r>
        <w:rPr>
          <w:rStyle w:val="FootnoteReference"/>
        </w:rPr>
        <w:footnoteReference w:id="804"/>
      </w:r>
      <w:r>
        <w:t xml:space="preserve"> </w:t>
      </w:r>
      <w:r>
        <w:t xml:space="preserve">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Bahá’u’lláh also says we should not be excessive in hunting</w:t>
      </w:r>
      <w:r>
        <w:rPr>
          <w:rStyle w:val="FootnoteReference"/>
        </w:rPr>
        <w:footnoteReference w:id="805"/>
      </w:r>
      <w:r>
        <w:t xml:space="preserve"> </w:t>
      </w:r>
      <w:r>
        <w:t xml:space="preserve">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pPr>
        <w:pStyle w:val="BodyText"/>
      </w:pPr>
      <w:r>
        <w:t xml:space="preserve">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or more to that which we have taken from.</w:t>
      </w:r>
    </w:p>
    <w:p>
      <w:pPr>
        <w:pStyle w:val="BodyText"/>
      </w:pPr>
      <w:r>
        <w:rPr>
          <w:iCs/>
          <w:i/>
        </w:rPr>
        <w:t xml:space="preserve">Reflection: What changes when the Earth is treated as sacred trust rather than usable property?</w:t>
      </w:r>
    </w:p>
    <w:p>
      <w:pPr>
        <w:pStyle w:val="BodyText"/>
      </w:pPr>
      <w:r>
        <w:t xml:space="preserve">From ecology we return to law, because trusteeship also governs how a soul orders its affairs before death.</w:t>
      </w:r>
    </w:p>
    <w:bookmarkEnd w:id="806"/>
    <w:bookmarkEnd w:id="807"/>
    <w:bookmarkStart w:id="827" w:name="X1a7336c628a8647f1d10c6ddb4ffa2185c7dbc6"/>
    <w:p>
      <w:pPr>
        <w:pStyle w:val="Heading2"/>
      </w:pPr>
      <w:r>
        <w:t xml:space="preserve">20.9 Wills and Testaments - Houses of Justice as Trustees</w:t>
      </w:r>
    </w:p>
    <w:p>
      <w:pPr>
        <w:pStyle w:val="FirstParagraph"/>
      </w:pPr>
      <w:r>
        <w:t xml:space="preserve">Every soul has been ordained to write a will.</w:t>
      </w:r>
      <w:r>
        <w:rPr>
          <w:rStyle w:val="FootnoteReference"/>
        </w:rPr>
        <w:footnoteReference w:id="808"/>
      </w:r>
      <w:r>
        <w:t xml:space="preserve"> </w:t>
      </w:r>
      <w:r>
        <w:t xml:space="preserve">The will must have certain features:</w:t>
      </w:r>
    </w:p>
    <w:p>
      <w:pPr>
        <w:numPr>
          <w:ilvl w:val="0"/>
          <w:numId w:val="1005"/>
        </w:numPr>
      </w:pPr>
      <w:r>
        <w:t xml:space="preserve">Heading with the Greatest Name,</w:t>
      </w:r>
    </w:p>
    <w:p>
      <w:pPr>
        <w:numPr>
          <w:ilvl w:val="0"/>
          <w:numId w:val="1005"/>
        </w:numPr>
      </w:pPr>
      <w:r>
        <w:t xml:space="preserve">Declaration of the oneness of God in the Manifestation of His appearance,</w:t>
      </w:r>
    </w:p>
    <w:p>
      <w:pPr>
        <w:numPr>
          <w:ilvl w:val="0"/>
          <w:numId w:val="1005"/>
        </w:numPr>
      </w:pPr>
      <w:r>
        <w:t xml:space="preserve">Good deeds they wish to be remembered for,</w:t>
      </w:r>
    </w:p>
    <w:p>
      <w:pPr>
        <w:numPr>
          <w:ilvl w:val="0"/>
          <w:numId w:val="1005"/>
        </w:numPr>
      </w:pPr>
      <w:r>
        <w:t xml:space="preserve">How they wish to be buried, and</w:t>
      </w:r>
    </w:p>
    <w:p>
      <w:pPr>
        <w:numPr>
          <w:ilvl w:val="0"/>
          <w:numId w:val="1005"/>
        </w:numPr>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pPr>
        <w:pStyle w:val="BodyText"/>
      </w:pPr>
      <w:r>
        <w:t xml:space="preserve">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809"/>
      </w:r>
    </w:p>
    <w:bookmarkStart w:id="811" w:name="inheritance-without-a-will"/>
    <w:p>
      <w:pPr>
        <w:pStyle w:val="Heading3"/>
      </w:pPr>
      <w:r>
        <w:t xml:space="preserve">20.9.1 Inheritance Without a Will</w:t>
      </w:r>
    </w:p>
    <w:p>
      <w:pPr>
        <w:pStyle w:val="FirstParagraph"/>
      </w:pPr>
      <w:r>
        <w:t xml:space="preserve">The Arabic Bayán introduces the inheritance distribution with 2520 shares divided between seven categories of inheritors.</w:t>
      </w:r>
      <w:r>
        <w:rPr>
          <w:rStyle w:val="FootnoteReference"/>
        </w:rPr>
        <w:footnoteReference w:id="810"/>
      </w:r>
      <w:r>
        <w:t xml:space="preserve"> </w:t>
      </w:r>
      <w:r>
        <w:t xml:space="preserve">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6"/>
        </w:numPr>
        <w:pStyle w:val="Compact"/>
      </w:pPr>
      <w:r>
        <w:t xml:space="preserve">Descendants, Book Ṭ (9) according to number of M, Q, T,</w:t>
      </w:r>
      <w:r>
        <w:t xml:space="preserve"> </w:t>
      </w:r>
      <w:r>
        <w:rPr>
          <w:strike/>
        </w:rPr>
        <w:t xml:space="preserve">540</w:t>
      </w:r>
      <w:r>
        <w:t xml:space="preserve"> </w:t>
      </w:r>
      <w:r>
        <w:t xml:space="preserve">+ 540 = 1080 (42.8%)</w:t>
      </w:r>
      <w:r>
        <w:br/>
      </w:r>
    </w:p>
    <w:p>
      <w:pPr>
        <w:numPr>
          <w:ilvl w:val="0"/>
          <w:numId w:val="1006"/>
        </w:numPr>
        <w:pStyle w:val="Compact"/>
      </w:pPr>
      <w:r>
        <w:t xml:space="preserve">Spouses, Book Ḥ (8) according to number T and F,</w:t>
      </w:r>
      <w:r>
        <w:t xml:space="preserve"> </w:t>
      </w:r>
      <w:r>
        <w:rPr>
          <w:strike/>
        </w:rPr>
        <w:t xml:space="preserve">480</w:t>
      </w:r>
      <w:r>
        <w:t xml:space="preserve"> </w:t>
      </w:r>
      <w:r>
        <w:t xml:space="preserve">- 90 = 390 (15.5%)</w:t>
      </w:r>
      <w:r>
        <w:br/>
      </w:r>
    </w:p>
    <w:p>
      <w:pPr>
        <w:numPr>
          <w:ilvl w:val="0"/>
          <w:numId w:val="1006"/>
        </w:numPr>
        <w:pStyle w:val="Compact"/>
      </w:pPr>
      <w:r>
        <w:t xml:space="preserve">Fathers, Book Z (7) according to number T and K,</w:t>
      </w:r>
      <w:r>
        <w:t xml:space="preserve"> </w:t>
      </w:r>
      <w:r>
        <w:rPr>
          <w:strike/>
        </w:rPr>
        <w:t xml:space="preserve">420</w:t>
      </w:r>
      <w:r>
        <w:t xml:space="preserve"> </w:t>
      </w:r>
      <w:r>
        <w:t xml:space="preserve">- 90 = 330 (13.1%)</w:t>
      </w:r>
      <w:r>
        <w:br/>
      </w:r>
    </w:p>
    <w:p>
      <w:pPr>
        <w:numPr>
          <w:ilvl w:val="0"/>
          <w:numId w:val="1006"/>
        </w:numPr>
        <w:pStyle w:val="Compact"/>
      </w:pPr>
      <w:r>
        <w:t xml:space="preserve">Mothers, Book W (6) according to number R, F, Y, A,</w:t>
      </w:r>
      <w:r>
        <w:t xml:space="preserve"> </w:t>
      </w:r>
      <w:r>
        <w:rPr>
          <w:strike/>
        </w:rPr>
        <w:t xml:space="preserve">360</w:t>
      </w:r>
      <w:r>
        <w:t xml:space="preserve"> </w:t>
      </w:r>
      <w:r>
        <w:t xml:space="preserve">- 90 = 270 (10.7%)</w:t>
      </w:r>
      <w:r>
        <w:br/>
      </w:r>
    </w:p>
    <w:p>
      <w:pPr>
        <w:numPr>
          <w:ilvl w:val="0"/>
          <w:numId w:val="1006"/>
        </w:numPr>
        <w:pStyle w:val="Compact"/>
      </w:pPr>
      <w:r>
        <w:t xml:space="preserve">Brothers, Book H (5) according to number Sh,</w:t>
      </w:r>
      <w:r>
        <w:t xml:space="preserve"> </w:t>
      </w:r>
      <w:r>
        <w:rPr>
          <w:strike/>
        </w:rPr>
        <w:t xml:space="preserve">300</w:t>
      </w:r>
      <w:r>
        <w:t xml:space="preserve"> </w:t>
      </w:r>
      <w:r>
        <w:t xml:space="preserve">- 90 = 210 (8.3%)</w:t>
      </w:r>
      <w:r>
        <w:br/>
      </w:r>
    </w:p>
    <w:p>
      <w:pPr>
        <w:numPr>
          <w:ilvl w:val="0"/>
          <w:numId w:val="1006"/>
        </w:numPr>
        <w:pStyle w:val="Compact"/>
      </w:pPr>
      <w:r>
        <w:t xml:space="preserve">Sisters, Book D (4) according to number R and M,</w:t>
      </w:r>
      <w:r>
        <w:t xml:space="preserve"> </w:t>
      </w:r>
      <w:r>
        <w:rPr>
          <w:strike/>
        </w:rPr>
        <w:t xml:space="preserve">240</w:t>
      </w:r>
      <w:r>
        <w:t xml:space="preserve"> </w:t>
      </w:r>
      <w:r>
        <w:t xml:space="preserve">- 90 = 150 (6.0%)</w:t>
      </w:r>
      <w:r>
        <w:br/>
      </w:r>
    </w:p>
    <w:p>
      <w:pPr>
        <w:numPr>
          <w:ilvl w:val="0"/>
          <w:numId w:val="1006"/>
        </w:numPr>
        <w:pStyle w:val="Compact"/>
      </w:pPr>
      <w:r>
        <w:t xml:space="preserve">Teachers, Book J (3) according to number Q and F,</w:t>
      </w:r>
      <w:r>
        <w:t xml:space="preserve"> </w:t>
      </w:r>
      <w:r>
        <w:rPr>
          <w:strike/>
        </w:rPr>
        <w:t xml:space="preserve">180</w:t>
      </w:r>
      <w:r>
        <w:t xml:space="preserve"> </w:t>
      </w:r>
      <w:r>
        <w:t xml:space="preserve">- 90 = 90 (3.6%)</w:t>
      </w:r>
    </w:p>
    <w:bookmarkEnd w:id="811"/>
    <w:bookmarkStart w:id="813" w:name="items-excluded-from-sale"/>
    <w:p>
      <w:pPr>
        <w:pStyle w:val="Heading3"/>
      </w:pPr>
      <w:r>
        <w:t xml:space="preserve">20.9.2 Items Excluded From Sale</w:t>
      </w:r>
    </w:p>
    <w:p>
      <w:pPr>
        <w:pStyle w:val="FirstParagraph"/>
      </w:pPr>
      <w:r>
        <w:t xml:space="preserve">If the house is inhabited by descendants, the male descendants inherit the house.</w:t>
      </w:r>
      <w:r>
        <w:rPr>
          <w:rStyle w:val="FootnoteReference"/>
        </w:rPr>
        <w:footnoteReference w:id="812"/>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bookmarkEnd w:id="813"/>
    <w:bookmarkStart w:id="818" w:name="when-an-inheritor-does-not-exist"/>
    <w:p>
      <w:pPr>
        <w:pStyle w:val="Heading3"/>
      </w:pPr>
      <w:r>
        <w:t xml:space="preserve">20.9.3 When an Inheritor Does Not Exist</w:t>
      </w:r>
    </w:p>
    <w:p>
      <w:pPr>
        <w:pStyle w:val="FirstParagraph"/>
      </w:pPr>
      <w:r>
        <w:t xml:space="preserve">It might not be guaranteed all seven categories of inheritors were born or are still alive when the deceased passes away. The Kitáb-i-Aqdas provides guidance in these situations.</w:t>
      </w:r>
    </w:p>
    <w:p>
      <w:pPr>
        <w:pStyle w:val="BodyText"/>
      </w:pPr>
      <w:r>
        <w:t xml:space="preserve">If there are no descendants, their portion will go to the House of Justice.</w:t>
      </w:r>
      <w:r>
        <w:rPr>
          <w:rStyle w:val="FootnoteReference"/>
        </w:rPr>
        <w:footnoteReference w:id="814"/>
      </w:r>
      <w:r>
        <w:t xml:space="preserve"> </w:t>
      </w:r>
      <w:r>
        <w:t xml:space="preserve">(1080 of 2520 shares)</w:t>
      </w:r>
    </w:p>
    <w:p>
      <w:pPr>
        <w:pStyle w:val="BodyText"/>
      </w:pPr>
      <w:r>
        <w:t xml:space="preserve">If the deceased has descendants but no other specified heirs, two thirds will go to the descendants and one third will go to the House of Justice.</w:t>
      </w:r>
      <w:r>
        <w:rPr>
          <w:rStyle w:val="FootnoteReference"/>
        </w:rPr>
        <w:footnoteReference w:id="815"/>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two thirds will go to them and one third to the House of Justice.</w:t>
      </w:r>
      <w:r>
        <w:rPr>
          <w:rStyle w:val="FootnoteReference"/>
        </w:rPr>
        <w:footnoteReference w:id="816"/>
      </w:r>
    </w:p>
    <w:p>
      <w:pPr>
        <w:pStyle w:val="BodyText"/>
      </w:pPr>
      <w:r>
        <w:t xml:space="preserve">If there are no direct heirs and no nephews, nieces, or their children, the inheritance from the first 6 categories will go to the House of Justice.</w:t>
      </w:r>
      <w:r>
        <w:rPr>
          <w:rStyle w:val="FootnoteReference"/>
        </w:rPr>
        <w:footnoteReference w:id="817"/>
      </w:r>
    </w:p>
    <w:bookmarkEnd w:id="818"/>
    <w:bookmarkStart w:id="826" w:name="the-funeral"/>
    <w:p>
      <w:pPr>
        <w:pStyle w:val="Heading3"/>
      </w:pPr>
      <w:r>
        <w:t xml:space="preserve">20.9.4 The Funeral</w:t>
      </w:r>
    </w:p>
    <w:p>
      <w:pPr>
        <w:pStyle w:val="FirstParagraph"/>
      </w:pPr>
      <w:r>
        <w:t xml:space="preserve">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bookmarkStart w:id="819" w:name="preparation"/>
    <w:p>
      <w:pPr>
        <w:pStyle w:val="Heading4"/>
      </w:pPr>
      <w:r>
        <w:t xml:space="preserve">20.9.4.1 Preparation</w:t>
      </w:r>
    </w:p>
    <w:p>
      <w:pPr>
        <w:numPr>
          <w:ilvl w:val="0"/>
          <w:numId w:val="1007"/>
        </w:numPr>
        <w:pStyle w:val="Compact"/>
      </w:pPr>
      <w:r>
        <w:t xml:space="preserve">Handle the body with dignity and stillness.</w:t>
      </w:r>
    </w:p>
    <w:p>
      <w:pPr>
        <w:numPr>
          <w:ilvl w:val="0"/>
          <w:numId w:val="1007"/>
        </w:numPr>
        <w:pStyle w:val="Compact"/>
      </w:pPr>
      <w:r>
        <w:t xml:space="preserve">Repeat the six Names of God, or God alone, from the moment of death until burial.</w:t>
      </w:r>
    </w:p>
    <w:p>
      <w:pPr>
        <w:numPr>
          <w:ilvl w:val="0"/>
          <w:numId w:val="1007"/>
        </w:numPr>
        <w:pStyle w:val="Compact"/>
      </w:pPr>
      <w:r>
        <w:t xml:space="preserve">Prepare pure water, optionally mixed with camphor and lotus leaves.</w:t>
      </w:r>
    </w:p>
    <w:p>
      <w:pPr>
        <w:numPr>
          <w:ilvl w:val="0"/>
          <w:numId w:val="1007"/>
        </w:numPr>
        <w:pStyle w:val="Compact"/>
      </w:pPr>
      <w:r>
        <w:t xml:space="preserve">Ensure the washing is performed by the righteous.</w:t>
      </w:r>
    </w:p>
    <w:bookmarkEnd w:id="819"/>
    <w:bookmarkStart w:id="820" w:name="washing-of-the-body"/>
    <w:p>
      <w:pPr>
        <w:pStyle w:val="Heading4"/>
      </w:pPr>
      <w:r>
        <w:t xml:space="preserve">20.9.4.2 Washing of the Body</w:t>
      </w:r>
    </w:p>
    <w:p>
      <w:pPr>
        <w:numPr>
          <w:ilvl w:val="0"/>
          <w:numId w:val="1008"/>
        </w:numPr>
        <w:pStyle w:val="Compact"/>
      </w:pPr>
      <w:r>
        <w:t xml:space="preserve">Wash the head,</w:t>
      </w:r>
      <w:r>
        <w:t xml:space="preserve"> </w:t>
      </w:r>
      <w:r>
        <w:t xml:space="preserve">“</w:t>
      </w:r>
      <w:r>
        <w:t xml:space="preserve">O Singular One.</w:t>
      </w:r>
      <w:r>
        <w:t xml:space="preserve">”</w:t>
      </w:r>
    </w:p>
    <w:p>
      <w:pPr>
        <w:numPr>
          <w:ilvl w:val="0"/>
          <w:numId w:val="1008"/>
        </w:numPr>
        <w:pStyle w:val="Compact"/>
      </w:pPr>
      <w:r>
        <w:t xml:space="preserve">Wash the abdomen,</w:t>
      </w:r>
      <w:r>
        <w:t xml:space="preserve"> </w:t>
      </w:r>
      <w:r>
        <w:t xml:space="preserve">“</w:t>
      </w:r>
      <w:r>
        <w:t xml:space="preserve">O Living One.</w:t>
      </w:r>
      <w:r>
        <w:t xml:space="preserve">”</w:t>
      </w:r>
    </w:p>
    <w:p>
      <w:pPr>
        <w:numPr>
          <w:ilvl w:val="0"/>
          <w:numId w:val="1008"/>
        </w:numPr>
        <w:pStyle w:val="Compact"/>
      </w:pPr>
      <w:r>
        <w:t xml:space="preserve">Wash the right side,</w:t>
      </w:r>
      <w:r>
        <w:t xml:space="preserve"> </w:t>
      </w:r>
      <w:r>
        <w:t xml:space="preserve">“</w:t>
      </w:r>
      <w:r>
        <w:t xml:space="preserve">O Self Subsisting One.</w:t>
      </w:r>
      <w:r>
        <w:t xml:space="preserve">”</w:t>
      </w:r>
    </w:p>
    <w:p>
      <w:pPr>
        <w:numPr>
          <w:ilvl w:val="0"/>
          <w:numId w:val="1008"/>
        </w:numPr>
        <w:pStyle w:val="Compact"/>
      </w:pPr>
      <w:r>
        <w:t xml:space="preserve">Wash the left side,</w:t>
      </w:r>
      <w:r>
        <w:t xml:space="preserve"> </w:t>
      </w:r>
      <w:r>
        <w:t xml:space="preserve">“</w:t>
      </w:r>
      <w:r>
        <w:t xml:space="preserve">O Wise One.</w:t>
      </w:r>
      <w:r>
        <w:t xml:space="preserve">”</w:t>
      </w:r>
    </w:p>
    <w:p>
      <w:pPr>
        <w:numPr>
          <w:ilvl w:val="0"/>
          <w:numId w:val="1008"/>
        </w:numPr>
        <w:pStyle w:val="Compact"/>
      </w:pPr>
      <w:r>
        <w:t xml:space="preserve">Wash the right foot,</w:t>
      </w:r>
      <w:r>
        <w:t xml:space="preserve"> </w:t>
      </w:r>
      <w:r>
        <w:t xml:space="preserve">“</w:t>
      </w:r>
      <w:r>
        <w:t xml:space="preserve">O Just One.</w:t>
      </w:r>
      <w:r>
        <w:t xml:space="preserve">”</w:t>
      </w:r>
    </w:p>
    <w:p>
      <w:pPr>
        <w:numPr>
          <w:ilvl w:val="0"/>
          <w:numId w:val="1008"/>
        </w:numPr>
        <w:pStyle w:val="Compact"/>
      </w:pPr>
      <w:r>
        <w:t xml:space="preserve">Wash the left foot,</w:t>
      </w:r>
      <w:r>
        <w:t xml:space="preserve"> </w:t>
      </w:r>
      <w:r>
        <w:t xml:space="preserve">“</w:t>
      </w:r>
      <w:r>
        <w:t xml:space="preserve">O Powerful One.</w:t>
      </w:r>
      <w:r>
        <w:t xml:space="preserve">”</w:t>
      </w:r>
    </w:p>
    <w:p>
      <w:pPr>
        <w:numPr>
          <w:ilvl w:val="0"/>
          <w:numId w:val="1008"/>
        </w:numPr>
        <w:pStyle w:val="Compact"/>
      </w:pPr>
      <w:r>
        <w:t xml:space="preserve">Perform one washing. Up to three or five are permitted.</w:t>
      </w:r>
    </w:p>
    <w:p>
      <w:pPr>
        <w:numPr>
          <w:ilvl w:val="0"/>
          <w:numId w:val="1008"/>
        </w:numPr>
        <w:pStyle w:val="Compact"/>
      </w:pPr>
      <w:r>
        <w:t xml:space="preserve">Use water, warm or cool, suitable to the condition of the body.</w:t>
      </w:r>
    </w:p>
    <w:p>
      <w:pPr>
        <w:numPr>
          <w:ilvl w:val="0"/>
          <w:numId w:val="1008"/>
        </w:numPr>
        <w:pStyle w:val="Compact"/>
      </w:pPr>
      <w:r>
        <w:t xml:space="preserve">After washing, perfume the body with fresh fragrance.</w:t>
      </w:r>
    </w:p>
    <w:bookmarkEnd w:id="820"/>
    <w:bookmarkStart w:id="821" w:name="shrouding"/>
    <w:p>
      <w:pPr>
        <w:pStyle w:val="Heading4"/>
      </w:pPr>
      <w:r>
        <w:t xml:space="preserve">20.9.4.3 Shrouding</w:t>
      </w:r>
    </w:p>
    <w:p>
      <w:pPr>
        <w:numPr>
          <w:ilvl w:val="0"/>
          <w:numId w:val="1009"/>
        </w:numPr>
        <w:pStyle w:val="Compact"/>
      </w:pPr>
      <w:r>
        <w:t xml:space="preserve">Shroud the body in five layers of silk or fine cotton.</w:t>
      </w:r>
    </w:p>
    <w:p>
      <w:pPr>
        <w:numPr>
          <w:ilvl w:val="0"/>
          <w:numId w:val="1009"/>
        </w:numPr>
        <w:pStyle w:val="Compact"/>
      </w:pPr>
      <w:r>
        <w:t xml:space="preserve">Up to nineteen Names of God may be inscribed on the shroud.</w:t>
      </w:r>
    </w:p>
    <w:p>
      <w:pPr>
        <w:numPr>
          <w:ilvl w:val="0"/>
          <w:numId w:val="1009"/>
        </w:numPr>
        <w:pStyle w:val="Compact"/>
      </w:pPr>
      <w:r>
        <w:t xml:space="preserve">Wrap the body with calm and reverence.</w:t>
      </w:r>
    </w:p>
    <w:bookmarkEnd w:id="821"/>
    <w:bookmarkStart w:id="822" w:name="the-ring"/>
    <w:p>
      <w:pPr>
        <w:pStyle w:val="Heading4"/>
      </w:pPr>
      <w:r>
        <w:t xml:space="preserve">20.9.4.4 The Ring</w:t>
      </w:r>
    </w:p>
    <w:p>
      <w:pPr>
        <w:numPr>
          <w:ilvl w:val="0"/>
          <w:numId w:val="1010"/>
        </w:numPr>
        <w:pStyle w:val="Compact"/>
      </w:pPr>
      <w:r>
        <w:t xml:space="preserve">Place on the right hand:</w:t>
      </w:r>
    </w:p>
    <w:p>
      <w:pPr>
        <w:pStyle w:val="FirstParagraph"/>
      </w:pPr>
      <w:r>
        <w:t xml:space="preserve">Men:</w:t>
      </w:r>
      <w:r>
        <w:t xml:space="preserve"> </w:t>
      </w:r>
      <w:r>
        <w:t xml:space="preserve">“</w:t>
      </w:r>
      <w:r>
        <w:t xml:space="preserve">To God belongs whatever is in the heavens and the earth and what is between them, and God is All Knowing of all things.</w:t>
      </w:r>
      <w:r>
        <w:t xml:space="preserve">”</w:t>
      </w:r>
      <w:r>
        <w:br/>
      </w:r>
      <w:r>
        <w:t xml:space="preserve">Women:</w:t>
      </w:r>
      <w:r>
        <w:t xml:space="preserve"> </w:t>
      </w:r>
      <w:r>
        <w:t xml:space="preserve">“</w:t>
      </w:r>
      <w:r>
        <w:t xml:space="preserve">To God belongs the dominion of the heavens and the earth and what is between them, and God is over all things Powerful.</w:t>
      </w:r>
      <w:r>
        <w:t xml:space="preserve">”</w:t>
      </w:r>
    </w:p>
    <w:bookmarkEnd w:id="822"/>
    <w:bookmarkStart w:id="823" w:name="the-coffin"/>
    <w:p>
      <w:pPr>
        <w:pStyle w:val="Heading4"/>
      </w:pPr>
      <w:r>
        <w:t xml:space="preserve">20.9.4.5 The Coffin</w:t>
      </w:r>
    </w:p>
    <w:p>
      <w:pPr>
        <w:numPr>
          <w:ilvl w:val="0"/>
          <w:numId w:val="1011"/>
        </w:numPr>
        <w:pStyle w:val="Compact"/>
      </w:pPr>
      <w:r>
        <w:t xml:space="preserve">Place the body in a coffin of crystal, stone resistant to decay, or fine, hard wood.</w:t>
      </w:r>
    </w:p>
    <w:p>
      <w:pPr>
        <w:numPr>
          <w:ilvl w:val="0"/>
          <w:numId w:val="1011"/>
        </w:numPr>
        <w:pStyle w:val="Compact"/>
      </w:pPr>
      <w:r>
        <w:t xml:space="preserve">Place fragrance within the coffin before closing it.</w:t>
      </w:r>
    </w:p>
    <w:bookmarkEnd w:id="823"/>
    <w:bookmarkStart w:id="824" w:name="the-funeral-prayer-ṣalát-al-janázah"/>
    <w:p>
      <w:pPr>
        <w:pStyle w:val="Heading4"/>
      </w:pPr>
      <w:r>
        <w:t xml:space="preserve">20.9.4.6 The Funeral Prayer (Ṣalát al Janázah)</w:t>
      </w:r>
    </w:p>
    <w:p>
      <w:pPr>
        <w:numPr>
          <w:ilvl w:val="0"/>
          <w:numId w:val="1012"/>
        </w:numPr>
        <w:pStyle w:val="Compact"/>
      </w:pPr>
      <w:r>
        <w:t xml:space="preserve">The congregation stands. No bowing or prostration is performed.</w:t>
      </w:r>
    </w:p>
    <w:p>
      <w:pPr>
        <w:numPr>
          <w:ilvl w:val="0"/>
          <w:numId w:val="1012"/>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worship God</w:t>
      </w:r>
      <w:r>
        <w:t xml:space="preserve">”</w:t>
      </w:r>
      <w:r>
        <w:t xml:space="preserve">, 19 times.</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bow down to God</w:t>
      </w:r>
      <w:r>
        <w:t xml:space="preserve">”</w:t>
      </w:r>
      <w:r>
        <w:t xml:space="preserve">, 19 times.</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are devoted to God</w:t>
      </w:r>
      <w:r>
        <w:t xml:space="preserve">”</w:t>
      </w:r>
      <w:r>
        <w:t xml:space="preserve">, 19 times.</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remember God</w:t>
      </w:r>
      <w:r>
        <w:t xml:space="preserve">”</w:t>
      </w:r>
      <w:r>
        <w:t xml:space="preserve">, 19 times.</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are grateful to God</w:t>
      </w:r>
      <w:r>
        <w:t xml:space="preserve">”</w:t>
      </w:r>
      <w:r>
        <w:t xml:space="preserve">, 19 times.</w:t>
      </w:r>
    </w:p>
    <w:p>
      <w:pPr>
        <w:numPr>
          <w:ilvl w:val="0"/>
          <w:numId w:val="1013"/>
        </w:numPr>
        <w:pStyle w:val="Compact"/>
      </w:pPr>
      <w:r>
        <w:t xml:space="preserve">“</w:t>
      </w:r>
      <w:r>
        <w:t xml:space="preserve">Alláh u Abhá</w:t>
      </w:r>
      <w:r>
        <w:t xml:space="preserve">”</w:t>
      </w:r>
      <w:r>
        <w:t xml:space="preserve">, then</w:t>
      </w:r>
      <w:r>
        <w:t xml:space="preserve"> </w:t>
      </w:r>
      <w:r>
        <w:t xml:space="preserve">“</w:t>
      </w:r>
      <w:r>
        <w:t xml:space="preserve">We all, verily, are patient for God</w:t>
      </w:r>
      <w:r>
        <w:t xml:space="preserve">”</w:t>
      </w:r>
      <w:r>
        <w:t xml:space="preserve">, 19 times.</w:t>
      </w:r>
    </w:p>
    <w:bookmarkEnd w:id="824"/>
    <w:bookmarkStart w:id="825" w:name="burial"/>
    <w:p>
      <w:pPr>
        <w:pStyle w:val="Heading4"/>
      </w:pPr>
      <w:r>
        <w:t xml:space="preserve">20.9.4.7 Burial</w:t>
      </w:r>
    </w:p>
    <w:p>
      <w:pPr>
        <w:numPr>
          <w:ilvl w:val="0"/>
          <w:numId w:val="1014"/>
        </w:numPr>
        <w:pStyle w:val="Compact"/>
      </w:pPr>
      <w:r>
        <w:t xml:space="preserve">Following the prayer, the coffin is carried reverently to the grave.</w:t>
      </w:r>
    </w:p>
    <w:p>
      <w:pPr>
        <w:numPr>
          <w:ilvl w:val="0"/>
          <w:numId w:val="1014"/>
        </w:numPr>
        <w:pStyle w:val="Compact"/>
      </w:pPr>
      <w:r>
        <w:t xml:space="preserve">Bury the body within one hour’s distance from the place of death.</w:t>
      </w:r>
    </w:p>
    <w:p>
      <w:pPr>
        <w:numPr>
          <w:ilvl w:val="0"/>
          <w:numId w:val="1014"/>
        </w:numPr>
        <w:pStyle w:val="Compact"/>
      </w:pPr>
      <w:r>
        <w:t xml:space="preserve">Bury the body with spirit and fragrance in a nearby place.</w:t>
      </w:r>
    </w:p>
    <w:p>
      <w:pPr>
        <w:numPr>
          <w:ilvl w:val="0"/>
          <w:numId w:val="1014"/>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5"/>
        </w:numPr>
        <w:pStyle w:val="Compact"/>
      </w:pPr>
      <w:r>
        <w:t xml:space="preserve">Maintain silence and remembrance until the burial is complete.</w:t>
      </w:r>
    </w:p>
    <w:p>
      <w:pPr>
        <w:pStyle w:val="FirstParagraph"/>
      </w:pPr>
      <w:r>
        <w:rPr>
          <w:iCs/>
          <w:i/>
        </w:rPr>
        <w:t xml:space="preserve">Reflection: What does it mean to order your life as preparation for death?</w:t>
      </w:r>
    </w:p>
    <w:p>
      <w:pPr>
        <w:pStyle w:val="BodyText"/>
      </w:pPr>
      <w:r>
        <w:t xml:space="preserve">To close the chapter, we can gather the many trusts into one practice that makes trusteeship workable.</w:t>
      </w:r>
    </w:p>
    <w:bookmarkEnd w:id="825"/>
    <w:bookmarkEnd w:id="826"/>
    <w:bookmarkEnd w:id="827"/>
    <w:bookmarkStart w:id="828" w:name="closing-thoughts-about-trusteeship"/>
    <w:p>
      <w:pPr>
        <w:pStyle w:val="Heading2"/>
      </w:pPr>
      <w:r>
        <w:t xml:space="preserve">20.10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pPr>
        <w:pStyle w:val="BodyText"/>
      </w:pPr>
      <w:r>
        <w:t xml:space="preserve">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pPr>
        <w:pStyle w:val="BodyText"/>
      </w:pPr>
      <w:r>
        <w:t xml:space="preserve">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28"/>
    <w:bookmarkEnd w:id="829"/>
    <w:bookmarkStart w:id="848" w:name="consultation"/>
    <w:p>
      <w:pPr>
        <w:pStyle w:val="Heading1"/>
      </w:pPr>
      <w:r>
        <w:t xml:space="preserve">21. Consultation</w:t>
      </w:r>
    </w:p>
    <w:p>
      <w:pPr>
        <w:pStyle w:val="FirstParagraph"/>
      </w:pPr>
      <w:r>
        <w:t xml:space="preserve">In Chapter 15, we learned the close association of consultation with spiritual maturity. Bahá’u’lláh said to</w:t>
      </w:r>
      <w:r>
        <w:t xml:space="preserve"> </w:t>
      </w:r>
      <w:r>
        <w:t xml:space="preserve">“</w:t>
      </w:r>
      <w:r>
        <w:t xml:space="preserve">cling to the cord of consultation.</w:t>
      </w:r>
      <w:r>
        <w:t xml:space="preserve">”</w:t>
      </w:r>
      <w:r>
        <w:t xml:space="preserve"> </w:t>
      </w:r>
      <w:r>
        <w:t xml:space="preserve">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830"/>
      </w:r>
    </w:p>
    <w:bookmarkStart w:id="840"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831"/>
      </w:r>
      <w:r>
        <w:t xml:space="preserve"> </w:t>
      </w:r>
      <w:r>
        <w:t xml:space="preserve">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pPr>
        <w:pStyle w:val="BodyText"/>
      </w:pPr>
      <w:r>
        <w:t xml:space="preserve">The second type of consultation is among a group of peers. The Kitáb-i-Aqdas mentions consultation only once, but it is directly in regards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32"/>
      </w:r>
    </w:p>
    <w:p>
      <w:pPr>
        <w:pStyle w:val="FirstParagraph"/>
      </w:pPr>
      <w:r>
        <w:t xml:space="preserve">The Houses of Justice are to be the exemplars of trusteeship and consultation, but consultation is a binding command for all.</w:t>
      </w:r>
      <w:r>
        <w:rPr>
          <w:rStyle w:val="FootnoteReference"/>
        </w:rPr>
        <w:footnoteReference w:id="833"/>
      </w:r>
      <w:r>
        <w:t xml:space="preserve"> </w:t>
      </w:r>
      <w:r>
        <w:t xml:space="preserve">There is no power except through unity and no well-being except through consultation.</w:t>
      </w:r>
      <w:r>
        <w:rPr>
          <w:rStyle w:val="FootnoteReference"/>
        </w:rPr>
        <w:footnoteReference w:id="834"/>
      </w:r>
      <w:r>
        <w:t xml:space="preserve"> </w:t>
      </w:r>
      <w:r>
        <w:t xml:space="preserve">Consultation is necessary in all matters.</w:t>
      </w:r>
      <w:r>
        <w:rPr>
          <w:rStyle w:val="FootnoteReference"/>
        </w:rPr>
        <w:footnoteReference w:id="835"/>
      </w:r>
      <w:r>
        <w:t xml:space="preserve"> </w:t>
      </w:r>
      <w:r>
        <w:t xml:space="preserve">It increases awareness and turns conjecture into certitude.</w:t>
      </w:r>
      <w:r>
        <w:rPr>
          <w:rStyle w:val="FootnoteReference"/>
        </w:rPr>
        <w:footnoteReference w:id="836"/>
      </w:r>
      <w:r>
        <w:t xml:space="preserve"> </w:t>
      </w:r>
      <w:r>
        <w:t xml:space="preserve">It is the cause and means of vigilance, welfare, and safety.</w:t>
      </w:r>
      <w:r>
        <w:rPr>
          <w:rStyle w:val="FootnoteReference"/>
        </w:rPr>
        <w:footnoteReference w:id="837"/>
      </w:r>
    </w:p>
    <w:p>
      <w:pPr>
        <w:pStyle w:val="BodyText"/>
      </w:pPr>
      <w:r>
        <w:t xml:space="preserve">The Holy Spirit confirms consultation.</w:t>
      </w:r>
      <w:r>
        <w:rPr>
          <w:rStyle w:val="FootnoteReference"/>
        </w:rPr>
        <w:footnoteReference w:id="838"/>
      </w:r>
      <w:r>
        <w:t xml:space="preserve"> </w:t>
      </w:r>
      <w:r>
        <w:t xml:space="preserve">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839"/>
      </w:r>
      <w:r>
        <w:t xml:space="preserve"> </w:t>
      </w:r>
      <w:r>
        <w:t xml:space="preserve">Consultation does not override revelation from God and works within the framework and boundaries provided to us.</w:t>
      </w:r>
    </w:p>
    <w:p>
      <w:pPr>
        <w:pStyle w:val="BodyText"/>
      </w:pPr>
      <w:r>
        <w:t xml:space="preserve">All power mechanisms after Bahá’u’lláh are subordinate to consultation, no matter who has power and no matter the context of power. All consultation is guided by God and affirmed as part of the Cause of God.</w:t>
      </w:r>
    </w:p>
    <w:p>
      <w:pPr>
        <w:pStyle w:val="BodyText"/>
      </w:pPr>
      <w:r>
        <w:rPr>
          <w:iCs/>
          <w:i/>
        </w:rPr>
        <w:t xml:space="preserve">Reflection: How do the different forms of consultation shape the way authority, expertise, and unity are balanced in our lives?</w:t>
      </w:r>
    </w:p>
    <w:p>
      <w:pPr>
        <w:pStyle w:val="BodyText"/>
      </w:pPr>
      <w:r>
        <w:t xml:space="preserve">This distinction prepares us to examine how consultation actually unfolds in practice.</w:t>
      </w:r>
    </w:p>
    <w:bookmarkEnd w:id="840"/>
    <w:bookmarkStart w:id="842" w:name="consultation-process"/>
    <w:p>
      <w:pPr>
        <w:pStyle w:val="Heading2"/>
      </w:pPr>
      <w:r>
        <w:t xml:space="preserve">21.2 Consultation Process</w:t>
      </w:r>
    </w:p>
    <w:p>
      <w:pPr>
        <w:pStyle w:val="FirstParagraph"/>
      </w:pPr>
      <w:r>
        <w:t xml:space="preserve">For the Houses of Justice, there was no specific consultation process outlined. For general consultation for everyone else, there are a few guidelines Bahá’u’lláh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guideth whom He willeth to the straight path. Thus hath the Lord of all beings decreed in this station.</w:t>
      </w:r>
      <w:r>
        <w:rPr>
          <w:rStyle w:val="FootnoteReference"/>
        </w:rPr>
        <w:footnoteReference w:id="841"/>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pPr>
        <w:pStyle w:val="BodyText"/>
      </w:pPr>
      <w:r>
        <w:rPr>
          <w:iCs/>
          <w:i/>
        </w:rPr>
        <w:t xml:space="preserve">Reflection: What kinds of matters in daily life reveal the breadth of situations that require consultation?</w:t>
      </w:r>
    </w:p>
    <w:p>
      <w:pPr>
        <w:pStyle w:val="BodyText"/>
      </w:pPr>
      <w:r>
        <w:t xml:space="preserve">To evaluate consultation, I want to take a pass of the witness, trustee, and helper model through some of the prior concepts of this book.</w:t>
      </w:r>
    </w:p>
    <w:bookmarkEnd w:id="842"/>
    <w:bookmarkStart w:id="843" w:name="matters-to-consult-on"/>
    <w:p>
      <w:pPr>
        <w:pStyle w:val="Heading2"/>
      </w:pPr>
      <w:r>
        <w:t xml:space="preserve">21.3 Matters to Consult On</w:t>
      </w:r>
    </w:p>
    <w:p>
      <w:pPr>
        <w:pStyle w:val="FirstParagraph"/>
      </w:pPr>
      <w:r>
        <w:t xml:space="preserve">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pPr>
        <w:pStyle w:val="BodyText"/>
      </w:pPr>
      <w:r>
        <w:t xml:space="preserve">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pPr>
        <w:pStyle w:val="BodyText"/>
      </w:pPr>
      <w:r>
        <w:t xml:space="preserve">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pPr>
        <w:pStyle w:val="BodyText"/>
      </w:pPr>
      <w:r>
        <w:rPr>
          <w:iCs/>
          <w:i/>
        </w:rPr>
        <w:t xml:space="preserve">Reflection: How does witnessing shape the quality of understanding that emerges from consultation?</w:t>
      </w:r>
    </w:p>
    <w:p>
      <w:pPr>
        <w:pStyle w:val="BodyText"/>
      </w:pPr>
      <w:r>
        <w:t xml:space="preserve">With the scope of consultation established, we now examine the first role within it.</w:t>
      </w:r>
    </w:p>
    <w:bookmarkEnd w:id="843"/>
    <w:bookmarkStart w:id="844" w:name="witnessing"/>
    <w:p>
      <w:pPr>
        <w:pStyle w:val="Heading2"/>
      </w:pPr>
      <w:r>
        <w:t xml:space="preserve">21.4 Witnessing</w:t>
      </w:r>
    </w:p>
    <w:p>
      <w:pPr>
        <w:pStyle w:val="FirstParagraph"/>
      </w:pPr>
      <w:r>
        <w:t xml:space="preserve">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pPr>
        <w:pStyle w:val="BodyText"/>
      </w:pPr>
      <w:r>
        <w:t xml:space="preserve">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pPr>
        <w:pStyle w:val="BodyText"/>
      </w:pPr>
      <w:r>
        <w:rPr>
          <w:iCs/>
          <w:i/>
        </w:rPr>
        <w:t xml:space="preserve">Reflection: What responsibilities emerge once testimony has been offered and truth has been observed together?</w:t>
      </w:r>
    </w:p>
    <w:p>
      <w:pPr>
        <w:pStyle w:val="BodyText"/>
      </w:pPr>
      <w:r>
        <w:t xml:space="preserve">This question prepares the movement from witnessing into trusteeship.</w:t>
      </w:r>
    </w:p>
    <w:bookmarkEnd w:id="844"/>
    <w:bookmarkStart w:id="845" w:name="trustee"/>
    <w:p>
      <w:pPr>
        <w:pStyle w:val="Heading2"/>
      </w:pPr>
      <w:r>
        <w:t xml:space="preserve">21.5 Trustee</w:t>
      </w:r>
    </w:p>
    <w:p>
      <w:pPr>
        <w:pStyle w:val="FirstParagraph"/>
      </w:pPr>
      <w:r>
        <w:t xml:space="preserve">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pPr>
        <w:pStyle w:val="BodyText"/>
      </w:pPr>
      <w:r>
        <w:rPr>
          <w:iCs/>
          <w:i/>
        </w:rPr>
        <w:t xml:space="preserve">Reflection: How does assistance transform consultation from discussion into action?</w:t>
      </w:r>
    </w:p>
    <w:p>
      <w:pPr>
        <w:pStyle w:val="BodyText"/>
      </w:pPr>
      <w:r>
        <w:t xml:space="preserve">Having considered trusteeship, we now move to the role that enables outcomes.</w:t>
      </w:r>
    </w:p>
    <w:bookmarkEnd w:id="845"/>
    <w:bookmarkStart w:id="846"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pPr>
        <w:pStyle w:val="BodyText"/>
      </w:pPr>
      <w:r>
        <w:rPr>
          <w:iCs/>
          <w:i/>
        </w:rPr>
        <w:t xml:space="preserve">Reflection: How does sustained consultation prepare individuals and communities to carry revelation forward across generations?</w:t>
      </w:r>
    </w:p>
    <w:p>
      <w:pPr>
        <w:pStyle w:val="BodyText"/>
      </w:pPr>
      <w:r>
        <w:t xml:space="preserve">This reflection gathers the prior roles into a closing perspective on consultation’s enduring function.</w:t>
      </w:r>
    </w:p>
    <w:bookmarkEnd w:id="846"/>
    <w:bookmarkStart w:id="847" w:name="conclusion-5"/>
    <w:p>
      <w:pPr>
        <w:pStyle w:val="Heading2"/>
      </w:pPr>
      <w:r>
        <w:t xml:space="preserve">21.7 Conclusion</w:t>
      </w:r>
    </w:p>
    <w:p>
      <w:pPr>
        <w:pStyle w:val="FirstParagraph"/>
      </w:pPr>
      <w:r>
        <w:t xml:space="preserve">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r>
        <w:br w:type="page"/>
      </w:r>
    </w:p>
    <w:bookmarkEnd w:id="847"/>
    <w:bookmarkEnd w:id="848"/>
    <w:bookmarkStart w:id="879" w:name="houses-of-justice"/>
    <w:p>
      <w:pPr>
        <w:pStyle w:val="Heading1"/>
      </w:pPr>
      <w:r>
        <w:t xml:space="preserve">22. Houses of Justice</w:t>
      </w:r>
    </w:p>
    <w:bookmarkStart w:id="849" w:name="introduction-7"/>
    <w:p>
      <w:pPr>
        <w:pStyle w:val="Heading2"/>
      </w:pPr>
      <w:r>
        <w:t xml:space="preserve">22.1 Introduction</w:t>
      </w:r>
    </w:p>
    <w:p>
      <w:pPr>
        <w:pStyle w:val="FirstParagraph"/>
      </w:pPr>
      <w:r>
        <w:t xml:space="preserve">The Kitáb-i-Aqdas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I may refer to the singular House of Justice instead of the plural Houses at times. I view the singular House to be the name of the institution, while many Houses comprise the institution.</w:t>
      </w:r>
    </w:p>
    <w:bookmarkEnd w:id="849"/>
    <w:bookmarkStart w:id="856" w:name="the-selection-process"/>
    <w:p>
      <w:pPr>
        <w:pStyle w:val="Heading2"/>
      </w:pPr>
      <w:r>
        <w:t xml:space="preserve">22.2 The Selection Process</w:t>
      </w:r>
    </w:p>
    <w:p>
      <w:pPr>
        <w:pStyle w:val="FirstParagraph"/>
      </w:pPr>
      <w:r>
        <w:t xml:space="preserve">Bahá’u’lláh instructed a Council of Consultation to be formed for the appointment of trustees at a time when the formation of a House of Justice does not cause injustice upon the trustees or those they serve.</w:t>
      </w:r>
      <w:r>
        <w:rPr>
          <w:rStyle w:val="FootnoteReference"/>
        </w:rPr>
        <w:footnoteReference w:id="850"/>
      </w:r>
      <w:r>
        <w:t xml:space="preserve"> </w:t>
      </w:r>
      <w:r>
        <w:t xml:space="preserve">Bahá’u’lláh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51"/>
      </w:r>
    </w:p>
    <w:p>
      <w:pPr>
        <w:pStyle w:val="BodyText"/>
      </w:pPr>
      <w:r>
        <w:t xml:space="preserve">The Council’s results are confirmed by the signatures of believers of the lands. Bahá’u’lláh also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r>
        <w:t xml:space="preserve"> </w:t>
      </w:r>
      <w:r>
        <w:t xml:space="preserve">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than the Council of Consultation, who are different than the signatories of the results.</w:t>
      </w:r>
    </w:p>
    <w:p>
      <w:pPr>
        <w:pStyle w:val="BodyText"/>
      </w:pPr>
      <w:r>
        <w:t xml:space="preserve">The signatories function as a witness and notary, testifying to the integrity of the selection process. This helps ensure the Council does not become self authorizing, and it preserves trust in the outcome. The Council does not need to function through election, although that could be an option. The consultation would follow the rules set forth in Chapter 21, which would be guided by the Holy Spirit.</w:t>
      </w:r>
    </w:p>
    <w:p>
      <w:pPr>
        <w:pStyle w:val="BodyText"/>
      </w:pPr>
      <w:r>
        <w:t xml:space="preserve">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bookmarkStart w:id="854" w:name="a-proposed-process"/>
    <w:p>
      <w:pPr>
        <w:pStyle w:val="Heading3"/>
      </w:pPr>
      <w:r>
        <w:t xml:space="preserve">22.2.1 A Proposed Process</w:t>
      </w:r>
    </w:p>
    <w:p>
      <w:pPr>
        <w:pStyle w:val="FirstParagraph"/>
      </w:pPr>
      <w:r>
        <w:t xml:space="preserve">What follows is a baseline procedure that preserves the consultative spirit while giving the process clear steps and boundaries. It is meant to be adaptable according to the requirements of the days, without losing its essential safeguards.</w:t>
      </w:r>
    </w:p>
    <w:p>
      <w:pPr>
        <w:pStyle w:val="BodyText"/>
      </w:pPr>
      <w:r>
        <w:t xml:space="preserve">The first step involves the preconditions for formation. A Council of Consultation is formed only when the formation of a House of Justice does not cause injustice upon the trustees or those they serve.</w:t>
      </w:r>
      <w:r>
        <w:rPr>
          <w:rStyle w:val="FootnoteReference"/>
        </w:rPr>
        <w:footnoteReference w:id="852"/>
      </w:r>
      <w:r>
        <w:t xml:space="preserve"> </w:t>
      </w:r>
      <w:r>
        <w:t xml:space="preserve">The Council proceeds with restraint when the people are immature or when danger for all would follow from the public establishment of such institutions.</w:t>
      </w:r>
      <w:r>
        <w:rPr>
          <w:rStyle w:val="FootnoteReference"/>
        </w:rPr>
        <w:footnoteReference w:id="853"/>
      </w:r>
    </w:p>
    <w:p>
      <w:pPr>
        <w:pStyle w:val="BodyText"/>
      </w:pPr>
      <w:r>
        <w:t xml:space="preserve">For the second step, the community establishes a Council of Consultation for the limited purpose of appointment of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pPr>
        <w:pStyle w:val="BodyText"/>
      </w:pPr>
      <w:r>
        <w:t xml:space="preserve">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pPr>
        <w:pStyle w:val="BodyText"/>
      </w:pPr>
      <w:r>
        <w:t xml:space="preserve">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w:t>
      </w:r>
      <w:r>
        <w:t xml:space="preserve"> </w:t>
      </w:r>
      <w:r>
        <w:t xml:space="preserve">“</w:t>
      </w:r>
      <w:r>
        <w:t xml:space="preserve">until God shall come with His command.</w:t>
      </w:r>
      <w:r>
        <w:t xml:space="preserve">”</w:t>
      </w:r>
      <w:r>
        <w:t xml:space="preserve"> </w:t>
      </w:r>
      <w:r>
        <w:t xml:space="preserve">With the appearance of the next Manifestation of God, this process ends.</w:t>
      </w:r>
    </w:p>
    <w:bookmarkEnd w:id="854"/>
    <w:bookmarkStart w:id="855" w:name="gender-and-eligibility"/>
    <w:p>
      <w:pPr>
        <w:pStyle w:val="Heading3"/>
      </w:pPr>
      <w:r>
        <w:t xml:space="preserve">22.2.2 Gender and Eligibility</w:t>
      </w:r>
    </w:p>
    <w:p>
      <w:pPr>
        <w:pStyle w:val="FirstParagraph"/>
      </w:pPr>
      <w:r>
        <w:t xml:space="preserve">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pPr>
        <w:pStyle w:val="BodyText"/>
      </w:pPr>
      <w:r>
        <w:rPr>
          <w:iCs/>
          <w:i/>
        </w:rPr>
        <w:t xml:space="preserve">Reflection: If spiritual capacity is measured inwardly, what safeguards help a community recognize it without turning leadership into status?</w:t>
      </w:r>
    </w:p>
    <w:p>
      <w:pPr>
        <w:pStyle w:val="BodyText"/>
      </w:pPr>
      <w:r>
        <w:t xml:space="preserve">That question leads directly into the roles, where limits and accountability define the scope of authority.</w:t>
      </w:r>
    </w:p>
    <w:bookmarkEnd w:id="855"/>
    <w:bookmarkEnd w:id="856"/>
    <w:bookmarkStart w:id="869"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57"/>
      </w:r>
      <w:r>
        <w:t xml:space="preserve"> </w:t>
      </w:r>
      <w:r>
        <w:t xml:space="preserve">the representatives of God,</w:t>
      </w:r>
      <w:r>
        <w:rPr>
          <w:rStyle w:val="FootnoteReference"/>
        </w:rPr>
        <w:footnoteReference w:id="858"/>
      </w:r>
      <w:r>
        <w:t xml:space="preserve"> </w:t>
      </w:r>
      <w:r>
        <w:t xml:space="preserve">the shepherds of the sheep of God,</w:t>
      </w:r>
      <w:r>
        <w:rPr>
          <w:rStyle w:val="FootnoteReference"/>
        </w:rPr>
        <w:footnoteReference w:id="859"/>
      </w:r>
      <w:r>
        <w:t xml:space="preserve"> </w:t>
      </w:r>
      <w:r>
        <w:t xml:space="preserve">and the dawning places of His command.</w:t>
      </w:r>
      <w:r>
        <w:rPr>
          <w:rStyle w:val="FootnoteReference"/>
        </w:rPr>
        <w:footnoteReference w:id="860"/>
      </w:r>
      <w:r>
        <w:t xml:space="preserve"> </w:t>
      </w:r>
      <w:r>
        <w:t xml:space="preserve">These roles are broad in scope but they are also quite well defined. In further sections, I will clarify each of the four roles.</w:t>
      </w:r>
    </w:p>
    <w:p>
      <w:pPr>
        <w:pStyle w:val="BodyText"/>
      </w:pPr>
      <w:r>
        <w:t xml:space="preserve">In each role, there is no room to expand the scope beyond the limits of what Bahá’u’lláh stated. There is no room to add additional roles, either. In the Tablet of the Houses of Justice, Bahá’u’lláh tells the members of the Houses of Justice to</w:t>
      </w:r>
      <w:r>
        <w:t xml:space="preserve"> </w:t>
      </w:r>
      <w:r>
        <w:t xml:space="preserve">“</w:t>
      </w:r>
      <w:r>
        <w:t xml:space="preserve">be mindful not to act contrary to what has been revealed in the divine verses in this mighty, eternal Manifestation, for whatever the True One, exalted is His station, 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861"/>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64"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62"/>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63"/>
      </w:r>
      <w:r>
        <w:t xml:space="preserve"> </w:t>
      </w:r>
      <w:r>
        <w:t xml:space="preserve">These charitable purposes can include being used towards elevated places of the Cause, such as the maintenance of the pilgrimage sites in Shíráz and Baghdád and Mashriqu’l-Adhkárs. The trustees elevate the Cause, but not themselves. Finally, these endowments could be used to safeguard Bahá’u’lláh’s Word, promote translation efforts, and publish Bahá’u’lláh’s Word.</w:t>
      </w:r>
    </w:p>
    <w:p>
      <w:pPr>
        <w:pStyle w:val="BodyText"/>
      </w:pPr>
      <w:r>
        <w:t xml:space="preserve">Role #2 Representatives of God: The foundation is to be an advocate on behalf of God, with full accountability for their actions and decisions. This would be the public facing role. An example would be to share the nine Illuminations from the Tablet of Ishráqát to leaders, organize or support the organization of public dialogue focused on the teachings of Bahá’u’lláh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Bahá’u’lláh’s Word is not altered, nor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by being vigilant.</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pPr>
        <w:pStyle w:val="BodyText"/>
      </w:pPr>
      <w:r>
        <w:t xml:space="preserve">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 trustees of one Cause, each guarding the other from injustice.</w:t>
      </w:r>
    </w:p>
    <w:p>
      <w:pPr>
        <w:pStyle w:val="BodyText"/>
      </w:pPr>
      <w:r>
        <w:rPr>
          <w:iCs/>
          <w:i/>
        </w:rPr>
        <w:t xml:space="preserve">Reflection: How can a community share the Cause in ways that invite conscience and love, while making it impossible for propagation to become pressure, branding, or conquest?</w:t>
      </w:r>
    </w:p>
    <w:p>
      <w:pPr>
        <w:pStyle w:val="BodyText"/>
      </w:pPr>
      <w:r>
        <w:t xml:space="preserve">When propagation has been successful to a degree the people are pleased with, the people may choose to consult on whether to give the House its second authority.</w:t>
      </w:r>
    </w:p>
    <w:bookmarkEnd w:id="864"/>
    <w:bookmarkStart w:id="865"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in how to educate, mentor, and counsel youth, families, and adults of all ages. Voluntary programs might be established for moral education or developing spiritual habits.</w:t>
      </w:r>
    </w:p>
    <w:p>
      <w:pPr>
        <w:pStyle w:val="BodyText"/>
      </w:pPr>
      <w:r>
        <w:t xml:space="preserve">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pPr>
        <w:pStyle w:val="BodyText"/>
      </w:pPr>
      <w:r>
        <w:t xml:space="preserve">Role #4 Dawning places of His command: The House consults on ways to transform Bahá’u’lláh’s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pPr>
        <w:pStyle w:val="BodyText"/>
      </w:pPr>
      <w:r>
        <w:rPr>
          <w:iCs/>
          <w:i/>
        </w:rPr>
        <w:t xml:space="preserve">Reflection: What practices help moral nurture stay voluntary and compassionate, so refinement strengthens dignity and joy rather than producing shame or surveillance?</w:t>
      </w:r>
    </w:p>
    <w:p>
      <w:pPr>
        <w:pStyle w:val="BodyText"/>
      </w:pPr>
      <w:r>
        <w:t xml:space="preserve">When the moral character of the community is sufficiently reflected in their deeds and well being, the people may decide to consult on granting the House of Justice the third authority.</w:t>
      </w:r>
    </w:p>
    <w:bookmarkEnd w:id="865"/>
    <w:bookmarkStart w:id="866"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pPr>
        <w:pStyle w:val="BodyText"/>
      </w:pPr>
      <w:r>
        <w:t xml:space="preserve">Role #2 Representatives of God: The members of the House are the representatives of honor. They may choose to host or attend forums, media, and other public 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rPr>
          <w:iCs/>
          <w:i/>
        </w:rPr>
        <w:t xml:space="preserve">Reflection: When honor is threatened, what does justice look like that heals the wounded and restrains the aggressor, without turning protection into vengeance or permanent stigma?</w:t>
      </w:r>
    </w:p>
    <w:p>
      <w:pPr>
        <w:pStyle w:val="BodyText"/>
      </w:pPr>
      <w:r>
        <w:t xml:space="preserve">When the honor of the people is increasingly and sufficiently preserved, the people may decide to consult on granting the House of Justice the fourth authority.</w:t>
      </w:r>
    </w:p>
    <w:bookmarkEnd w:id="866"/>
    <w:bookmarkStart w:id="867"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 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 in any potential needs being under 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rPr>
          <w:iCs/>
          <w:i/>
        </w:rPr>
        <w:t xml:space="preserve">Reflection: As a city develops materially, what safeguards ensure prosperity remains a servant of the soul, so planning and infrastructure deepen unity and protect the vulnerable instead of rewarding power?</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67"/>
    <w:bookmarkStart w:id="868"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protects the people’s rights, the laws are enforced fairly, and any judgments reflect the principles of consultation Bahá’u’lláh taught us. Once again, consultation is the foundation of trusteeship and when done correctly, is guided by the Holy Spirit from God.</w:t>
      </w:r>
    </w:p>
    <w:p>
      <w:pPr>
        <w:pStyle w:val="BodyText"/>
      </w:pPr>
      <w:r>
        <w:t xml:space="preserve">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pPr>
        <w:pStyle w:val="BodyText"/>
      </w:pPr>
      <w:r>
        <w:t xml:space="preserve">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pPr>
        <w:pStyle w:val="BodyText"/>
      </w:pPr>
      <w:r>
        <w:t xml:space="preserve">Role #4 Dawning places of His command: This final role, in my opinion, is the pinnacle of the entire revelation of God through Bahá’u’lláh. Every law revealed in the Kitáb-i-Aqdas is in effect. The implementation of this divine law is not only a dawning place of His command, but the dawning place of a new era for the city, and potentially humankind.</w:t>
      </w:r>
    </w:p>
    <w:p>
      <w:pPr>
        <w:pStyle w:val="BodyText"/>
      </w:pPr>
      <w:r>
        <w:rPr>
          <w:iCs/>
          <w:i/>
        </w:rPr>
        <w:t xml:space="preserve">Reflection: If governance is granted, what permanent limits, transparency, and accountability keep law and protection rooted in consultation and trust, so authority never becomes self preserving or coercive?</w:t>
      </w:r>
    </w:p>
    <w:p>
      <w:pPr>
        <w:pStyle w:val="BodyText"/>
      </w:pPr>
      <w:r>
        <w:t xml:space="preserve">With those limits in mind, the next section clarifies what the text explicitly refuses to authorize.</w:t>
      </w:r>
    </w:p>
    <w:bookmarkEnd w:id="868"/>
    <w:bookmarkEnd w:id="869"/>
    <w:bookmarkStart w:id="870" w:name="what-is-not-mentioned"/>
    <w:p>
      <w:pPr>
        <w:pStyle w:val="Heading2"/>
      </w:pPr>
      <w:r>
        <w:t xml:space="preserve">22.4 What is Not Mentioned</w:t>
      </w:r>
    </w:p>
    <w:p>
      <w:pPr>
        <w:pStyle w:val="FirstParagraph"/>
      </w:pPr>
      <w:r>
        <w:t xml:space="preserve">Bahá’u’lláh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Bahá’u’lláh. My perspective is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in the unveiling and understanding of Bahá’u’lláh’s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pPr>
        <w:pStyle w:val="BodyText"/>
      </w:pPr>
      <w:r>
        <w:rPr>
          <w:iCs/>
          <w:i/>
        </w:rPr>
        <w:t xml:space="preserve">Reflection: When a community names what an institution cannot do, how does that protect conscience and dignity for everyone?</w:t>
      </w:r>
    </w:p>
    <w:p>
      <w:pPr>
        <w:pStyle w:val="BodyText"/>
      </w:pPr>
      <w:r>
        <w:t xml:space="preserve">That boundary setting prepares us to consider how authority can scale without becoming centralized domination.</w:t>
      </w:r>
    </w:p>
    <w:bookmarkEnd w:id="870"/>
    <w:bookmarkStart w:id="877" w:name="scope-of-authority-beyond-the-cities"/>
    <w:p>
      <w:pPr>
        <w:pStyle w:val="Heading2"/>
      </w:pPr>
      <w:r>
        <w:t xml:space="preserve">22.5 Scope of Authority Beyond the Cities</w:t>
      </w:r>
    </w:p>
    <w:p>
      <w:pPr>
        <w:pStyle w:val="FirstParagraph"/>
      </w:pPr>
      <w:r>
        <w:t xml:space="preserve">Bahá’u’lláh says</w:t>
      </w:r>
      <w:r>
        <w:t xml:space="preserve"> </w:t>
      </w:r>
      <w:r>
        <w:t xml:space="preserve">“</w:t>
      </w:r>
      <w:r>
        <w:t xml:space="preserve">all matters of State should be referred to the House of Justice.</w:t>
      </w:r>
      <w:r>
        <w:t xml:space="preserve">”</w:t>
      </w:r>
      <w:r>
        <w:rPr>
          <w:rStyle w:val="FootnoteReference"/>
        </w:rPr>
        <w:footnoteReference w:id="871"/>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72" w:name="state-level"/>
    <w:p>
      <w:pPr>
        <w:pStyle w:val="Heading3"/>
      </w:pPr>
      <w:r>
        <w:t xml:space="preserve">22.5.1 State Level</w:t>
      </w:r>
    </w:p>
    <w:p>
      <w:pPr>
        <w:pStyle w:val="FirstParagraph"/>
      </w:pPr>
      <w:r>
        <w:t xml:space="preserve">A House of Justice can be established which has the authority of the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pPr>
        <w:pStyle w:val="BodyText"/>
      </w:pPr>
      <w:r>
        <w:t xml:space="preserve">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72"/>
    <w:bookmarkStart w:id="876" w:name="worldwide"/>
    <w:p>
      <w:pPr>
        <w:pStyle w:val="Heading3"/>
      </w:pPr>
      <w:r>
        <w:t xml:space="preserve">22.5.2 Worldwide</w:t>
      </w:r>
    </w:p>
    <w:p>
      <w:pPr>
        <w:pStyle w:val="FirstParagraph"/>
      </w:pPr>
      <w:r>
        <w:t xml:space="preserve">Bahá’u’lláh also teaches the trustees of the House of Justice to adopt one language (or create one) and choose one script, so that the children of the world may appear in one homeland.</w:t>
      </w:r>
      <w:r>
        <w:rPr>
          <w:rStyle w:val="FootnoteReference"/>
        </w:rPr>
        <w:footnoteReference w:id="873"/>
      </w:r>
      <w:r>
        <w:t xml:space="preserve"> </w:t>
      </w:r>
      <w:r>
        <w:t xml:space="preserve">This is a foundation in loving the world instead of having pride in their homeland. He adds the ministers of the House of Justice must implement the Most Great Peace.</w:t>
      </w:r>
      <w:r>
        <w:rPr>
          <w:rStyle w:val="FootnoteReference"/>
        </w:rPr>
        <w:footnoteReference w:id="874"/>
      </w:r>
      <w:r>
        <w:t xml:space="preserve"> </w:t>
      </w:r>
      <w:r>
        <w:t xml:space="preserve">The Most Great Peace is the unification of the world’s parties or the unification of the world’s religion.</w:t>
      </w:r>
      <w:r>
        <w:rPr>
          <w:rStyle w:val="FootnoteReference"/>
        </w:rPr>
        <w:footnoteReference w:id="875"/>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be established with these sole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as their people recognize there is one God who has guided each of them. This pathway would indirectly lead people towards Bahá’u’lláh.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pPr>
        <w:pStyle w:val="BodyText"/>
      </w:pPr>
      <w:r>
        <w:t xml:space="preserve">If there did end 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 down mechanism.</w:t>
      </w:r>
    </w:p>
    <w:p>
      <w:pPr>
        <w:pStyle w:val="BodyText"/>
      </w:pPr>
      <w:r>
        <w:rPr>
          <w:iCs/>
          <w:i/>
        </w:rPr>
        <w:t xml:space="preserve">Reflection: How does a vision of worldwide unity stay grounded in local consent, humility, and earned trust?</w:t>
      </w:r>
    </w:p>
    <w:p>
      <w:pPr>
        <w:pStyle w:val="BodyText"/>
      </w:pPr>
      <w:r>
        <w:t xml:space="preserve">That grounding becomes clearer in the closing section, where the chapter’s thread is gathered and the next chapter is introduced.</w:t>
      </w:r>
    </w:p>
    <w:bookmarkEnd w:id="876"/>
    <w:bookmarkEnd w:id="877"/>
    <w:bookmarkStart w:id="878" w:name="the-rest-of-part-4"/>
    <w:p>
      <w:pPr>
        <w:pStyle w:val="Heading2"/>
      </w:pPr>
      <w:r>
        <w:t xml:space="preserve">22.6 The Rest of Part 4</w:t>
      </w:r>
    </w:p>
    <w:p>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 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 This is not coincidence. It is the same pattern Bahá’u’lláh embedded everywhere. From One comes many, and from many, if the work is done faithfully, comes the Most Great Peace. True liberation was never only personal. It was always also this.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w:t>
      </w:r>
    </w:p>
    <w:p>
      <w:pPr>
        <w:pStyle w:val="BodyText"/>
      </w:pPr>
      <w:r>
        <w:t xml:space="preserve">These teachings make up a large part of the Kitáb-i-Aqdas and many of His unsolicited teachings.</w:t>
      </w:r>
    </w:p>
    <w:p>
      <w:r>
        <w:br w:type="page"/>
      </w:r>
    </w:p>
    <w:bookmarkEnd w:id="878"/>
    <w:bookmarkEnd w:id="879"/>
    <w:bookmarkStart w:id="943" w:name="political-leadership"/>
    <w:p>
      <w:pPr>
        <w:pStyle w:val="Heading1"/>
      </w:pPr>
      <w:r>
        <w:t xml:space="preserve">23. Political Leadership</w:t>
      </w:r>
    </w:p>
    <w:bookmarkStart w:id="881" w:name="introduction-8"/>
    <w:p>
      <w:pPr>
        <w:pStyle w:val="Heading2"/>
      </w:pPr>
      <w:r>
        <w:t xml:space="preserve">23.1 Introduction</w:t>
      </w:r>
    </w:p>
    <w:p>
      <w:pPr>
        <w:pStyle w:val="FirstParagraph"/>
      </w:pPr>
      <w:r>
        <w:t xml:space="preserve">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880"/>
      </w:r>
    </w:p>
    <w:p>
      <w:pPr>
        <w:pStyle w:val="BodyText"/>
      </w:pPr>
      <w:r>
        <w:t xml:space="preserve">The Epistle to the Son of the Wolf provides a great example of Bahá’u’lláh’s vision. In addressing a Shaykh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derived authority is not a gift to the monarch’s ego, but a high stakes stewardship. If a king is the</w:t>
      </w:r>
      <w:r>
        <w:t xml:space="preserve"> </w:t>
      </w:r>
      <w:r>
        <w:t xml:space="preserve">‘</w:t>
      </w:r>
      <w:r>
        <w:t xml:space="preserve">shadow of God,</w:t>
      </w:r>
      <w:r>
        <w:t xml:space="preserve">’</w:t>
      </w:r>
      <w:r>
        <w:t xml:space="preserve"> </w:t>
      </w:r>
      <w:r>
        <w:t xml:space="preserve">then his actions must provide the same</w:t>
      </w:r>
      <w:r>
        <w:t xml:space="preserve"> </w:t>
      </w:r>
      <w:r>
        <w:t xml:space="preserve">‘</w:t>
      </w:r>
      <w:r>
        <w:t xml:space="preserve">shade</w:t>
      </w:r>
      <w:r>
        <w:t xml:space="preserve">’</w:t>
      </w:r>
      <w:r>
        <w:t xml:space="preserve"> </w:t>
      </w:r>
      <w:r>
        <w:t xml:space="preserve">including protection, mercy, and justice, that which God provides to all. When the shadow grows cold or oppressive, it ceases to reflect the Sun. This chapter will consider the derived authority from God a monarch may express, how the government derives its authority from the monarch, their responsibilities, potential opportunities leaders had in Bahá’u’lláh’s time, and promises and prophecy God makes to certain lands (and the people therein). As seen in Bahá’u’lláh quoting both Jesus Christ and Muḥammad, this has been a consistent teaching of God for thousands of years. Bahá’u’lláh gives us the framework to achieve this.</w:t>
      </w:r>
    </w:p>
    <w:p>
      <w:pPr>
        <w:pStyle w:val="BodyText"/>
      </w:pPr>
      <w:r>
        <w:rPr>
          <w:iCs/>
          <w:i/>
        </w:rPr>
        <w:t xml:space="preserve">Reflection: When political authority claims to be derived from God, what visible signs must prove that it protects the vulnerable rather than flattering the powerful?</w:t>
      </w:r>
    </w:p>
    <w:p>
      <w:pPr>
        <w:pStyle w:val="BodyText"/>
      </w:pPr>
      <w:r>
        <w:t xml:space="preserve">This question frames the opportunities given to rulers, and the costs of ignoring them.</w:t>
      </w:r>
    </w:p>
    <w:bookmarkEnd w:id="881"/>
    <w:bookmarkStart w:id="889" w:name="X7ec14f159f9b788c5d5203a4150e68fae46dac7"/>
    <w:p>
      <w:pPr>
        <w:pStyle w:val="Heading2"/>
      </w:pPr>
      <w:r>
        <w:t xml:space="preserve">23.2 Opportunities of Sovereign Leaders in Bahá’u’lláh’s Time</w:t>
      </w:r>
    </w:p>
    <w:p>
      <w:pPr>
        <w:pStyle w:val="FirstParagraph"/>
      </w:pPr>
      <w:r>
        <w:t xml:space="preserve">Bahá’u’lláh addressed several sovereign leaders and the opportunities presented to them, in the Kitáb-i-Aqdas and elsewhere. This section will briefly share some of these opportunities.</w:t>
      </w:r>
    </w:p>
    <w:bookmarkStart w:id="883" w:name="to-the-emperor-of-austria-franz-joseph-i"/>
    <w:p>
      <w:pPr>
        <w:pStyle w:val="Heading3"/>
      </w:pPr>
      <w:r>
        <w:t xml:space="preserve">23.2.1 To the Emperor of Austria (Franz Joseph I)</w:t>
      </w:r>
    </w:p>
    <w:p>
      <w:pPr>
        <w:pStyle w:val="FirstParagraph"/>
      </w:pPr>
      <w:r>
        <w:t xml:space="preserve">He visited Al Aqsa Mosque in Jerusalem in Year 25 BE (1869) but did not enquire about Bahá’u’lláh, nor sense Him.</w:t>
      </w:r>
      <w:r>
        <w:rPr>
          <w:rStyle w:val="FootnoteReference"/>
        </w:rPr>
        <w:footnoteReference w:id="882"/>
      </w:r>
      <w:r>
        <w:t xml:space="preserve"> </w:t>
      </w:r>
      <w:r>
        <w:t xml:space="preserve">Bahá’u’lláh was with the Emperor in all conditions, but the Emperor was clinging to the branch but heedless of the root. Bahá’u’lláh invited the Emperor to recognize Him instead of clinging to a prior Branch. Emperor Franz Joseph I missed the opportunity to express his belief in Jesus Christ by recognizing Him in a new name. Franz was a well respected sovereign and reigned for 68 years until his death in Year 72 bE (1916). The empire of Austria ended with his death, an outcome of World War I which started with his declaration of war against Serbia after the assassination of his heir.</w:t>
      </w:r>
    </w:p>
    <w:bookmarkEnd w:id="883"/>
    <w:bookmarkStart w:id="885" w:name="to-the-king-of-berlin-wilhelm-i"/>
    <w:p>
      <w:pPr>
        <w:pStyle w:val="Heading3"/>
      </w:pPr>
      <w:r>
        <w:t xml:space="preserve">23.2.2 To the King of Berlin (Wilhelm I)</w:t>
      </w:r>
    </w:p>
    <w:p>
      <w:pPr>
        <w:pStyle w:val="FirstParagraph"/>
      </w:pPr>
      <w:r>
        <w:t xml:space="preserve">The Second Reich of the German Empire was formed in Year 26 BE (1870), just 3 years prior to the revealing of the Kitáb-i-Aqdas. Bahá’u’lláh addresses Emperor Wilhelm I</w:t>
      </w:r>
      <w:r>
        <w:rPr>
          <w:rStyle w:val="FootnoteReference"/>
        </w:rPr>
        <w:footnoteReference w:id="884"/>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bookmarkEnd w:id="885"/>
    <w:bookmarkStart w:id="886" w:name="regarding-napoleon-iii-of-france"/>
    <w:p>
      <w:pPr>
        <w:pStyle w:val="Heading3"/>
      </w:pPr>
      <w:r>
        <w:t xml:space="preserve">23.2.3 Regarding Napoleon III of France</w:t>
      </w:r>
    </w:p>
    <w:p>
      <w:pPr>
        <w:pStyle w:val="FirstParagraph"/>
      </w:pPr>
      <w:r>
        <w:t xml:space="preserve">When Bahá’u’lláh reminded Wilhelm I of the prior king, He was referencing a fulfilled prophecy to Napoleon III of France. In the Súríy-i-Haykal, Bahá’u’lláh addressed Pope Pius IX of Rome, Czar Alexander III of Russia, Queen Victoria of Great Britain, and Nāṣiri’d-Dín Sháh of Persia in addition to Napoleon III. Bahá’u’lláh in Year 24 BE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bookmarkEnd w:id="886"/>
    <w:bookmarkStart w:id="888" w:name="X7c44f43882707f29785768033f582fdea3acecb"/>
    <w:p>
      <w:pPr>
        <w:pStyle w:val="Heading3"/>
      </w:pPr>
      <w:r>
        <w:t xml:space="preserve">23.2.4 To the Kings and Presidents of the Americas</w:t>
      </w:r>
    </w:p>
    <w:p>
      <w:pPr>
        <w:pStyle w:val="FirstParagraph"/>
      </w:pPr>
      <w:r>
        <w:t xml:space="preserve">By Year 29 BE (1873), the western hemisphere had largely become comprised of several new republics, starting with the United States of America in Year -68 BE (1776). There was one independent King, Pedro II of Brazil, although descended from Austria’s House of Habsburg. Europe also exercised colonial rule over many other lands.</w:t>
      </w:r>
    </w:p>
    <w:p>
      <w:pPr>
        <w:pStyle w:val="BodyText"/>
      </w:pPr>
      <w:r>
        <w:t xml:space="preserve">Bahá’u’lláh instructs the Kings and Presidents to adorn the temple of dominion with the raiment of justice and piety, and its head with the crown of the remembrance of your Lord.</w:t>
      </w:r>
      <w:r>
        <w:rPr>
          <w:rStyle w:val="FootnoteReference"/>
        </w:rPr>
        <w:footnoteReference w:id="887"/>
      </w:r>
      <w:r>
        <w:t xml:space="preserve"> </w:t>
      </w:r>
      <w:r>
        <w:t xml:space="preserve">Bahá’u’lláh did not promise the Americas would be the light of justice and piety, but it was their responsibility to do so.</w:t>
      </w:r>
    </w:p>
    <w:p>
      <w:pPr>
        <w:pStyle w:val="BodyText"/>
      </w:pPr>
      <w:r>
        <w:t xml:space="preserve">Appendix 7 offers a table outlining the leaders of the world in Year 29 BE (1873). The idea is to provide context for the Kitáb-i-Aqdas’s place in both time and space. Maybe you may ask yourself, did these nations seize the opportunity or let the opportunity pass away? Do these opportunities still exist? As we see in the examples of the monarchs of Austria, Prussia, and France, empires will fall if they proclaim themselves to be</w:t>
      </w:r>
      <w:r>
        <w:t xml:space="preserve"> </w:t>
      </w:r>
      <w:r>
        <w:t xml:space="preserve">“</w:t>
      </w:r>
      <w:r>
        <w:t xml:space="preserve">the one.</w:t>
      </w:r>
      <w:r>
        <w:t xml:space="preserve">”</w:t>
      </w:r>
      <w:r>
        <w:t xml:space="preserve"> </w:t>
      </w:r>
      <w:r>
        <w:t xml:space="preserve">What happens when the mathematics change and we are recognized to be an integral fraction of the One?</w:t>
      </w:r>
    </w:p>
    <w:p>
      <w:pPr>
        <w:pStyle w:val="BodyText"/>
      </w:pPr>
      <w:r>
        <w:t xml:space="preserve">I believe where these opportunities were not acted on, these opportunities still exist. It is never too late to adorn the temple of dominion with the raiment of justice and piety.</w:t>
      </w:r>
    </w:p>
    <w:p>
      <w:pPr>
        <w:pStyle w:val="BodyText"/>
      </w:pPr>
      <w:r>
        <w:rPr>
          <w:iCs/>
          <w:i/>
        </w:rPr>
        <w:t xml:space="preserve">Reflection: If rulers are warned and invited by God, what responsibilities fall on nations and citizens when leaders refuse the invitation, or accept it only in words?</w:t>
      </w:r>
    </w:p>
    <w:p>
      <w:pPr>
        <w:pStyle w:val="BodyText"/>
      </w:pPr>
      <w:r>
        <w:t xml:space="preserve">This reflection leads into the shared foundations of leadership, because the monarch is not a different species of soul.</w:t>
      </w:r>
    </w:p>
    <w:bookmarkEnd w:id="888"/>
    <w:bookmarkEnd w:id="889"/>
    <w:bookmarkStart w:id="927" w:name="roles-and-responsibilities-of-monarchs"/>
    <w:p>
      <w:pPr>
        <w:pStyle w:val="Heading2"/>
      </w:pPr>
      <w:r>
        <w:t xml:space="preserve">23.3 Roles and Responsibilities of Monarchs</w:t>
      </w:r>
    </w:p>
    <w:bookmarkStart w:id="890"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pPr>
        <w:pStyle w:val="BodyText"/>
      </w:pPr>
      <w:r>
        <w:t xml:space="preserve">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bookmarkEnd w:id="890"/>
    <w:bookmarkStart w:id="925" w:name="beyond-shared-foundations"/>
    <w:p>
      <w:pPr>
        <w:pStyle w:val="Heading3"/>
      </w:pPr>
      <w:r>
        <w:t xml:space="preserve">23.3.2 Beyond Shared Foundations</w:t>
      </w:r>
    </w:p>
    <w:p>
      <w:pPr>
        <w:pStyle w:val="FirstParagraph"/>
      </w:pPr>
      <w:r>
        <w:t xml:space="preserve">The Kitáb-i-Aqdas and Súríy-i-Mulúk (The Tablet to the Kings) outline specific responsibilities monarchs have. This section will list these responsibilities:</w:t>
      </w:r>
    </w:p>
    <w:bookmarkStart w:id="898" w:name="spiritual-foundations-of-leadership"/>
    <w:p>
      <w:pPr>
        <w:pStyle w:val="Heading4"/>
      </w:pPr>
      <w:r>
        <w:t xml:space="preserve">23.3.2.1 Spiritual Foundations of Leadership</w:t>
      </w:r>
    </w:p>
    <w:p>
      <w:pPr>
        <w:numPr>
          <w:ilvl w:val="0"/>
          <w:numId w:val="1016"/>
        </w:numPr>
      </w:pPr>
      <w:r>
        <w:t xml:space="preserve">Purify yourself from the wealth of the world, do not be preoccupied with wealth</w:t>
      </w:r>
      <w:r>
        <w:rPr>
          <w:rStyle w:val="FootnoteReference"/>
        </w:rPr>
        <w:footnoteReference w:id="891"/>
      </w:r>
    </w:p>
    <w:p>
      <w:pPr>
        <w:numPr>
          <w:ilvl w:val="0"/>
          <w:numId w:val="1016"/>
        </w:numPr>
      </w:pPr>
      <w:r>
        <w:t xml:space="preserve">Take from the world only what is sufficient, leaving what is excessive</w:t>
      </w:r>
      <w:r>
        <w:rPr>
          <w:rStyle w:val="FootnoteReference"/>
        </w:rPr>
        <w:footnoteReference w:id="892"/>
      </w:r>
    </w:p>
    <w:p>
      <w:pPr>
        <w:numPr>
          <w:ilvl w:val="0"/>
          <w:numId w:val="1016"/>
        </w:numPr>
      </w:pPr>
      <w:r>
        <w:t xml:space="preserve">Do not let the love of others enter your heart, let the love of God rule the heart so you may know Oneness</w:t>
      </w:r>
      <w:r>
        <w:rPr>
          <w:rStyle w:val="FootnoteReference"/>
        </w:rPr>
        <w:footnoteReference w:id="893"/>
      </w:r>
    </w:p>
    <w:p>
      <w:pPr>
        <w:numPr>
          <w:ilvl w:val="0"/>
          <w:numId w:val="1016"/>
        </w:numPr>
      </w:pPr>
      <w:r>
        <w:t xml:space="preserve">Act as vassals of God and rise to serve the Purpose for which you were created</w:t>
      </w:r>
      <w:r>
        <w:rPr>
          <w:rStyle w:val="FootnoteReference"/>
        </w:rPr>
        <w:footnoteReference w:id="894"/>
      </w:r>
    </w:p>
    <w:p>
      <w:pPr>
        <w:numPr>
          <w:ilvl w:val="0"/>
          <w:numId w:val="1016"/>
        </w:numPr>
      </w:pPr>
      <w:r>
        <w:t xml:space="preserve">You are the shadow of God on earth</w:t>
      </w:r>
      <w:r>
        <w:rPr>
          <w:rStyle w:val="FootnoteReference"/>
        </w:rPr>
        <w:footnoteReference w:id="895"/>
      </w:r>
    </w:p>
    <w:p>
      <w:pPr>
        <w:numPr>
          <w:ilvl w:val="0"/>
          <w:numId w:val="1016"/>
        </w:numPr>
      </w:pPr>
      <w:r>
        <w:t xml:space="preserve">Leave your houses (might refer to any dwelling places of monarchs to include palaces) and turn to the Kingdom of God</w:t>
      </w:r>
      <w:r>
        <w:rPr>
          <w:rStyle w:val="FootnoteReference"/>
        </w:rPr>
        <w:footnoteReference w:id="896"/>
      </w:r>
    </w:p>
    <w:p>
      <w:pPr>
        <w:numPr>
          <w:ilvl w:val="0"/>
          <w:numId w:val="1016"/>
        </w:numPr>
      </w:pPr>
      <w:r>
        <w:t xml:space="preserve">Leave your laws and follow the law of God</w:t>
      </w:r>
      <w:r>
        <w:rPr>
          <w:rStyle w:val="FootnoteReference"/>
        </w:rPr>
        <w:footnoteReference w:id="897"/>
      </w:r>
    </w:p>
    <w:bookmarkEnd w:id="898"/>
    <w:bookmarkStart w:id="909" w:name="ethical-foundations-of-leadership"/>
    <w:p>
      <w:pPr>
        <w:pStyle w:val="Heading4"/>
      </w:pPr>
      <w:r>
        <w:t xml:space="preserve">23.3.2.2 Ethical Foundations of Leadership</w:t>
      </w:r>
    </w:p>
    <w:p>
      <w:pPr>
        <w:numPr>
          <w:ilvl w:val="0"/>
          <w:numId w:val="1017"/>
        </w:numPr>
      </w:pPr>
      <w:r>
        <w:t xml:space="preserve">Do not wrong anyone</w:t>
      </w:r>
      <w:r>
        <w:rPr>
          <w:rStyle w:val="FootnoteReference"/>
        </w:rPr>
        <w:footnoteReference w:id="899"/>
      </w:r>
    </w:p>
    <w:p>
      <w:pPr>
        <w:numPr>
          <w:ilvl w:val="0"/>
          <w:numId w:val="1017"/>
        </w:numPr>
      </w:pPr>
      <w:r>
        <w:t xml:space="preserve">Prevent oppressors from their oppression</w:t>
      </w:r>
      <w:r>
        <w:rPr>
          <w:rStyle w:val="FootnoteReference"/>
        </w:rPr>
        <w:footnoteReference w:id="900"/>
      </w:r>
    </w:p>
    <w:p>
      <w:pPr>
        <w:numPr>
          <w:ilvl w:val="0"/>
          <w:numId w:val="1017"/>
        </w:numPr>
      </w:pPr>
      <w:r>
        <w:t xml:space="preserve">Secure the rights of the oppressed</w:t>
      </w:r>
      <w:r>
        <w:rPr>
          <w:rStyle w:val="FootnoteReference"/>
        </w:rPr>
        <w:footnoteReference w:id="901"/>
      </w:r>
    </w:p>
    <w:p>
      <w:pPr>
        <w:numPr>
          <w:ilvl w:val="0"/>
          <w:numId w:val="1017"/>
        </w:numPr>
      </w:pPr>
      <w:r>
        <w:t xml:space="preserve">Examine the affairs of people before issuing judgments or punishments</w:t>
      </w:r>
      <w:r>
        <w:rPr>
          <w:rStyle w:val="FootnoteReference"/>
        </w:rPr>
        <w:footnoteReference w:id="902"/>
      </w:r>
    </w:p>
    <w:p>
      <w:pPr>
        <w:numPr>
          <w:ilvl w:val="0"/>
          <w:numId w:val="1017"/>
        </w:numPr>
      </w:pPr>
      <w:r>
        <w:t xml:space="preserve">Do not punish those who do not disobey your laws</w:t>
      </w:r>
      <w:r>
        <w:rPr>
          <w:rStyle w:val="FootnoteReference"/>
        </w:rPr>
        <w:footnoteReference w:id="903"/>
      </w:r>
    </w:p>
    <w:p>
      <w:pPr>
        <w:numPr>
          <w:ilvl w:val="0"/>
          <w:numId w:val="1017"/>
        </w:numPr>
      </w:pPr>
      <w:r>
        <w:t xml:space="preserve">Recompense the debts of those wrongfully punished</w:t>
      </w:r>
      <w:r>
        <w:rPr>
          <w:rStyle w:val="FootnoteReference"/>
        </w:rPr>
        <w:footnoteReference w:id="904"/>
      </w:r>
    </w:p>
    <w:p>
      <w:pPr>
        <w:numPr>
          <w:ilvl w:val="0"/>
          <w:numId w:val="1017"/>
        </w:numPr>
      </w:pPr>
      <w:r>
        <w:t xml:space="preserve">Do not take people’s money unjustly (bribes, blackmail, etc)</w:t>
      </w:r>
      <w:r>
        <w:rPr>
          <w:rStyle w:val="FootnoteReference"/>
        </w:rPr>
        <w:footnoteReference w:id="905"/>
      </w:r>
    </w:p>
    <w:p>
      <w:pPr>
        <w:numPr>
          <w:ilvl w:val="0"/>
          <w:numId w:val="1017"/>
        </w:numPr>
      </w:pPr>
      <w:r>
        <w:t xml:space="preserve">If a wicked person brings you news, verify it</w:t>
      </w:r>
      <w:r>
        <w:rPr>
          <w:rStyle w:val="FootnoteReference"/>
        </w:rPr>
        <w:footnoteReference w:id="906"/>
      </w:r>
    </w:p>
    <w:p>
      <w:pPr>
        <w:numPr>
          <w:ilvl w:val="0"/>
          <w:numId w:val="1017"/>
        </w:numPr>
      </w:pPr>
      <w:r>
        <w:t xml:space="preserve">Beware of listening to words of malice and hypocrisy</w:t>
      </w:r>
      <w:r>
        <w:rPr>
          <w:rStyle w:val="FootnoteReference"/>
        </w:rPr>
        <w:footnoteReference w:id="907"/>
      </w:r>
    </w:p>
    <w:p>
      <w:pPr>
        <w:numPr>
          <w:ilvl w:val="0"/>
          <w:numId w:val="1017"/>
        </w:numPr>
      </w:pPr>
      <w:r>
        <w:t xml:space="preserve">Do not impose upon others what you cannot bear yourselves</w:t>
      </w:r>
      <w:r>
        <w:rPr>
          <w:rStyle w:val="FootnoteReference"/>
        </w:rPr>
        <w:footnoteReference w:id="908"/>
      </w:r>
    </w:p>
    <w:bookmarkEnd w:id="909"/>
    <w:bookmarkStart w:id="914" w:name="economic-foundations-of-leadership"/>
    <w:p>
      <w:pPr>
        <w:pStyle w:val="Heading4"/>
      </w:pPr>
      <w:r>
        <w:t xml:space="preserve">23.3.2.3 Economic Foundations of Leadership</w:t>
      </w:r>
    </w:p>
    <w:p>
      <w:pPr>
        <w:numPr>
          <w:ilvl w:val="0"/>
          <w:numId w:val="1018"/>
        </w:numPr>
      </w:pPr>
      <w:r>
        <w:t xml:space="preserve">Do not impose your expenses on your subjects beyond their capacity (do not over tax)</w:t>
      </w:r>
      <w:r>
        <w:rPr>
          <w:rStyle w:val="FootnoteReference"/>
        </w:rPr>
        <w:footnoteReference w:id="910"/>
      </w:r>
    </w:p>
    <w:p>
      <w:pPr>
        <w:numPr>
          <w:ilvl w:val="0"/>
          <w:numId w:val="1018"/>
        </w:numPr>
      </w:pPr>
      <w:r>
        <w:t xml:space="preserve">Do not betray your trusteeship to the poor</w:t>
      </w:r>
      <w:r>
        <w:rPr>
          <w:rStyle w:val="FootnoteReference"/>
        </w:rPr>
        <w:footnoteReference w:id="911"/>
      </w:r>
    </w:p>
    <w:p>
      <w:pPr>
        <w:numPr>
          <w:ilvl w:val="0"/>
          <w:numId w:val="1018"/>
        </w:numPr>
      </w:pPr>
      <w:r>
        <w:t xml:space="preserve">Spend on servants according to their need, not according to what they hoard or use for adornment, so that none are in need nor hoarding</w:t>
      </w:r>
      <w:r>
        <w:rPr>
          <w:rStyle w:val="FootnoteReference"/>
        </w:rPr>
        <w:footnoteReference w:id="912"/>
      </w:r>
    </w:p>
    <w:p>
      <w:pPr>
        <w:numPr>
          <w:ilvl w:val="0"/>
          <w:numId w:val="1018"/>
        </w:numPr>
      </w:pPr>
      <w:r>
        <w:t xml:space="preserve">It is not fitting to have some in abundance and others in clear poverty and humiliation</w:t>
      </w:r>
      <w:r>
        <w:rPr>
          <w:rStyle w:val="FootnoteReference"/>
        </w:rPr>
        <w:footnoteReference w:id="913"/>
      </w:r>
    </w:p>
    <w:bookmarkEnd w:id="914"/>
    <w:bookmarkStart w:id="919" w:name="X958563855d42b76a0a0a4074ecac59651baa9be"/>
    <w:p>
      <w:pPr>
        <w:pStyle w:val="Heading4"/>
      </w:pPr>
      <w:r>
        <w:t xml:space="preserve">23.3.2.4 Safety and Security Foundations of Leadership</w:t>
      </w:r>
    </w:p>
    <w:p>
      <w:pPr>
        <w:numPr>
          <w:ilvl w:val="0"/>
          <w:numId w:val="1019"/>
        </w:numPr>
      </w:pPr>
      <w:r>
        <w:t xml:space="preserve">Reduce your armies so that your expenses decrease</w:t>
      </w:r>
      <w:r>
        <w:rPr>
          <w:rStyle w:val="FootnoteReference"/>
        </w:rPr>
        <w:footnoteReference w:id="915"/>
      </w:r>
    </w:p>
    <w:p>
      <w:pPr>
        <w:numPr>
          <w:ilvl w:val="0"/>
          <w:numId w:val="1019"/>
        </w:numPr>
      </w:pPr>
      <w:r>
        <w:t xml:space="preserve">Maintain an army to protect the lands and kingdoms</w:t>
      </w:r>
      <w:r>
        <w:rPr>
          <w:rStyle w:val="FootnoteReference"/>
        </w:rPr>
        <w:footnoteReference w:id="916"/>
      </w:r>
    </w:p>
    <w:p>
      <w:pPr>
        <w:numPr>
          <w:ilvl w:val="0"/>
          <w:numId w:val="1019"/>
        </w:numPr>
      </w:pPr>
      <w:r>
        <w:t xml:space="preserve">Do not wrong those who have migrated to you and protect them</w:t>
      </w:r>
      <w:r>
        <w:rPr>
          <w:rStyle w:val="FootnoteReference"/>
        </w:rPr>
        <w:footnoteReference w:id="917"/>
      </w:r>
    </w:p>
    <w:p>
      <w:pPr>
        <w:numPr>
          <w:ilvl w:val="0"/>
          <w:numId w:val="1019"/>
        </w:numPr>
      </w:pPr>
      <w:r>
        <w:t xml:space="preserve">Reconcile among yourselves (sovereign leaders reconcile with sovereign leaders)</w:t>
      </w:r>
      <w:r>
        <w:rPr>
          <w:rStyle w:val="FootnoteReference"/>
        </w:rPr>
        <w:footnoteReference w:id="918"/>
      </w:r>
    </w:p>
    <w:bookmarkEnd w:id="919"/>
    <w:bookmarkStart w:id="924" w:name="Xda5a0e665a56185be3368296a178c29603483bb"/>
    <w:p>
      <w:pPr>
        <w:pStyle w:val="Heading4"/>
      </w:pPr>
      <w:r>
        <w:t xml:space="preserve">23.3.2.5 Bureaucratic Administrative Foundations of Leadership</w:t>
      </w:r>
    </w:p>
    <w:p>
      <w:pPr>
        <w:numPr>
          <w:ilvl w:val="0"/>
          <w:numId w:val="1020"/>
        </w:numPr>
      </w:pPr>
      <w:r>
        <w:t xml:space="preserve">Respect scholars who act according to their knowledge, follow the limits set by God, and judge according to what God has decreed in His Book</w:t>
      </w:r>
      <w:r>
        <w:rPr>
          <w:rStyle w:val="FootnoteReference"/>
        </w:rPr>
        <w:footnoteReference w:id="920"/>
      </w:r>
    </w:p>
    <w:p>
      <w:pPr>
        <w:numPr>
          <w:ilvl w:val="0"/>
          <w:numId w:val="1020"/>
        </w:numPr>
      </w:pPr>
      <w:r>
        <w:t xml:space="preserve">Do not gather around you agents who abandon their trusts and follow their desires</w:t>
      </w:r>
      <w:r>
        <w:rPr>
          <w:rStyle w:val="FootnoteReference"/>
        </w:rPr>
        <w:footnoteReference w:id="921"/>
      </w:r>
    </w:p>
    <w:p>
      <w:pPr>
        <w:numPr>
          <w:ilvl w:val="0"/>
          <w:numId w:val="1020"/>
        </w:numPr>
      </w:pPr>
      <w:r>
        <w:t xml:space="preserve">Consult with agents who exude the scent of faith and justice</w:t>
      </w:r>
      <w:r>
        <w:rPr>
          <w:rStyle w:val="FootnoteReference"/>
        </w:rPr>
        <w:footnoteReference w:id="922"/>
      </w:r>
    </w:p>
    <w:p>
      <w:pPr>
        <w:numPr>
          <w:ilvl w:val="0"/>
          <w:numId w:val="1020"/>
        </w:numPr>
      </w:pPr>
      <w:r>
        <w:t xml:space="preserve">Do not relinquish control of your affairs to others and do not become complacent</w:t>
      </w:r>
      <w:r>
        <w:rPr>
          <w:rStyle w:val="FootnoteReference"/>
        </w:rPr>
        <w:footnoteReference w:id="923"/>
      </w:r>
    </w:p>
    <w:bookmarkEnd w:id="924"/>
    <w:bookmarkEnd w:id="925"/>
    <w:bookmarkStart w:id="926" w:name="additional-rights-of-monarchs"/>
    <w:p>
      <w:pPr>
        <w:pStyle w:val="Heading3"/>
      </w:pPr>
      <w:r>
        <w:t xml:space="preserve">23.3.3 Additional Rights of Monarchs</w:t>
      </w:r>
    </w:p>
    <w:p>
      <w:pPr>
        <w:pStyle w:val="FirstParagraph"/>
      </w:pPr>
      <w:r>
        <w:t xml:space="preserve">Bahá’u’lláh did not outline any additional rights of monarchs. Once again, what is excluded is quite informative. Bahá’u’lláh does not say the monarch should be concerned about the protection of their government, but only the citizens and lands. I would go as far as to say a government has no right to exist if it fails to operate under the shadow of God, where the rights of its citizens are not protected. This would not mean we destroy the government, but it does demonstrate humankind has matured past the need for oppression to maintain order. Spiritually mature people can mature government from within by changing hearts.</w:t>
      </w:r>
    </w:p>
    <w:p>
      <w:pPr>
        <w:pStyle w:val="BodyText"/>
      </w:pPr>
      <w:r>
        <w:t xml:space="preserve">This is one example and I invite you to consider what other traditional notions of governance are excluded from Bahá’u’lláh’s directives.</w:t>
      </w:r>
    </w:p>
    <w:p>
      <w:pPr>
        <w:pStyle w:val="BodyText"/>
      </w:pPr>
      <w:r>
        <w:rPr>
          <w:iCs/>
          <w:i/>
        </w:rPr>
        <w:t xml:space="preserve">Reflection: If monarchs gain no special rights, only amplified responsibilities, what does that imply about the moral purpose of government itself?</w:t>
      </w:r>
    </w:p>
    <w:p>
      <w:pPr>
        <w:pStyle w:val="BodyText"/>
      </w:pPr>
      <w:r>
        <w:t xml:space="preserve">With that frame, we can now read the addresses to lands as moral diagnostics, not merely historical commentary.</w:t>
      </w:r>
    </w:p>
    <w:bookmarkEnd w:id="926"/>
    <w:bookmarkEnd w:id="927"/>
    <w:bookmarkStart w:id="941" w:name="to-various-lands-and-cities"/>
    <w:p>
      <w:pPr>
        <w:pStyle w:val="Heading2"/>
      </w:pPr>
      <w:r>
        <w:t xml:space="preserve">23.4 To Various Lands and Cities</w:t>
      </w:r>
    </w:p>
    <w:p>
      <w:pPr>
        <w:pStyle w:val="FirstParagraph"/>
      </w:pPr>
      <w:r>
        <w:t xml:space="preserve">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bookmarkStart w:id="929" w:name="to-the-company-of-rome-byzantine-rome"/>
    <w:p>
      <w:pPr>
        <w:pStyle w:val="Heading3"/>
      </w:pPr>
      <w:r>
        <w:t xml:space="preserve">23.4.1 To the Company of Rome (Byzantine Rome)</w:t>
      </w:r>
    </w:p>
    <w:p>
      <w:pPr>
        <w:pStyle w:val="FirstParagraph"/>
      </w:pPr>
      <w:r>
        <w:t xml:space="preserve">Bahá’u’lláh hears the sound of the owl among them.</w:t>
      </w:r>
      <w:r>
        <w:rPr>
          <w:rStyle w:val="FootnoteReference"/>
        </w:rPr>
        <w:footnoteReference w:id="928"/>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Year 29 BE (1873), the Eastern Orthodox Church was a semi autonomous religious entity governed under the Rum millet within the Ottoman Empire. Istanbul at the time was about 50 percent Sunni Muslim (versus over 90 percent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 class citizens.</w:t>
      </w:r>
    </w:p>
    <w:p>
      <w:pPr>
        <w:pStyle w:val="BodyText"/>
      </w:pPr>
      <w:r>
        <w:t xml:space="preserve">When Bahá’u’lláh addresses the company of Rome, Bahá’u’lláh is directly referring to Orthodox Christians governed under the Rum millet, and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Year 29 BE (1873). Massacres of Armenian Christians in Year 50 BE (1894) and Year 65 BE (1909), the Armenian Genocide during World War I, and the aftermath of the Greco Turkish war led to a decline the Church has never recovered from in its historical homeland. These losses were tragic and painful and still form a painful scar for many in eastern Europe.</w:t>
      </w:r>
    </w:p>
    <w:bookmarkEnd w:id="929"/>
    <w:bookmarkStart w:id="930" w:name="Xc2be65f4f28713e41538b9aebde1c51d022aa3f"/>
    <w:p>
      <w:pPr>
        <w:pStyle w:val="Heading3"/>
      </w:pPr>
      <w:r>
        <w:t xml:space="preserve">23.4.2 To the Point on the Shore of Two Seas (Istanbul)</w:t>
      </w:r>
    </w:p>
    <w:p>
      <w:pPr>
        <w:pStyle w:val="FirstParagraph"/>
      </w:pPr>
      <w:r>
        <w:t xml:space="preserve">Bahá’u’lláh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bookmarkEnd w:id="930"/>
    <w:bookmarkStart w:id="932" w:name="to-the-banks-of-the-rhine-river"/>
    <w:p>
      <w:pPr>
        <w:pStyle w:val="Heading3"/>
      </w:pPr>
      <w:r>
        <w:t xml:space="preserve">23.4.3 To the Banks of the Rhine River</w:t>
      </w:r>
    </w:p>
    <w:p>
      <w:pPr>
        <w:pStyle w:val="FirstParagraph"/>
      </w:pPr>
      <w:r>
        <w:t xml:space="preserve">Bahá’u’lláh addresses the rising Second Reich of the German Empire, formed in Year 27 BE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31"/>
      </w:r>
      <w:r>
        <w:t xml:space="preserve"> </w:t>
      </w:r>
      <w:r>
        <w:t xml:space="preserve">The Franco Prussian War was fought in Year 26 BE (1870), another of several wars between France, Prussia (later Germany) which started in the late 1790s. The Napoleonic Wars themselves had an estimated 4 to 6 million casualties, and many battles were fought along the Rhine River. These wars seemed to be a never ending cycle of retribution.</w:t>
      </w:r>
    </w:p>
    <w:p>
      <w:pPr>
        <w:pStyle w:val="BodyText"/>
      </w:pPr>
      <w:r>
        <w:t xml:space="preserve">Bahá’u’lláh includes a prophecy stating that after Year 29 BE (1873), the Rhine River banks will again be covered with blood. The Battles of Marne Years 70 and 74 BE (1914 &amp; 1918) and Verdun Year 72 BE (1916) were fought during World War I. About 1.5 million casualties were reported in these three battles.</w:t>
      </w:r>
    </w:p>
    <w:bookmarkEnd w:id="932"/>
    <w:bookmarkStart w:id="933" w:name="the-lamentation-of-berlin"/>
    <w:p>
      <w:pPr>
        <w:pStyle w:val="Heading3"/>
      </w:pPr>
      <w:r>
        <w:t xml:space="preserve">23.4.4 The Lamentation of Berlin</w:t>
      </w:r>
    </w:p>
    <w:p>
      <w:pPr>
        <w:pStyle w:val="FirstParagraph"/>
      </w:pPr>
      <w:r>
        <w:t xml:space="preserve">Bahá’u’lláh then addresses Berlin, the capital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capital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Year -1044 BE (800). This decentralized kingdom lasted until the Napoleonic War in Year -38 BE (1806), nearly a thousand years of rule between the Roman Catholic Church and Frankish (a German ethnicity)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which mastered an expertise born of the sciences of the world, but abandoned the trusteeship of the soul. Power without the scent of faith inevitably turns into a sword of retribution.</w:t>
      </w:r>
    </w:p>
    <w:bookmarkEnd w:id="933"/>
    <w:bookmarkStart w:id="940" w:name="to-the-lands-within-persia"/>
    <w:p>
      <w:pPr>
        <w:pStyle w:val="Heading3"/>
      </w:pPr>
      <w:r>
        <w:t xml:space="preserve">23.4.5 To the Lands Within Persia</w:t>
      </w:r>
    </w:p>
    <w:p>
      <w:pPr>
        <w:pStyle w:val="FirstParagraph"/>
      </w:pPr>
      <w:r>
        <w:t xml:space="preserve">The next section addresses the people and lands of Persia, where Bahá’u’lláh was born, raised, imprisoned, and exiled from.</w:t>
      </w:r>
    </w:p>
    <w:bookmarkStart w:id="935" w:name="to-the-land-of-ṭā-tehran"/>
    <w:p>
      <w:pPr>
        <w:pStyle w:val="Heading4"/>
      </w:pPr>
      <w:r>
        <w:t xml:space="preserve">23.4.5.1 To The Land of Ṭā (Tehran)</w:t>
      </w:r>
    </w:p>
    <w:p>
      <w:pPr>
        <w:pStyle w:val="FirstParagraph"/>
      </w:pPr>
      <w:r>
        <w:t xml:space="preserve">Bahá’u’lláh describes Tehran as the place where the Dawn of Manifestation was born</w:t>
      </w:r>
      <w:r>
        <w:rPr>
          <w:rStyle w:val="FootnoteReference"/>
        </w:rPr>
        <w:footnoteReference w:id="934"/>
      </w:r>
      <w:r>
        <w:t xml:space="preserve">, referencing the appearance of the Holy Maiden to Him in the Siyáh Chál prison of Tehran in Year 8 BE (1852). Tehran is the source of the world’s joy, so do not grieve over anything. He then offers two promises, one is conditional and the other is not.</w:t>
      </w:r>
    </w:p>
    <w:p>
      <w:pPr>
        <w:pStyle w:val="BodyText"/>
      </w:pPr>
      <w:r>
        <w:t xml:space="preserve">The conditional promise relies on whether God will it or not. This promise is Tehran will be blessed by a sovereign leader who will rule with justice and gather the scattered sheep (believers) from the wolves. He will greet the people of Bahá (those who believe in Bahá’u’lláh) with joy and gladness.</w:t>
      </w:r>
    </w:p>
    <w:p>
      <w:pPr>
        <w:pStyle w:val="BodyText"/>
      </w:pPr>
      <w:r>
        <w:t xml:space="preserve">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The period of turmoil and the period of tranquility are inevitable. It is hard to pinpoint any moment as being the specific turmoil. There was the civil war of Year 64 - 66 BE (1908 - 1910) which ushered a constitutional revolution, the American led coup in Year 109 BE (1953) which replaced the constitution with absolute monarchy, and then the Islamic Revolution of Year 135 BE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bookmarkEnd w:id="935"/>
    <w:bookmarkStart w:id="937" w:name="to-the-land-of-khá-khurasan"/>
    <w:p>
      <w:pPr>
        <w:pStyle w:val="Heading4"/>
      </w:pPr>
      <w:r>
        <w:t xml:space="preserve">23.4.5.2 To the Land of Khá (Khurasan)</w:t>
      </w:r>
    </w:p>
    <w:p>
      <w:pPr>
        <w:pStyle w:val="FirstParagraph"/>
      </w:pPr>
      <w:r>
        <w:t xml:space="preserve">Bahá’u’lláh says</w:t>
      </w:r>
      <w:r>
        <w:t xml:space="preserve"> </w:t>
      </w:r>
      <w:r>
        <w:t xml:space="preserve">“</w:t>
      </w:r>
      <w:r>
        <w:t xml:space="preserve">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36"/>
      </w:r>
    </w:p>
    <w:p>
      <w:pPr>
        <w:pStyle w:val="BodyText"/>
      </w:pPr>
      <w:r>
        <w:t xml:space="preserve">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Bahá’u’lláh?</w:t>
      </w:r>
    </w:p>
    <w:bookmarkEnd w:id="937"/>
    <w:bookmarkStart w:id="939" w:name="to-the-land-of-kāf-and-rā"/>
    <w:p>
      <w:pPr>
        <w:pStyle w:val="Heading4"/>
      </w:pPr>
      <w:r>
        <w:t xml:space="preserve">23.4.5.3 To the Land of Kāf and Rā</w:t>
      </w:r>
    </w:p>
    <w:p>
      <w:pPr>
        <w:pStyle w:val="FirstParagraph"/>
      </w:pPr>
      <w:r>
        <w:t xml:space="preserve">The final land from Persia mentioned by Bahá’u’lláh is the land of Kāf and Rā (Kirman).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which this may allude to is related to the husbands of two of Bahá’u’lláh’s nieces, the daughters of Mírzá Yaḥyá (Ṣubḥ-i-Azal). Mírzá Āqā Khán Kermānī and Shaykh Aḥmad Rúḥī were Azalí Bábís who were influential in the revolutionary movements in late 1800s Persia. In Year 31 BE (1875), just 2 years after this paragraph was revealed by Bahá’u’lláh, they went to various cities of Persia and later to Constantinople to garner support for greater freedoms for Persians. In Year 52 BE (1896), Kermānī assassinated Nāṣiri’d-Dín Sháh and both were beheaded.</w:t>
      </w:r>
    </w:p>
    <w:p>
      <w:pPr>
        <w:pStyle w:val="BodyText"/>
      </w:pPr>
      <w:r>
        <w:t xml:space="preserve">The followers of Bahá’u’lláh have long been associated with the assassination of the Shah and other revolutionary movements of Persia, despite Kermānī and Rúḥī writing public treatises against Bahá’u’lláh. Bahá’u’lláh says</w:t>
      </w:r>
      <w:r>
        <w:t xml:space="preserve"> </w:t>
      </w:r>
      <w:r>
        <w:t xml:space="preserve">“</w:t>
      </w:r>
      <w:r>
        <w:t xml:space="preserve">no one should object to those who rule over the people</w:t>
      </w:r>
      <w:r>
        <w:t xml:space="preserve">”</w:t>
      </w:r>
      <w:r>
        <w:rPr>
          <w:rStyle w:val="FootnoteReference"/>
        </w:rPr>
        <w:footnoteReference w:id="938"/>
      </w:r>
      <w:r>
        <w:t xml:space="preserve"> </w:t>
      </w:r>
      <w:r>
        <w:t xml:space="preserve">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pPr>
        <w:pStyle w:val="BodyText"/>
      </w:pPr>
      <w:r>
        <w:rPr>
          <w:iCs/>
          <w:i/>
        </w:rPr>
        <w:t xml:space="preserve">Reflection: When prophecies and admonitions are addressed to lands, what does it mean for ordinary people to respond without becoming captive to revenge, despair, or political idolatry?</w:t>
      </w:r>
    </w:p>
    <w:p>
      <w:pPr>
        <w:pStyle w:val="BodyText"/>
      </w:pPr>
      <w:r>
        <w:t xml:space="preserve">This prepares the conclusion, where consent, trusteeship, and true liberation are tied together.</w:t>
      </w:r>
    </w:p>
    <w:bookmarkEnd w:id="939"/>
    <w:bookmarkEnd w:id="940"/>
    <w:bookmarkEnd w:id="941"/>
    <w:bookmarkStart w:id="942" w:name="conclusion-6"/>
    <w:p>
      <w:pPr>
        <w:pStyle w:val="Heading2"/>
      </w:pPr>
      <w:r>
        <w:t xml:space="preserve">23.5 Conclusion</w:t>
      </w:r>
    </w:p>
    <w:p>
      <w:pPr>
        <w:pStyle w:val="FirstParagraph"/>
      </w:pPr>
      <w:r>
        <w:t xml:space="preserve">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(1689)’s</w:t>
      </w:r>
      <w:r>
        <w:t xml:space="preserve"> </w:t>
      </w:r>
      <w:r>
        <w:t xml:space="preserve">“</w:t>
      </w:r>
      <w:r>
        <w:t xml:space="preserve">Two Treatises of Government</w:t>
      </w:r>
      <w:r>
        <w:t xml:space="preserve">”</w:t>
      </w:r>
      <w:r>
        <w:t xml:space="preserve"> </w:t>
      </w:r>
      <w:r>
        <w:t xml:space="preserve">that political authority is based on the consent of the people. Do we consent to a world governed by unconstrained force, or do we consent to the discipline of the Law of God?</w:t>
      </w:r>
    </w:p>
    <w:p>
      <w:pPr>
        <w:pStyle w:val="BodyText"/>
      </w:pPr>
      <w:r>
        <w:t xml:space="preserve">In Bahá’u’lláh’s vision, our consent is expressed not through the ballot box alone, but through our willingness to act as trustees in our own spheres of influence. This is the bridge to the next chapter on Spiritual Leadership. We realize common mechanisms of change are not true pathways. Revolution, rebellion, and even protest do not consistently ease suffering or cause progress without consequences.</w:t>
      </w:r>
    </w:p>
    <w:p>
      <w:pPr>
        <w:pStyle w:val="BodyText"/>
      </w:pPr>
      <w:r>
        <w:t xml:space="preserve">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reduce the suffering we and the generations after us experience.</w:t>
      </w:r>
    </w:p>
    <w:p>
      <w:r>
        <w:br w:type="page"/>
      </w:r>
    </w:p>
    <w:bookmarkEnd w:id="942"/>
    <w:bookmarkEnd w:id="943"/>
    <w:bookmarkStart w:id="969"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nor from using names, persons, and traditions to veil a person from accessing God.</w:t>
      </w:r>
    </w:p>
    <w:bookmarkStart w:id="944" w:name="X21aabbd6129f7ecc5300c20925f3b6a06ef3b3c"/>
    <w:p>
      <w:pPr>
        <w:pStyle w:val="Heading2"/>
      </w:pPr>
      <w:r>
        <w:t xml:space="preserve">24.1 To the Concourse of Ulama (Religious Scholars)</w:t>
      </w:r>
    </w:p>
    <w:p>
      <w:pPr>
        <w:pStyle w:val="FirstParagraph"/>
      </w:pPr>
      <w:r>
        <w:t xml:space="preserve">Both the Báb and Bahá’u’lláh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of all religions, to include the religions the Báb and Bahá’u’lláh led.</w:t>
      </w:r>
    </w:p>
    <w:p>
      <w:pPr>
        <w:pStyle w:val="BodyText"/>
      </w:pPr>
      <w:r>
        <w:t xml:space="preserve">This section will be a summary of the guidance for the ulama from paragraphs 165-172:</w:t>
      </w:r>
    </w:p>
    <w:p>
      <w:pPr>
        <w:numPr>
          <w:ilvl w:val="0"/>
          <w:numId w:val="1021"/>
        </w:numPr>
        <w:pStyle w:val="Compact"/>
      </w:pPr>
      <w:r>
        <w:t xml:space="preserve">Do not view yourself as greater than God. This can manifest itself in actions, not just words.</w:t>
      </w:r>
    </w:p>
    <w:p>
      <w:pPr>
        <w:numPr>
          <w:ilvl w:val="0"/>
          <w:numId w:val="1021"/>
        </w:numPr>
        <w:pStyle w:val="Compact"/>
      </w:pPr>
      <w:r>
        <w:t xml:space="preserve">Do not worship the idols of your own desires.</w:t>
      </w:r>
    </w:p>
    <w:p>
      <w:pPr>
        <w:numPr>
          <w:ilvl w:val="0"/>
          <w:numId w:val="1021"/>
        </w:numPr>
        <w:pStyle w:val="Compact"/>
      </w:pPr>
      <w:r>
        <w:t xml:space="preserve">Abandon your illusions and turn towards God.</w:t>
      </w:r>
    </w:p>
    <w:p>
      <w:pPr>
        <w:numPr>
          <w:ilvl w:val="0"/>
          <w:numId w:val="1021"/>
        </w:numPr>
        <w:pStyle w:val="Compact"/>
      </w:pPr>
      <w:r>
        <w:t xml:space="preserve">Do not weigh the Book of God with the rules and sciences you possess. This means old techniques may not actually be useful or relevant to understanding the Book of God, even Books such as the Qur’an.</w:t>
      </w:r>
    </w:p>
    <w:p>
      <w:pPr>
        <w:numPr>
          <w:ilvl w:val="0"/>
          <w:numId w:val="1021"/>
        </w:numPr>
        <w:pStyle w:val="Compact"/>
      </w:pPr>
      <w:r>
        <w:t xml:space="preserve">Do not weigh the Book of God with your own desires. Let God guide you instead of you trying to guide God.</w:t>
      </w:r>
    </w:p>
    <w:p>
      <w:pPr>
        <w:numPr>
          <w:ilvl w:val="0"/>
          <w:numId w:val="1021"/>
        </w:numPr>
        <w:pStyle w:val="Compact"/>
      </w:pPr>
      <w:r>
        <w:t xml:space="preserve">Do not corrupt the Cause of God.</w:t>
      </w:r>
    </w:p>
    <w:p>
      <w:pPr>
        <w:numPr>
          <w:ilvl w:val="0"/>
          <w:numId w:val="1021"/>
        </w:numPr>
        <w:pStyle w:val="Compact"/>
      </w:pPr>
      <w:r>
        <w:t xml:space="preserve">Do not create veils which hinder people’s recognition of God.</w:t>
      </w:r>
    </w:p>
    <w:p>
      <w:pPr>
        <w:numPr>
          <w:ilvl w:val="0"/>
          <w:numId w:val="1021"/>
        </w:numPr>
        <w:pStyle w:val="Compact"/>
      </w:pPr>
      <w:r>
        <w:t xml:space="preserve">Do not let names keep you from God, such as the names of prior Prophets or the names of prior Books.</w:t>
      </w:r>
    </w:p>
    <w:p>
      <w:pPr>
        <w:numPr>
          <w:ilvl w:val="0"/>
          <w:numId w:val="1021"/>
        </w:numPr>
        <w:pStyle w:val="Compact"/>
      </w:pPr>
      <w:r>
        <w:t xml:space="preserve">Do not let your allegiance to a prior Prophet veil you from the authority of God.</w:t>
      </w:r>
    </w:p>
    <w:p>
      <w:pPr>
        <w:numPr>
          <w:ilvl w:val="0"/>
          <w:numId w:val="1021"/>
        </w:numPr>
        <w:pStyle w:val="Compact"/>
      </w:pPr>
      <w:r>
        <w:t xml:space="preserve">Do not let the spiritual practice of remembrance veil you. This refers more about performative worship instead of transformative.</w:t>
      </w:r>
    </w:p>
    <w:p>
      <w:pPr>
        <w:numPr>
          <w:ilvl w:val="0"/>
          <w:numId w:val="1021"/>
        </w:numPr>
        <w:pStyle w:val="Compact"/>
      </w:pPr>
      <w:r>
        <w:t xml:space="preserve">Do not become the cause of discord.</w:t>
      </w:r>
    </w:p>
    <w:p>
      <w:pPr>
        <w:numPr>
          <w:ilvl w:val="0"/>
          <w:numId w:val="1021"/>
        </w:numPr>
        <w:pStyle w:val="Compact"/>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pPr>
        <w:pStyle w:val="BodyText"/>
      </w:pPr>
      <w:r>
        <w:t xml:space="preserve">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the souls from corrupt spiritual leaders. Yet, He did not abolish spiritual leadership. Instead, Bahá’u’lláh offers His own vision of spiritual leadership.</w:t>
      </w:r>
    </w:p>
    <w:p>
      <w:pPr>
        <w:pStyle w:val="BodyText"/>
      </w:pPr>
      <w:r>
        <w:rPr>
          <w:iCs/>
          <w:i/>
        </w:rPr>
        <w:t xml:space="preserve">Reflection: How can moral influence guide souls while guarding their direct access to God, so leadership remains service and never becomes spiritual possession?</w:t>
      </w:r>
    </w:p>
    <w:p>
      <w:pPr>
        <w:pStyle w:val="BodyText"/>
      </w:pPr>
      <w:r>
        <w:t xml:space="preserve">This question prepares us to examine the one group Bahá’u’lláh praises, scholars who assist without claiming authority.</w:t>
      </w:r>
    </w:p>
    <w:bookmarkEnd w:id="944"/>
    <w:bookmarkStart w:id="947" w:name="scholars-in-the-cause-of-baha"/>
    <w:p>
      <w:pPr>
        <w:pStyle w:val="Heading2"/>
      </w:pPr>
      <w:r>
        <w:t xml:space="preserve">24.2 Scholars in the Cause of Baha</w:t>
      </w:r>
    </w:p>
    <w:p>
      <w:pPr>
        <w:pStyle w:val="FirstParagraph"/>
      </w:pPr>
      <w:r>
        <w:t xml:space="preserve">In the Kitáb-i-Aqdas #173, Bahá’u’lláh offers these praises for scholars in the Cause of Bahá:</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and are nourished by the Revelation of God through Bahá’u’lláh.</w:t>
      </w:r>
    </w:p>
    <w:bookmarkStart w:id="946"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Baha is a responsibility for anyone who believes in Bahá’u’lláh as a Manifestation of God. This would be like consulting an expert, who uses their skills to unveil portions of the truth, but unlike a doctor, the scholar’s prescription for the soul is not binding. Bahá’u’lláh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pPr>
        <w:pStyle w:val="BodyText"/>
      </w:pPr>
      <w:r>
        <w:t xml:space="preserve">Yet, scholars do not carry authority. They have no right nor claim. Any person we turn towards is less authoritative then Bahá’u’lláh. While a scholar’s work is valuable, it can never supplant the Word of God. Bahá’u’lláh says after His passing, to refer to what has been revealed from Him. Bahá’u’lláh is always the primary source until the next Manifestation of God comes. Everything scholars may unveil are portions, never the completeness. We should be careful never to make any scholar a primary source. If a scholar tries to be the complete source, it violates our right to education by denying our ability to fully witness in our roles as trustee.</w:t>
      </w:r>
    </w:p>
    <w:p>
      <w:pPr>
        <w:pStyle w:val="BodyText"/>
      </w:pPr>
      <w:r>
        <w:t xml:space="preserve">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has is there, than to purposefully take the place of God? This is why Bahá’u’lláh says</w:t>
      </w:r>
      <w:r>
        <w:t xml:space="preserve"> </w:t>
      </w:r>
      <w:r>
        <w:t xml:space="preserve">“</w:t>
      </w:r>
      <w:r>
        <w:t xml:space="preserve">none can match Him in the field of mystical insight, knowledge, wisdom, and expression.</w:t>
      </w:r>
      <w:r>
        <w:t xml:space="preserve">”</w:t>
      </w:r>
      <w:r>
        <w:rPr>
          <w:rStyle w:val="FootnoteReference"/>
        </w:rPr>
        <w:footnoteReference w:id="945"/>
      </w:r>
    </w:p>
    <w:p>
      <w:pPr>
        <w:pStyle w:val="BodyText"/>
      </w:pPr>
      <w:r>
        <w:rPr>
          <w:iCs/>
          <w:i/>
        </w:rPr>
        <w:t xml:space="preserve">Reflection: What does it look like to turn toward scholars as companions in understanding, while refusing every temptation to treat them as a substitute source of divine authority?</w:t>
      </w:r>
    </w:p>
    <w:p>
      <w:pPr>
        <w:pStyle w:val="BodyText"/>
      </w:pPr>
      <w:r>
        <w:t xml:space="preserve">With that boundary in place, we can face concrete examples where spiritual leadership becomes self exaltation and misdirection.</w:t>
      </w:r>
    </w:p>
    <w:bookmarkEnd w:id="946"/>
    <w:bookmarkEnd w:id="947"/>
    <w:bookmarkStart w:id="957" w:name="Xf15caaa68dd3fab9634045bfe0b0c02b08405d2"/>
    <w:p>
      <w:pPr>
        <w:pStyle w:val="Heading2"/>
      </w:pPr>
      <w:r>
        <w:t xml:space="preserve">24.3 Examples of Spiritual Leadership Gone Wrong</w:t>
      </w:r>
    </w:p>
    <w:bookmarkStart w:id="949" w:name="shaykh-muhammad-hasan-al-najafi"/>
    <w:p>
      <w:pPr>
        <w:pStyle w:val="Heading3"/>
      </w:pPr>
      <w:r>
        <w:t xml:space="preserve">24.3.1 Shaykh Muhammad Hasan al-Najafi</w:t>
      </w:r>
    </w:p>
    <w:p>
      <w:pPr>
        <w:pStyle w:val="FirstParagraph"/>
      </w:pPr>
      <w:r>
        <w:t xml:space="preserve">Bahá’u’lláh says this about Shaykh Muhammad Hasan al-Najafi:</w:t>
      </w:r>
    </w:p>
    <w:p>
      <w:pPr>
        <w:pStyle w:val="BlockText"/>
      </w:pPr>
      <w:r>
        <w:t xml:space="preserve">Mention the Shaykh who was called Muhammad before Hasan, who was among the most learned of scholars in his time.</w:t>
      </w:r>
      <w:r>
        <w:rPr>
          <w:rStyle w:val="FootnoteReference"/>
        </w:rPr>
        <w:footnoteReference w:id="948"/>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bookmarkEnd w:id="949"/>
    <w:bookmarkStart w:id="953" w:name="hajjī-mirza-muhammad-karim-khān-kirmānī"/>
    <w:p>
      <w:pPr>
        <w:pStyle w:val="Heading3"/>
      </w:pPr>
      <w:r>
        <w:t xml:space="preserve">24.3.2 Hajjī Mirza Muhammad Karim Khān Kirmānī</w:t>
      </w:r>
    </w:p>
    <w:p>
      <w:pPr>
        <w:pStyle w:val="FirstParagraph"/>
      </w:pPr>
      <w:r>
        <w:t xml:space="preserve">Bahá’u’lláh mentions Karim:</w:t>
      </w:r>
    </w:p>
    <w:p>
      <w:pPr>
        <w:pStyle w:val="BlockText"/>
      </w:pPr>
      <w:r>
        <w:t xml:space="preserve">Recall Karim</w:t>
      </w:r>
      <w:r>
        <w:rPr>
          <w:rStyle w:val="FootnoteReference"/>
        </w:rPr>
        <w:footnoteReference w:id="950"/>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Year 181 BE (2025).</w:t>
      </w:r>
      <w:r>
        <w:rPr>
          <w:rStyle w:val="FootnoteReference"/>
        </w:rPr>
        <w:footnoteReference w:id="951"/>
      </w:r>
      <w:r>
        <w:t xml:space="preserve"> </w:t>
      </w:r>
      <w:r>
        <w:t xml:space="preserve">Karim was the self 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pPr>
        <w:pStyle w:val="BodyText"/>
      </w:pPr>
      <w:r>
        <w:t xml:space="preserve">Karim did not participate in the search. When one of the Shaykhi students, Mulla Husayn, first recognized the Báb on the evening of May 22, 1844, the Báb became the nominal leader of the Shaykhi School as the Qa’im and Twelfth Imam. Karim did not follow the Báb. Instead, he wrote a refutation called</w:t>
      </w:r>
      <w:r>
        <w:t xml:space="preserve"> </w:t>
      </w:r>
      <w:r>
        <w:t xml:space="preserve">“</w:t>
      </w:r>
      <w:r>
        <w:t xml:space="preserve">The Crushing of Falsehood in Refutation of Babism.</w:t>
      </w:r>
      <w:r>
        <w:t xml:space="preserve">”</w:t>
      </w:r>
      <w:r>
        <w:t xml:space="preserve"> </w:t>
      </w:r>
      <w:r>
        <w:t xml:space="preserve">The same year the Kitáb-i-Aqdas was penned, Karim had passed away. His last act was the writing of a Will and Testament appointing his hereditary descendants as leaders. The Shaykhi School still exists and is currently led by Hajji Sayyid Ali Musawi al-Hifzih.</w:t>
      </w:r>
    </w:p>
    <w:bookmarkEnd w:id="953"/>
    <w:bookmarkStart w:id="956" w:name="mirza-yahya-nuri-subh-i-azal"/>
    <w:p>
      <w:pPr>
        <w:pStyle w:val="Heading3"/>
      </w:pPr>
      <w:r>
        <w:t xml:space="preserve">24.3.3 Mirza Yahya Nuri (Subh-i-Azal)</w:t>
      </w:r>
    </w:p>
    <w:p>
      <w:pPr>
        <w:pStyle w:val="FirstParagraph"/>
      </w:pPr>
      <w:r>
        <w:t xml:space="preserve">Bahá’u’lláh addresses Mirza Yahya:</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54"/>
      </w:r>
    </w:p>
    <w:p>
      <w:pPr>
        <w:pStyle w:val="FirstParagraph"/>
      </w:pPr>
      <w:r>
        <w:t xml:space="preserve">Mirza Yahya Nuri is Bahá’u’lláh’s half brother. When he completed his first Bayanic cycle at 19 years of age, the Primal Point had instructed him to execute His Will and Testament.</w:t>
      </w:r>
      <w:r>
        <w:rPr>
          <w:rStyle w:val="FootnoteReference"/>
        </w:rPr>
        <w:footnoteReference w:id="955"/>
      </w:r>
      <w:r>
        <w:t xml:space="preserve"> </w:t>
      </w:r>
      <w:r>
        <w:t xml:space="preserve">Yahya, who was designated with the name Subh-i-Azal by the Báb, was the appointed custodian or steward. By this point in time in Year 6 BE (1850), he was considered as a mirror, reflecting the light of God through the Báb. Yahya was not a Manifestation of God.</w:t>
      </w:r>
    </w:p>
    <w:p>
      <w:pPr>
        <w:pStyle w:val="BodyText"/>
      </w:pPr>
      <w:r>
        <w:t xml:space="preserve">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Subh-i-Azal.</w:t>
      </w:r>
    </w:p>
    <w:p>
      <w:pPr>
        <w:pStyle w:val="BodyText"/>
      </w:pPr>
      <w:r>
        <w:t xml:space="preserve">Year 14 BE (1858) years later, Bahá’u’lláh wrote the Tafsir-i-Hu, an explanation of the Name of God</w:t>
      </w:r>
      <w:r>
        <w:t xml:space="preserve"> </w:t>
      </w:r>
      <w:r>
        <w:t xml:space="preserve">“</w:t>
      </w:r>
      <w:r>
        <w:t xml:space="preserve">He.</w:t>
      </w:r>
      <w:r>
        <w:t xml:space="preserve">”</w:t>
      </w:r>
      <w:r>
        <w:t xml:space="preserve"> </w:t>
      </w:r>
      <w:r>
        <w:t xml:space="preserve">In it, Bahá’u’lláh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Bahá’u’lláh warns Yahya of being proud and exalting himself beyond his role. The Mirror must not mistake itself as the Source.</w:t>
      </w:r>
    </w:p>
    <w:p>
      <w:pPr>
        <w:pStyle w:val="BodyText"/>
      </w:pPr>
      <w:r>
        <w:t xml:space="preserve">In Year 19 BE (1863), Bahá’u’lláh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Báb, and 13 years after His instruction to Mirza Yahya. Yahya did not recognize Bahá’u’lláh as a Manifestation of God. By Year 24 BE (1868), when both had been taken to Constantinople and Edirne, Bahá’u’lláh revealed the Kitab-i-Badi. In it, Bahá’u’lláh describes how Mirza Yahya had violated the trust given to him by the Báb, how he was no longer acting as a custodian. He left the Writings behind in Persia when he migrated to Baghdad. Bahá’u’lláh says Yahya focused more on concealment than custodianship, withholding the Báb’s Texts, obstructing their circulation, and centralizing authority through himself instead of allowing the Bayani communities to be led by the Bayan.</w:t>
      </w:r>
    </w:p>
    <w:p>
      <w:pPr>
        <w:pStyle w:val="BodyText"/>
      </w:pPr>
      <w:r>
        <w:t xml:space="preserve">Outside of custodianship, Bahá’u’lláh describes Yahya as acting contrary to what God desired of him. Yahya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Yahya struggled with restraint, especially towards women and potentially drugs such as opium and hashish, which may have further multiplied his erratic behaviors. Bahá’u’lláh instructs Yahya’s followers to read Yahya’s Mustayqiz as evidence of Bahá’u’lláh’s observations.</w:t>
      </w:r>
    </w:p>
    <w:p>
      <w:pPr>
        <w:pStyle w:val="BodyText"/>
      </w:pPr>
      <w:r>
        <w:t xml:space="preserve">In Year 47 BE (1891), the last year of Bahá’u’lláh’s life on Earth, He continued to offer love and forgiveness towards Yahya. He instructs His followers to send someone to Cyprus to look after Yahya with the hope Yahya will recognize God’s love. Still, at this time it was observed some of Yahya’s followers put Yahya’s image above others. Mirza Yahya’s failure was the illusion of being the source. His self exaltation led to others exalting him as an idol.</w:t>
      </w:r>
    </w:p>
    <w:p>
      <w:pPr>
        <w:pStyle w:val="BodyText"/>
      </w:pPr>
      <w:r>
        <w:rPr>
          <w:iCs/>
          <w:i/>
        </w:rPr>
        <w:t xml:space="preserve">Reflection: What practical disciplines help a community resist the idol making of persons, so spiritual influence never replaces the Manifestation as the living standard?</w:t>
      </w:r>
    </w:p>
    <w:p>
      <w:pPr>
        <w:pStyle w:val="BodyText"/>
      </w:pPr>
      <w:r>
        <w:t xml:space="preserve">With these examples in view, we can name the protections that keep souls free without abolishing guidance or scholarship.</w:t>
      </w:r>
    </w:p>
    <w:bookmarkEnd w:id="956"/>
    <w:bookmarkEnd w:id="957"/>
    <w:bookmarkStart w:id="968" w:name="X6b78a1c75b4122206ac6856f5be228fdfce1179"/>
    <w:p>
      <w:pPr>
        <w:pStyle w:val="Heading2"/>
      </w:pPr>
      <w:r>
        <w:t xml:space="preserve">24.4 Protecting Against Corrupt Spiritual Leaders</w:t>
      </w:r>
    </w:p>
    <w:p>
      <w:pPr>
        <w:pStyle w:val="FirstParagraph"/>
      </w:pPr>
      <w:r>
        <w:t xml:space="preserve">In the examples of Hasan al-Najafi, Karim Kirmani, and Mirza Yahya, we see different ways how spiritual leadership was used to self exalt themselves and mislead others into believing in their exaltation. Each leader claimed rights for themselves which God did not allow, and failed their responsibilities as trustees over God’s trust (the believer). Al-Najafi relied on secondary sources to interpret, Karim self appointed himself and a hereditary successorship, and Yahya failed in his trusteeship. These three examples are as relevant today as they were when the Kitáb-i-Aqdas was written.</w:t>
      </w:r>
    </w:p>
    <w:p>
      <w:pPr>
        <w:pStyle w:val="BodyText"/>
      </w:pPr>
      <w:r>
        <w:t xml:space="preserve">By the time each had passed away, their souls were chained by their self passion and self indulgence. They failed to liberate themselves and worse yet, they inhibited the liberation of souls who turned towards them. As they pass through the spiritual worlds of God, my hope is they are able to be free of their constraints and can truly be set free.</w:t>
      </w:r>
    </w:p>
    <w:p>
      <w:pPr>
        <w:pStyle w:val="BodyText"/>
      </w:pPr>
      <w:r>
        <w:t xml:space="preserve">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bookmarkStart w:id="966" w:name="qualities-of-disbelievers"/>
    <w:p>
      <w:pPr>
        <w:pStyle w:val="Heading3"/>
      </w:pPr>
      <w:r>
        <w:t xml:space="preserve">24.4.1 Qualities of Disbelievers</w:t>
      </w:r>
    </w:p>
    <w:p>
      <w:pPr>
        <w:pStyle w:val="FirstParagraph"/>
      </w:pPr>
      <w:r>
        <w:t xml:space="preserve">To help discern which people may be corrupt spiritual leaders, Bahá’u’lláh does offer much counsel throughout the Kitáb-i-Aqdas. This will be a list of qualities attributed to disbelievers, to include those who claim belief and desire leadership.</w:t>
      </w:r>
    </w:p>
    <w:p>
      <w:pPr>
        <w:numPr>
          <w:ilvl w:val="0"/>
          <w:numId w:val="1022"/>
        </w:numPr>
        <w:pStyle w:val="Compact"/>
      </w:pPr>
      <w:r>
        <w:t xml:space="preserve">They seek prestige to any degree.</w:t>
      </w:r>
      <w:r>
        <w:rPr>
          <w:rStyle w:val="FootnoteReference"/>
        </w:rPr>
        <w:footnoteReference w:id="958"/>
      </w:r>
    </w:p>
    <w:p>
      <w:pPr>
        <w:numPr>
          <w:ilvl w:val="0"/>
          <w:numId w:val="1022"/>
        </w:numPr>
        <w:pStyle w:val="Compact"/>
      </w:pPr>
      <w:r>
        <w:t xml:space="preserve">They claim hidden knowledge and esoteric understanding.</w:t>
      </w:r>
    </w:p>
    <w:p>
      <w:pPr>
        <w:numPr>
          <w:ilvl w:val="0"/>
          <w:numId w:val="1022"/>
        </w:numPr>
        <w:pStyle w:val="Compact"/>
      </w:pPr>
      <w:r>
        <w:t xml:space="preserve">They cling to their own principles.</w:t>
      </w:r>
      <w:r>
        <w:rPr>
          <w:rStyle w:val="FootnoteReference"/>
        </w:rPr>
        <w:footnoteReference w:id="959"/>
      </w:r>
    </w:p>
    <w:p>
      <w:pPr>
        <w:numPr>
          <w:ilvl w:val="0"/>
          <w:numId w:val="1022"/>
        </w:numPr>
        <w:pStyle w:val="Compact"/>
      </w:pPr>
      <w:r>
        <w:t xml:space="preserve">They are sorrowful.</w:t>
      </w:r>
      <w:r>
        <w:rPr>
          <w:rStyle w:val="FootnoteReference"/>
        </w:rPr>
        <w:footnoteReference w:id="960"/>
      </w:r>
    </w:p>
    <w:p>
      <w:pPr>
        <w:numPr>
          <w:ilvl w:val="0"/>
          <w:numId w:val="1022"/>
        </w:numPr>
        <w:pStyle w:val="Compact"/>
      </w:pPr>
      <w:r>
        <w:t xml:space="preserve">They deny what God has permitted.</w:t>
      </w:r>
      <w:r>
        <w:rPr>
          <w:rStyle w:val="FootnoteReference"/>
        </w:rPr>
        <w:footnoteReference w:id="961"/>
      </w:r>
    </w:p>
    <w:p>
      <w:pPr>
        <w:numPr>
          <w:ilvl w:val="0"/>
          <w:numId w:val="1022"/>
        </w:numPr>
        <w:pStyle w:val="Compact"/>
      </w:pPr>
      <w:r>
        <w:t xml:space="preserve">They treat outward actions as a substitute for inner sincerity (Example:</w:t>
      </w:r>
      <w:r>
        <w:t xml:space="preserve"> </w:t>
      </w:r>
      <w:r>
        <w:t xml:space="preserve">“</w:t>
      </w:r>
      <w:r>
        <w:t xml:space="preserve">I pray in public, therefore I am righteous</w:t>
      </w:r>
      <w:r>
        <w:t xml:space="preserve">”</w:t>
      </w:r>
      <w:r>
        <w:t xml:space="preserve">).</w:t>
      </w:r>
    </w:p>
    <w:p>
      <w:pPr>
        <w:numPr>
          <w:ilvl w:val="0"/>
          <w:numId w:val="1022"/>
        </w:numPr>
        <w:pStyle w:val="Compact"/>
      </w:pPr>
      <w:r>
        <w:t xml:space="preserve">They hesitate in the Cause of God.</w:t>
      </w:r>
      <w:r>
        <w:rPr>
          <w:rStyle w:val="FootnoteReference"/>
        </w:rPr>
        <w:footnoteReference w:id="962"/>
      </w:r>
    </w:p>
    <w:p>
      <w:pPr>
        <w:numPr>
          <w:ilvl w:val="0"/>
          <w:numId w:val="1022"/>
        </w:numPr>
        <w:pStyle w:val="Compact"/>
      </w:pPr>
      <w:r>
        <w:t xml:space="preserve">They are wolves in sheep’s garments.</w:t>
      </w:r>
      <w:r>
        <w:rPr>
          <w:rStyle w:val="FootnoteReference"/>
        </w:rPr>
        <w:footnoteReference w:id="963"/>
      </w:r>
    </w:p>
    <w:p>
      <w:pPr>
        <w:numPr>
          <w:ilvl w:val="0"/>
          <w:numId w:val="1022"/>
        </w:numPr>
        <w:pStyle w:val="Compact"/>
      </w:pPr>
      <w:r>
        <w:t xml:space="preserve">They are intoxicated by desire.</w:t>
      </w:r>
      <w:r>
        <w:rPr>
          <w:rStyle w:val="FootnoteReference"/>
        </w:rPr>
        <w:footnoteReference w:id="964"/>
      </w:r>
    </w:p>
    <w:p>
      <w:pPr>
        <w:numPr>
          <w:ilvl w:val="0"/>
          <w:numId w:val="1022"/>
        </w:numPr>
        <w:pStyle w:val="Compact"/>
      </w:pPr>
      <w:r>
        <w:t xml:space="preserve">They distort the Word of God.</w:t>
      </w:r>
      <w:r>
        <w:rPr>
          <w:rStyle w:val="FootnoteReference"/>
        </w:rPr>
        <w:footnoteReference w:id="965"/>
      </w:r>
    </w:p>
    <w:bookmarkEnd w:id="966"/>
    <w:bookmarkStart w:id="967" w:name="your-responsibility-to-remain-free"/>
    <w:p>
      <w:pPr>
        <w:pStyle w:val="Heading3"/>
      </w:pPr>
      <w:r>
        <w:t xml:space="preserve">24.4.2 Your Responsibility to Remain Free</w:t>
      </w:r>
    </w:p>
    <w:p>
      <w:pPr>
        <w:pStyle w:val="FirstParagraph"/>
      </w:pPr>
      <w:r>
        <w:t xml:space="preserve">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Bahá’u’lláh did not prohibit clergy, nor religious scholarship.</w:t>
      </w:r>
    </w:p>
    <w:p>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Bahá’u’lláh also describes what should happen once He was no longer among us. After His passing in Year 48 BE (1892), what was supposed to happen? The next chapter will describe spiritual successorship.</w:t>
      </w:r>
    </w:p>
    <w:p>
      <w:r>
        <w:br w:type="page"/>
      </w:r>
    </w:p>
    <w:bookmarkEnd w:id="967"/>
    <w:bookmarkEnd w:id="968"/>
    <w:bookmarkEnd w:id="969"/>
    <w:bookmarkStart w:id="993" w:name="spiritual-successorship"/>
    <w:p>
      <w:pPr>
        <w:pStyle w:val="Heading1"/>
      </w:pPr>
      <w:r>
        <w:t xml:space="preserve">25. Spiritual Successorship</w:t>
      </w:r>
    </w:p>
    <w:p>
      <w:pPr>
        <w:pStyle w:val="FirstParagraph"/>
      </w:pPr>
      <w:r>
        <w:t xml:space="preserve">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1892 up to today? How will we shape the future in Bahá’u’lláh’s vision after today? This is where spiritual authority, community responsibility, and the work of true liberation meet in practical form.</w:t>
      </w:r>
    </w:p>
    <w:bookmarkStart w:id="970" w:name="X59d2dab3d6834e5ee8498239722f56fbe15b4a0"/>
    <w:p>
      <w:pPr>
        <w:pStyle w:val="Heading2"/>
      </w:pPr>
      <w:r>
        <w:t xml:space="preserve">25.1 BH11278 (The Book of My Testament After Me)</w:t>
      </w:r>
    </w:p>
    <w:p>
      <w:pPr>
        <w:pStyle w:val="FirstParagraph"/>
      </w:pPr>
      <w:r>
        <w:t xml:space="preserve">I want to introduce</w:t>
      </w:r>
      <w:r>
        <w:t xml:space="preserve"> </w:t>
      </w:r>
      <w:r>
        <w:t xml:space="preserve">“</w:t>
      </w:r>
      <w:r>
        <w:t xml:space="preserve">The Book of My Testament After Me</w:t>
      </w:r>
      <w:r>
        <w:t xml:space="preserve">”</w:t>
      </w:r>
      <w:r>
        <w:t xml:space="preserve">, designated as BH11278. I am unsure exactly when it was written, but as Bahá’u’lláh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not transferable. Bahá’u’lláh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legitimacy is measured by fidelity to the divine light. Bahá’u’lláh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 not reflect the light in the mirror of their soul. They may have form, but they lack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pPr>
        <w:pStyle w:val="BodyText"/>
      </w:pPr>
      <w:r>
        <w:rPr>
          <w:iCs/>
          <w:i/>
        </w:rPr>
        <w:t xml:space="preserve">Reflection: What changes in your sense of responsibility when you treat the Book as the center of authority, rather than any person who speaks about it?</w:t>
      </w:r>
    </w:p>
    <w:p>
      <w:pPr>
        <w:pStyle w:val="BodyText"/>
      </w:pPr>
      <w:r>
        <w:t xml:space="preserve">This question matters because it shifts spiritual life from dependence to trusteeship.</w:t>
      </w:r>
    </w:p>
    <w:bookmarkEnd w:id="970"/>
    <w:bookmarkStart w:id="972" w:name="endowments"/>
    <w:p>
      <w:pPr>
        <w:pStyle w:val="Heading2"/>
      </w:pPr>
      <w:r>
        <w:t xml:space="preserve">25.2 Endowments</w:t>
      </w:r>
    </w:p>
    <w:p>
      <w:pPr>
        <w:pStyle w:val="FirstParagraph"/>
      </w:pPr>
      <w:r>
        <w:t xml:space="preserve">Bahá’u’lláh says</w:t>
      </w:r>
      <w:r>
        <w:t xml:space="preserve"> </w:t>
      </w:r>
      <w:r>
        <w:t xml:space="preserve">“</w:t>
      </w:r>
      <w:r>
        <w:t xml:space="preserve">no one is permitted to manage them except with permission of the Source of Revelation.</w:t>
      </w:r>
      <w:r>
        <w:t xml:space="preserve">”</w:t>
      </w:r>
      <w:r>
        <w:rPr>
          <w:rStyle w:val="FootnoteReference"/>
        </w:rPr>
        <w:footnoteReference w:id="971"/>
      </w:r>
      <w:r>
        <w:t xml:space="preserve"> </w:t>
      </w:r>
      <w:r>
        <w:t xml:space="preserve">He continues by saying endowments are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pPr>
        <w:pStyle w:val="BodyText"/>
      </w:pPr>
      <w:r>
        <w:t xml:space="preserve">In BH08767, Bahá’u’lláh says all endowments revert to the Huqúqu’lláh. Chapter 12.4 describes the various ways Bahá’u’lláh had utilized these endowments. This was reiterated by Bahá’u’lláh in BH00979.</w:t>
      </w:r>
    </w:p>
    <w:p>
      <w:pPr>
        <w:pStyle w:val="BodyText"/>
      </w:pPr>
      <w:r>
        <w:t xml:space="preserve">Bahá’u’lláh begins the Kitáb-i-’Ahd (The Book of My Covenant) with a sermon regarding wealth. The Kitáb-i-’Ahd, which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Bahá’u’lláh adds specifically for the Aghsán that</w:t>
      </w:r>
      <w:r>
        <w:t xml:space="preserve"> </w:t>
      </w:r>
      <w:r>
        <w:t xml:space="preserve">“</w:t>
      </w:r>
      <w:r>
        <w:t xml:space="preserve">God has not granted them any right to the property of others.</w:t>
      </w:r>
      <w:r>
        <w:t xml:space="preserve">”</w:t>
      </w:r>
      <w:r>
        <w:t xml:space="preserve"> </w:t>
      </w:r>
      <w:r>
        <w:t xml:space="preserve">Outside of collecting Huqúqu’lláh as an endowment for charity and the Cause of God, the Aghsán had to still earn a living. They have no right to collect any additional property from anyone. They are not the Cause of God.</w:t>
      </w:r>
    </w:p>
    <w:p>
      <w:pPr>
        <w:pStyle w:val="BodyText"/>
      </w:pPr>
      <w:r>
        <w:rPr>
          <w:iCs/>
          <w:i/>
        </w:rPr>
        <w:t xml:space="preserve">Reflection: If wealth can quietly distort spiritual purpose, what safeguards keep an endowment aligned with mercy rather than control?</w:t>
      </w:r>
    </w:p>
    <w:p>
      <w:pPr>
        <w:pStyle w:val="BodyText"/>
      </w:pPr>
      <w:r>
        <w:t xml:space="preserve">That safeguard matters because trusteeship rises or falls on how resources are handled.</w:t>
      </w:r>
    </w:p>
    <w:bookmarkEnd w:id="972"/>
    <w:bookmarkStart w:id="986" w:name="aghsán-the-branches-of-baháulláh"/>
    <w:p>
      <w:pPr>
        <w:pStyle w:val="Heading2"/>
      </w:pPr>
      <w:r>
        <w:t xml:space="preserve">25.3 Aghsán (The Branches of Bahá’u’lláh)</w:t>
      </w:r>
    </w:p>
    <w:p>
      <w:pPr>
        <w:pStyle w:val="FirstParagraph"/>
      </w:pPr>
      <w:r>
        <w:t xml:space="preserve">There are 2 collections of letters Bahá’u’lláh wrote which are unnamed. One is BH00023 which are letters to the Yazd community through Varqa, a well respected follower in the time of Bahá’u’lláh. The other is BH00057, addressed to believers in Zanjan. Each has a portion which is entirely identical to each other, and both were written in 1881. They include explanations of certain parts of the Kitáb-i-Aqdas, and will be referenced regularly in this chapter.</w:t>
      </w:r>
    </w:p>
    <w:p>
      <w:pPr>
        <w:pStyle w:val="BodyText"/>
      </w:pPr>
      <w:r>
        <w:t xml:space="preserve">With the revelation of the Kitáb-i-Aqdas and thereafter, Bahá’u’lláh would refer to branches which were not Himself or a Manifestation of God. Bahá’u’lláh defines the Aghsán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who I am unable to locate a given Ghusn title. BH00017 (unnamed) does describe Ḍíyá as a Branch. Ḍíyá means Radiant. Another son, Ghusn-i-Athar (Mírzá Mihdí)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the entire tree of God, the Sundrat ul Muntahá, would bear the most fruits if all the branches were allowed to manifest these names of God fully.</w:t>
      </w:r>
    </w:p>
    <w:p>
      <w:pPr>
        <w:pStyle w:val="BodyText"/>
      </w:pPr>
      <w:r>
        <w:t xml:space="preserve">In terms of endowments, after Bahá’u’lláh passed away, the Aghsán were responsible for endowments such as Huqúqu’lláh. Bahá’u’lláh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of endowments, the Holy Spirit was not able to guide their use towards charity and the elevated places of God, such as Mashriq’ul Adhkárs, and the Sacred Houses in Shiraz and Baghdad.</w:t>
      </w:r>
    </w:p>
    <w:p>
      <w:pPr>
        <w:pStyle w:val="BodyText"/>
      </w:pPr>
      <w:r>
        <w:t xml:space="preserve">After Ghusn-i-Akbar (Mírzá Muḥammad ’Alí) passed away, the Aghsán were no longer responsible for endowments. Until there are Houses of Justice, such as in your city, these endowments are to be managed by the People of Bahá. The People of Bahá are not to profit from them.</w:t>
      </w:r>
    </w:p>
    <w:bookmarkStart w:id="973" w:name="serving-on-the-throne"/>
    <w:p>
      <w:pPr>
        <w:pStyle w:val="Heading3"/>
      </w:pPr>
      <w:r>
        <w:t xml:space="preserve">25.3.1 Serving on the Throne</w:t>
      </w:r>
    </w:p>
    <w:p>
      <w:pPr>
        <w:pStyle w:val="FirstParagraph"/>
      </w:pPr>
      <w:r>
        <w:t xml:space="preserve">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pPr>
        <w:pStyle w:val="BodyText"/>
      </w:pPr>
      <w:r>
        <w:t xml:space="preserve">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Aghsán, I will provide an example of their service and another example of the praise Bahá’u’lláh gave them.</w:t>
      </w:r>
    </w:p>
    <w:bookmarkEnd w:id="973"/>
    <w:bookmarkStart w:id="976" w:name="in-honor-of-abbás-effendi"/>
    <w:p>
      <w:pPr>
        <w:pStyle w:val="Heading3"/>
      </w:pPr>
      <w:r>
        <w:t xml:space="preserve">25.3.2 In Honor of ’Abbás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74"/>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75"/>
      </w:r>
    </w:p>
    <w:bookmarkEnd w:id="976"/>
    <w:bookmarkStart w:id="979" w:name="in-honor-of-mírzá-muḥammad-alí"/>
    <w:p>
      <w:pPr>
        <w:pStyle w:val="Heading3"/>
      </w:pPr>
      <w:r>
        <w:t xml:space="preserve">25.3.3 In Honor of Mírzá Muḥammad ’Alí</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there would be no harm if they were sent to European lands.”</w:t>
      </w:r>
      <w:r>
        <w:rPr>
          <w:rStyle w:val="FootnoteReference"/>
        </w:rPr>
        <w:footnoteReference w:id="977"/>
      </w:r>
    </w:p>
    <w:p>
      <w:pPr>
        <w:pStyle w:val="FirstParagraph"/>
      </w:pPr>
      <w:r>
        <w:t xml:space="preserve">In honor of his station:</w:t>
      </w:r>
    </w:p>
    <w:p>
      <w:pPr>
        <w:pStyle w:val="BlockText"/>
      </w:pP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pPr>
        <w:pStyle w:val="BlockText"/>
      </w:pPr>
      <w:r>
        <w:t xml:space="preserve">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978"/>
      </w:r>
    </w:p>
    <w:bookmarkEnd w:id="979"/>
    <w:bookmarkStart w:id="982" w:name="X2cc47e32ac164e957b77528e526c4c2f79e532d"/>
    <w:p>
      <w:pPr>
        <w:pStyle w:val="Heading3"/>
      </w:pPr>
      <w:r>
        <w:t xml:space="preserve">25.3.4 In Honor of Ḍíyá’u’lláh (Also known as Zíyá’u’lláh)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Ḍíyá, one of My Branches, hath presented your letter and made mention of you before Our presence.</w:t>
      </w:r>
      <w:r>
        <w:t xml:space="preserve">”</w:t>
      </w:r>
      <w:r>
        <w:rPr>
          <w:rStyle w:val="FootnoteReference"/>
        </w:rPr>
        <w:footnoteReference w:id="980"/>
      </w:r>
    </w:p>
    <w:p>
      <w:pPr>
        <w:pStyle w:val="FirstParagraph"/>
      </w:pPr>
      <w:r>
        <w:t xml:space="preserve">In honor of his station:</w:t>
      </w:r>
    </w:p>
    <w:p>
      <w:pPr>
        <w:pStyle w:val="BlockText"/>
      </w:pPr>
      <w:r>
        <w:t xml:space="preserve">“</w:t>
      </w:r>
      <w:r>
        <w:t xml:space="preserve">At this moment, one of the Branches of the Blessed Tree, His Holiness Ḍíyá, is present before Us. We have commanded him to pen this Tablet, from whose horizon’s heaven hath shone forth the light of God’s mercy, the Lord of the worlds.</w:t>
      </w:r>
      <w:r>
        <w:t xml:space="preserve">”</w:t>
      </w:r>
      <w:r>
        <w:rPr>
          <w:rStyle w:val="FootnoteReference"/>
        </w:rPr>
        <w:footnoteReference w:id="981"/>
      </w:r>
    </w:p>
    <w:bookmarkEnd w:id="982"/>
    <w:bookmarkStart w:id="985" w:name="in-honor-of-badíulláh"/>
    <w:p>
      <w:pPr>
        <w:pStyle w:val="Heading3"/>
      </w:pPr>
      <w:r>
        <w:t xml:space="preserve">25.3.5 In Honor of Badí’u’lláh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Badí’u’lláh, hath presented thy letter before Our Face. We answer thee through this perspicuous Tablet.”</w:t>
      </w:r>
      <w:r>
        <w:rPr>
          <w:rStyle w:val="FootnoteReference"/>
        </w:rPr>
        <w:footnoteReference w:id="983"/>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t xml:space="preserve">”</w:t>
      </w:r>
      <w:r>
        <w:rPr>
          <w:rStyle w:val="FootnoteReference"/>
        </w:rPr>
        <w:footnoteReference w:id="984"/>
      </w:r>
    </w:p>
    <w:p>
      <w:pPr>
        <w:pStyle w:val="FirstParagraph"/>
      </w:pPr>
      <w:r>
        <w:rPr>
          <w:iCs/>
          <w:i/>
        </w:rPr>
        <w:t xml:space="preserve">Reflection: What kind of leadership becomes possible when service, consultation, and restraint are treated as the signs of spiritual station?</w:t>
      </w:r>
    </w:p>
    <w:p>
      <w:pPr>
        <w:pStyle w:val="BodyText"/>
      </w:pPr>
      <w:r>
        <w:t xml:space="preserve">This prepares us to see what the Book actually asks of those entrusted with guidance.</w:t>
      </w:r>
    </w:p>
    <w:bookmarkEnd w:id="985"/>
    <w:bookmarkEnd w:id="986"/>
    <w:bookmarkStart w:id="988" w:name="answering-questions-about-the-book"/>
    <w:p>
      <w:pPr>
        <w:pStyle w:val="Heading2"/>
      </w:pPr>
      <w:r>
        <w:t xml:space="preserve">25.4 Answering Questions About the Book</w:t>
      </w:r>
    </w:p>
    <w:p>
      <w:pPr>
        <w:pStyle w:val="FirstParagraph"/>
      </w:pPr>
      <w:r>
        <w:t xml:space="preserve">Bahá’u’lláh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987"/>
      </w:r>
      <w:r>
        <w:t xml:space="preserve"> </w:t>
      </w:r>
      <w:r>
        <w:t xml:space="preserve">He further explains this in the letters to Yazd and Zanjan. He says the Book refers to the Kitáb-i-Aqdas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Bahá’u’lláh repeatedly nurtures this sense of self 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pPr>
        <w:pStyle w:val="BodyText"/>
      </w:pPr>
      <w:r>
        <w:t xml:space="preserve">Bahá’u’lláh starts the counsel with a conditional statement.</w:t>
      </w:r>
      <w:r>
        <w:t xml:space="preserve"> </w:t>
      </w:r>
      <w:r>
        <w:t xml:space="preserve">“</w:t>
      </w:r>
      <w:r>
        <w:t xml:space="preserve">Refer what you do not understand.</w:t>
      </w:r>
      <w:r>
        <w:t xml:space="preserve">”</w:t>
      </w:r>
      <w:r>
        <w:t xml:space="preserve"> </w:t>
      </w:r>
      <w:r>
        <w:t xml:space="preserve">Bahá’u’lláh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Kitáb-i-Aqdas and the Kitáb-i-Aqdas only. This means we refer only what we do not understand of the Kitáb-i-Aqdas. This does not include any other book or writing.</w:t>
      </w:r>
    </w:p>
    <w:p>
      <w:pPr>
        <w:pStyle w:val="BodyText"/>
      </w:pPr>
      <w:r>
        <w:t xml:space="preserve">As it appears, the Aghsán were to consult together where any particular believer attempted to understand the Kitáb-i-Aqdas but were unable to. The result of this consultation would be guided by the Holy Spirit. Bahá’u’lláh did not express any teaching the understanding of the Aghsán would replace other believers’ understandings. The consultation was for the individual who did not understand, completely within the context of what they asked and understood already. I envision the Aghsán’s role to be like that of scholars Bahá’u’lláh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p>
      <w:pPr>
        <w:pStyle w:val="BodyText"/>
      </w:pPr>
      <w:r>
        <w:rPr>
          <w:iCs/>
          <w:i/>
        </w:rPr>
        <w:t xml:space="preserve">Reflection: When you struggle to understand a law, what would it look like to seek help without surrendering your own conscience and responsibility?</w:t>
      </w:r>
    </w:p>
    <w:p>
      <w:pPr>
        <w:pStyle w:val="BodyText"/>
      </w:pPr>
      <w:r>
        <w:t xml:space="preserve">That balance matters because a community can either mature through consultation or regress into dependence.</w:t>
      </w:r>
    </w:p>
    <w:bookmarkEnd w:id="988"/>
    <w:bookmarkStart w:id="989" w:name="the-branch-to-turn-towards"/>
    <w:p>
      <w:pPr>
        <w:pStyle w:val="Heading2"/>
      </w:pPr>
      <w:r>
        <w:t xml:space="preserve">25.5 The Branch to Turn Towards</w:t>
      </w:r>
    </w:p>
    <w:p>
      <w:pPr>
        <w:pStyle w:val="FirstParagraph"/>
      </w:pPr>
      <w:r>
        <w:t xml:space="preserve">The last part of the Kitáb-i-Aqdas which describes spiritual successorship is from paragraph 121.</w:t>
      </w:r>
      <w:r>
        <w:t xml:space="preserve"> </w:t>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Bahá’u’lláh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Bahá’u’lláh bestows great honor upon ’Abbás Effendi and Mírzá Muḥammad ’Alí. Bahá’u’lláh used the phrase</w:t>
      </w:r>
      <w:r>
        <w:t xml:space="preserve"> </w:t>
      </w:r>
      <w:r>
        <w:t xml:space="preserve">“</w:t>
      </w:r>
      <w:r>
        <w:t xml:space="preserve">turn towards.</w:t>
      </w:r>
      <w:r>
        <w:t xml:space="preserve">”</w:t>
      </w:r>
      <w:r>
        <w:t xml:space="preserve"> </w:t>
      </w:r>
      <w:r>
        <w:t xml:space="preserve">I understand this as ’Abbás Effendi has a responsibility, but he is not given any particular rights. While holding a high station, Bahá’u’lláh’s leadership model does not change. Throughout the book, we describe how Bahá’u’lláh taught trusteeship in every level of society. Parents and monarchs and every level in between are to lead as trustees over that which they are entrusted to.</w:t>
      </w:r>
    </w:p>
    <w:p>
      <w:pPr>
        <w:pStyle w:val="BodyText"/>
      </w:pPr>
      <w:r>
        <w:t xml:space="preserve">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pPr>
        <w:pStyle w:val="BodyText"/>
      </w:pPr>
      <w:r>
        <w:t xml:space="preserve">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pPr>
        <w:pStyle w:val="BodyText"/>
      </w:pPr>
      <w:r>
        <w:t xml:space="preserve">None of the Branches had the authority to deprive any person of their rights, to deny anyone of their responsibilities, nor to change the law of Bahá’u’lláh. Again, this did not happen.</w:t>
      </w:r>
    </w:p>
    <w:p>
      <w:pPr>
        <w:pStyle w:val="BodyText"/>
      </w:pPr>
      <w:r>
        <w:rPr>
          <w:iCs/>
          <w:i/>
        </w:rPr>
        <w:t xml:space="preserve">Reflection: If</w:t>
      </w:r>
      <w:r>
        <w:rPr>
          <w:iCs/>
          <w:i/>
        </w:rPr>
        <w:t xml:space="preserve"> </w:t>
      </w:r>
      <w:r>
        <w:rPr>
          <w:iCs/>
          <w:i/>
        </w:rPr>
        <w:t xml:space="preserve">“</w:t>
      </w:r>
      <w:r>
        <w:rPr>
          <w:iCs/>
          <w:i/>
        </w:rPr>
        <w:t xml:space="preserve">turning towards</w:t>
      </w:r>
      <w:r>
        <w:rPr>
          <w:iCs/>
          <w:i/>
        </w:rPr>
        <w:t xml:space="preserve">”</w:t>
      </w:r>
      <w:r>
        <w:rPr>
          <w:iCs/>
          <w:i/>
        </w:rPr>
        <w:t xml:space="preserve"> </w:t>
      </w:r>
      <w:r>
        <w:rPr>
          <w:iCs/>
          <w:i/>
        </w:rPr>
        <w:t xml:space="preserve">can be read as responsibility without entitlement, what protections does that create for the soul?</w:t>
      </w:r>
    </w:p>
    <w:p>
      <w:pPr>
        <w:pStyle w:val="BodyText"/>
      </w:pPr>
      <w:r>
        <w:t xml:space="preserve">Those protections matter because spiritual successorship only works when the Book remains the standard.</w:t>
      </w:r>
    </w:p>
    <w:bookmarkEnd w:id="989"/>
    <w:bookmarkStart w:id="991" w:name="the-kitáb-i-ahd-the-book-of-my-covenant"/>
    <w:p>
      <w:pPr>
        <w:pStyle w:val="Heading2"/>
      </w:pPr>
      <w:r>
        <w:t xml:space="preserve">25.6 The Kitáb-i-’Ahd (The Book of My Covenant)</w:t>
      </w:r>
    </w:p>
    <w:p>
      <w:pPr>
        <w:pStyle w:val="FirstParagraph"/>
      </w:pPr>
      <w:r>
        <w:t xml:space="preserve">After Bahá’u’lláh passed away, this document was read and shared with the community. We shared the very first teaching within it regarding wealth. Bahá’u’lláh teaches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our human station is great. He reminds us to hold firm to the Divine Command.</w:t>
      </w:r>
    </w:p>
    <w:p>
      <w:pPr>
        <w:pStyle w:val="BodyText"/>
      </w:pPr>
      <w:r>
        <w:t xml:space="preserve">Bahá’u’lláh describes all religion to be for love and unity. Strife and contention are forbidden. He offers blessings for those who lead, especially those who believe in the Divine Command. His purpose is for the Kitáb-i-Aqdas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Bahá’u’lláh reiterates His explanations from the letters to Zanjan and Yazd. He says</w:t>
      </w:r>
      <w:r>
        <w:t xml:space="preserve"> </w:t>
      </w:r>
      <w:r>
        <w:t xml:space="preserve">“</w:t>
      </w:r>
      <w:r>
        <w:t xml:space="preserve">We have chosen the Most Mighty Branch after the Most Great Branch as a matter from the All Knowing, the All Aware.</w:t>
      </w:r>
      <w:r>
        <w:t xml:space="preserve">”</w:t>
      </w:r>
      <w:r>
        <w:t xml:space="preserve"> </w:t>
      </w:r>
      <w:r>
        <w:t xml:space="preserve">He counsels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 earned.</w:t>
      </w:r>
    </w:p>
    <w:p>
      <w:pPr>
        <w:pStyle w:val="BodyText"/>
      </w:pPr>
      <w:r>
        <w:t xml:space="preserve">Sadly, these things in the Kitáb-i-’Ahd did not happen.</w:t>
      </w:r>
    </w:p>
    <w:bookmarkStart w:id="990" w:name="the-testament-requires-trusteeship"/>
    <w:p>
      <w:pPr>
        <w:pStyle w:val="Heading3"/>
      </w:pPr>
      <w:r>
        <w:t xml:space="preserve">25.6.1 The Testament Requires Trusteeship</w:t>
      </w:r>
    </w:p>
    <w:p>
      <w:pPr>
        <w:pStyle w:val="FirstParagraph"/>
      </w:pPr>
      <w:r>
        <w:t xml:space="preserve">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 exaltation and the proceeding inability to consult. When one Branch took sole authority, the subtle design, it broke the equation of Oneness. Consultation, guided by the Holy Spirit, requires the process designed by God through Bahá’u’lláh. By reducing consultation to a single person’s decree, the Holy Spirit could no longer be active.</w:t>
      </w:r>
    </w:p>
    <w:p>
      <w:pPr>
        <w:pStyle w:val="BodyText"/>
      </w:pPr>
      <w:r>
        <w:t xml:space="preserve">The People of Baha were denied the active force of the Holy Spirit.</w:t>
      </w:r>
    </w:p>
    <w:p>
      <w:pPr>
        <w:pStyle w:val="BodyText"/>
      </w:pPr>
      <w:r>
        <w:t xml:space="preserve">I want to close this section on the Aghsán with an excerpt from the Tablet of Khalil, written sometime when Bahá’u’lláh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pPr>
        <w:pStyle w:val="FirstParagraph"/>
      </w:pPr>
      <w:r>
        <w:t xml:space="preserve">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pPr>
        <w:pStyle w:val="BodyText"/>
      </w:pPr>
      <w:r>
        <w:rPr>
          <w:iCs/>
          <w:i/>
        </w:rPr>
        <w:t xml:space="preserve">Reflection: If trusteeship is the moral heart of a testament, what happens to a community when trusteeship becomes personal rule?</w:t>
      </w:r>
    </w:p>
    <w:p>
      <w:pPr>
        <w:pStyle w:val="BodyText"/>
      </w:pPr>
      <w:r>
        <w:t xml:space="preserve">Seeing that consequence clearly is what makes the next steps feel urgent rather than abstract.</w:t>
      </w:r>
    </w:p>
    <w:bookmarkEnd w:id="990"/>
    <w:bookmarkEnd w:id="991"/>
    <w:bookmarkStart w:id="992" w:name="the-path-forward"/>
    <w:p>
      <w:pPr>
        <w:pStyle w:val="Heading2"/>
      </w:pPr>
      <w:r>
        <w:t xml:space="preserve">25.7 The Path Forward</w:t>
      </w:r>
    </w:p>
    <w:p>
      <w:pPr>
        <w:pStyle w:val="FirstParagraph"/>
      </w:pPr>
      <w:r>
        <w:t xml:space="preserve">While the Aghsán were unable to fulfill their purpose, we still have a path to move on. Bahá’u’lláh taught after the Aghsán, if the Houses of Justice are not yet established, the People of Baha are the spiritual successors. As you read this, you might be a Person of Baha. I invite you to this path forward, because liberation is not only promised. It is practiced.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pPr>
        <w:pStyle w:val="BodyText"/>
      </w:pPr>
      <w:r>
        <w:t xml:space="preserve">I believe this all starts with honoring not only the Kitáb-i-Aqdas, but also Bahá’u’lláh’s Testaments. If you hold any malice towards any of Bahá’u’lláh’s family, let it go. It is in the past. Pray for their spiritual well being and union with God. If you hold onto any notions of infallibility, let it go. Infallibility is reserved for the next Manifestation of God which will exist no earlier than 1,000 years after Bahá’u’lláh, and no later than the Báb’s concept of Mustagith (about 1,500 years). Today is today and tomorrow is tomorrow.</w:t>
      </w:r>
    </w:p>
    <w:p>
      <w:pPr>
        <w:pStyle w:val="BodyText"/>
      </w:pPr>
      <w:r>
        <w:t xml:space="preserve">To close, spiritual successorship is not only a story about what failed. It is a call to restore trusteeship as a living ethic, so that authority serves the Book and the people, rather than people serving authority. The next chapter will focus in on Trusteeship Governance, where we put the various concepts of Part 4 together. This is a path we can all walk on together in the name of Baha, and in honor of His ministry.</w:t>
      </w:r>
    </w:p>
    <w:p>
      <w:r>
        <w:br w:type="page"/>
      </w:r>
    </w:p>
    <w:bookmarkEnd w:id="992"/>
    <w:bookmarkEnd w:id="993"/>
    <w:bookmarkStart w:id="1004" w:name="peace"/>
    <w:p>
      <w:pPr>
        <w:pStyle w:val="Heading1"/>
      </w:pPr>
      <w:r>
        <w:t xml:space="preserve">26. Peace</w:t>
      </w:r>
    </w:p>
    <w:p>
      <w:pPr>
        <w:pStyle w:val="FirstParagraph"/>
      </w:pPr>
      <w:r>
        <w:t xml:space="preserve">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from miracles which defy the mathematical order God designed within everything. Peace is not established from brute force and sheer acts of omnipotent and omnipresent power. God is Most Subtle. Peace is the design of everything. When we look inward, there is One. When we look outwards, there is One. Every multiplicity is from One and returns to One. Every Vahid leads to One. Every birth and death leads to One. Every first and every last adds up to One. Peace is the end result of living within this reality, which is the foundational reality of all things.</w:t>
      </w:r>
    </w:p>
    <w:p>
      <w:pPr>
        <w:pStyle w:val="BodyText"/>
      </w:pPr>
      <w:r>
        <w:t xml:space="preserve">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every level of society. All of these levels are made of individuals just like you.</w:t>
      </w:r>
    </w:p>
    <w:p>
      <w:pPr>
        <w:pStyle w:val="BodyText"/>
      </w:pPr>
      <w:r>
        <w:t xml:space="preserve">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of purity and oneness through oppressive man made mechanisms, we are agents of the reordering of the world. We live Oneness together. This is achieving true liberation.</w:t>
      </w:r>
    </w:p>
    <w:bookmarkStart w:id="997"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994"/>
      </w:r>
      <w:r>
        <w:t xml:space="preserve"> </w:t>
      </w:r>
      <w:r>
        <w:t xml:space="preserve">This is not a top down enforcement of belief, but the final maturation of the Stage 1 Propagation authority granted to the House by a unified humanity.</w:t>
      </w:r>
    </w:p>
    <w:bookmarkStart w:id="995" w:name="the-lesser-peace"/>
    <w:p>
      <w:pPr>
        <w:pStyle w:val="Heading3"/>
      </w:pPr>
      <w:r>
        <w:t xml:space="preserve">26.1.1 The Lesser Peace</w:t>
      </w:r>
    </w:p>
    <w:p>
      <w:pPr>
        <w:pStyle w:val="FirstParagraph"/>
      </w:pPr>
      <w:r>
        <w:t xml:space="preserve">Bahá’u’lláh’s Epistle to the Son of the Wolf is a great review of many overarching themes Bahá’u’lláh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 Without the Lesser Peace, the world may remain trapped in the cycles of retribution we saw on the banks of the Rhine and the streets of Berlin, where unconstrained force replaces the fear of God.</w:t>
      </w:r>
    </w:p>
    <w:p>
      <w:pPr>
        <w:pStyle w:val="BodyText"/>
      </w:pPr>
      <w:r>
        <w:t xml:space="preserve">The first responsibility to establish the Lesser Peace is for the kings of the world, who are the dawning places of wealth and power. Bahá’u’lláh describes they should establish an assembly where they or the ministers who act on their behalf, create a decree of unity between nations. They should also agree to limiting weapons to only that which is necessary for the defense of their nations. Bahá’u’lláh says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pPr>
        <w:pStyle w:val="BodyText"/>
      </w:pPr>
      <w:r>
        <w:t xml:space="preserve">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995"/>
    <w:bookmarkStart w:id="996"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A leader must first be a Witness of the people’s suffering before they can be a Helper to their liberation.</w:t>
      </w:r>
    </w:p>
    <w:p>
      <w:pPr>
        <w:pStyle w:val="BodyText"/>
      </w:pPr>
      <w:r>
        <w:t xml:space="preserve">This concept is affirmed in the Kitáb-i-’Ahd’s final paragraph, where Bahá’u’lláh states His Will and Testament. Those who lived when Bahá’u’lláh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pPr>
        <w:pStyle w:val="BodyText"/>
      </w:pPr>
      <w:r>
        <w:rPr>
          <w:iCs/>
          <w:i/>
        </w:rPr>
        <w:t xml:space="preserve">Reflection: Where in your own life have you seen that peace requires design, not force, and what would it mean to trust that design?</w:t>
      </w:r>
    </w:p>
    <w:p>
      <w:pPr>
        <w:pStyle w:val="BodyText"/>
      </w:pPr>
      <w:r>
        <w:t xml:space="preserve">Now we move from spiritual principle into social structure, because peace has a form as well as a spirit.</w:t>
      </w:r>
    </w:p>
    <w:bookmarkEnd w:id="996"/>
    <w:bookmarkEnd w:id="997"/>
    <w:bookmarkStart w:id="998"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this is not limited to the type of government a nation has. The participating governments can be decentralized or centralized power structures, capitalist or socialist economies, single party or multi party, and led by civilians or the military. Bahá’u’lláh did not describe any qualifications other than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 The Lesser Peace assembly would utilize the consultative process of</w:t>
      </w:r>
      <w:r>
        <w:t xml:space="preserve"> </w:t>
      </w:r>
      <w:r>
        <w:t xml:space="preserve">“</w:t>
      </w:r>
      <w:r>
        <w:t xml:space="preserve">adorning the two with a third</w:t>
      </w:r>
      <w:r>
        <w:t xml:space="preserve">”</w:t>
      </w:r>
      <w:r>
        <w:t xml:space="preserve"> </w:t>
      </w:r>
      <w:r>
        <w:t xml:space="preserve">to find a synthesis of truth. By adding new souls to a disagreement and drawing lots if necessary, the assembly moves past political stalemates into a space where the Holy Spirit can confirm a path forward.</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pPr>
        <w:pStyle w:val="BodyText"/>
      </w:pPr>
      <w:r>
        <w:rPr>
          <w:iCs/>
          <w:i/>
        </w:rPr>
        <w:t xml:space="preserve">Reflection: If an assembly is simply people gathering for a shared purpose, what would it take for nations to meet with trusteeship instead of rivalry?</w:t>
      </w:r>
    </w:p>
    <w:p>
      <w:pPr>
        <w:pStyle w:val="BodyText"/>
      </w:pPr>
      <w:r>
        <w:t xml:space="preserve">That shift sets the stage for peace to move from aspiration into binding practice.</w:t>
      </w:r>
    </w:p>
    <w:bookmarkEnd w:id="998"/>
    <w:bookmarkStart w:id="999"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pPr>
        <w:pStyle w:val="BodyText"/>
      </w:pPr>
      <w:r>
        <w:t xml:space="preserve">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pPr>
        <w:pStyle w:val="BodyText"/>
      </w:pPr>
      <w:r>
        <w:t xml:space="preserve">Houses of Justice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pPr>
        <w:pStyle w:val="BodyText"/>
      </w:pPr>
      <w:r>
        <w:rPr>
          <w:iCs/>
          <w:i/>
        </w:rPr>
        <w:t xml:space="preserve">Reflection: What common affair feels most urgent to you, and how would you recognize it as genuinely common rather than politically convenient?</w:t>
      </w:r>
    </w:p>
    <w:p>
      <w:pPr>
        <w:pStyle w:val="BodyText"/>
      </w:pPr>
      <w:r>
        <w:t xml:space="preserve">Answering that keeps the Most Great Peace grounded in realities that protect the vulnerable.</w:t>
      </w:r>
    </w:p>
    <w:bookmarkEnd w:id="999"/>
    <w:bookmarkStart w:id="1000"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all people are part of the same religion or a dominant majority. Instead, I see three potential parallel pathways unification can take. These pathways represent the liberation of the illusions and desires of sectarianism. Whether through the direct recognition of Bahá’u’lláh or through the evolution of existing traditions (refining the virtues), the goal is a constellation of faith that guides humanity towards a single horizon.</w:t>
      </w:r>
    </w:p>
    <w:p>
      <w:pPr>
        <w:pStyle w:val="BodyText"/>
      </w:pPr>
      <w:r>
        <w:t xml:space="preserve">Parallel Pathway #1: The world increasingly becomes more aware of Bahá’u’lláh and the Kitáb-i-Aqdas. They learn about the Cause of God, the liberation of souls and societies, and believe Bahá’u’lláh is from God.</w:t>
      </w:r>
    </w:p>
    <w:p>
      <w:pPr>
        <w:pStyle w:val="BodyText"/>
      </w:pPr>
      <w:r>
        <w:t xml:space="preserve">Parallel Pathway #2: The religions of the world start to naturally adopt many of the teachings and beliefs of Bahá’u’lláh, such as the abolition of holy war and the full equality of women. These religions retain their names, their rituals, and traditions but evolve.</w:t>
      </w:r>
    </w:p>
    <w:p>
      <w:pPr>
        <w:pStyle w:val="BodyText"/>
      </w:pPr>
      <w:r>
        <w:t xml:space="preserve">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lead to courtship, engagement, and marriage approved through the consent of both spouses and both sets of parents?</w:t>
      </w:r>
    </w:p>
    <w:p>
      <w:pPr>
        <w:pStyle w:val="BodyText"/>
      </w:pPr>
      <w:r>
        <w:t xml:space="preserve">None of these pathways are mutually exclusive and each can occur together. The worldwide House of Justice can work towards each of these 3 pathways, or any other parallel pathway identified. Assemblies of religions can help foster these pathways.</w:t>
      </w:r>
    </w:p>
    <w:p>
      <w:pPr>
        <w:pStyle w:val="BodyText"/>
      </w:pPr>
      <w:r>
        <w:rPr>
          <w:iCs/>
          <w:i/>
        </w:rPr>
        <w:t xml:space="preserve">Reflection: If sectarianism is an illusion that binds the heart, what would liberation from it look like in ordinary relationships?</w:t>
      </w:r>
    </w:p>
    <w:p>
      <w:pPr>
        <w:pStyle w:val="BodyText"/>
      </w:pPr>
      <w:r>
        <w:t xml:space="preserve">That question turns religious unification from abstraction into daily discipline.</w:t>
      </w:r>
    </w:p>
    <w:bookmarkEnd w:id="1000"/>
    <w:bookmarkStart w:id="1001" w:name="a-king-who-believes"/>
    <w:p>
      <w:pPr>
        <w:pStyle w:val="Heading2"/>
      </w:pPr>
      <w:r>
        <w:t xml:space="preserve">26.5 A King Who Believes</w:t>
      </w:r>
    </w:p>
    <w:p>
      <w:pPr>
        <w:pStyle w:val="FirstParagraph"/>
      </w:pPr>
      <w:r>
        <w:t xml:space="preserve">We have a responsibility towards any sovereign leader who arises to serve the Cause of God. The Kitáb-i-Aqdas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pPr>
        <w:pStyle w:val="FirstParagraph"/>
      </w:pPr>
      <w:r>
        <w:rPr>
          <w:iCs/>
          <w:i/>
        </w:rPr>
        <w:t xml:space="preserve">Reflection: How does one recognize a leader who arises to serve the Cause of God? Once recognized, how might supporting them with your wealth and lives look like within your life?</w:t>
      </w:r>
    </w:p>
    <w:p>
      <w:pPr>
        <w:pStyle w:val="BodyText"/>
      </w:pPr>
      <w:r>
        <w:t xml:space="preserve">Knowing our responsibility towards the peace and a potential sovereign leader who serves the Cause of God can inspire us to be through a constant process of preparation, ready to help ourselves and others to achieve true liberation.</w:t>
      </w:r>
    </w:p>
    <w:bookmarkEnd w:id="1001"/>
    <w:bookmarkStart w:id="1002"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pPr>
        <w:pStyle w:val="BodyText"/>
      </w:pPr>
      <w:r>
        <w:t xml:space="preserve">Decentralization is fundamentally more difficult and throughout history, decentralized institutions have regularly ceded increasing power and control towards centralization. Crises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spiritual practices of prayer and reflection. Everything comes down to the individual. There is a cyclical never 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enhancing our belief. Every day is a new opportunity for refinement. Practice may not lead to perfection, but it is the only pathway towards perfection. Always keep practicing.</w:t>
      </w:r>
    </w:p>
    <w:p>
      <w:pPr>
        <w:pStyle w:val="BodyText"/>
      </w:pPr>
      <w:r>
        <w:t xml:space="preserve">This feedback loop is the internal form of consultation, which ensures we are as capable as any person to participate in the emergence of peace. I recognize it can seem like hard work, and potentially a significant reorientation of our lifestyles. This work prepares us to be the knights, like those believers of Shiraz, capable of serving as trustees for the liberation of others. While being mindful Bahá’u’lláh did not want us overburdened, we can actively pursue good deeds. This can be as simple as helping an elderly person grab an item at a grocery store or as complex as raising another’s child. Being a trustee can also utilize your skills to actively work in social, civic, and political roles.</w:t>
      </w:r>
    </w:p>
    <w:p>
      <w:pPr>
        <w:pStyle w:val="BodyText"/>
      </w:pPr>
      <w:r>
        <w:t xml:space="preserve">If Bahá’u’lláh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w:t>
      </w:r>
      <w:r>
        <w:t xml:space="preserve"> </w:t>
      </w:r>
      <w:r>
        <w:t xml:space="preserve">‘</w:t>
      </w:r>
      <w:r>
        <w:t xml:space="preserve">owl among the ruins</w:t>
      </w:r>
      <w:r>
        <w:t xml:space="preserve">’</w:t>
      </w:r>
      <w:r>
        <w:t xml:space="preserve"> </w:t>
      </w:r>
      <w:r>
        <w:t xml:space="preserve">of Rome or Istanbul, we are the builders of a new Ark. This Ark is designed by the captain of the Crimson Ark, and can lead us to the shores of Oneness in humanity.</w:t>
      </w:r>
    </w:p>
    <w:p>
      <w:pPr>
        <w:pStyle w:val="BodyText"/>
      </w:pPr>
      <w:r>
        <w:t xml:space="preserve">Explore within yourself, within your developing God consciousness. As peace grows within you, that peace can help others attain peace.</w:t>
      </w:r>
    </w:p>
    <w:p>
      <w:pPr>
        <w:pStyle w:val="BodyText"/>
      </w:pPr>
      <w:r>
        <w:rPr>
          <w:iCs/>
          <w:i/>
        </w:rPr>
        <w:t xml:space="preserve">Reflection: If peace is built from daily virtues, what responsibility do you refuse to surrender, even when it would feel easier to do so?</w:t>
      </w:r>
    </w:p>
    <w:p>
      <w:pPr>
        <w:pStyle w:val="BodyText"/>
      </w:pPr>
      <w:r>
        <w:t xml:space="preserve">That refusal is where trusteeship becomes real, and where liberation theology becomes practice rather than slogan.</w:t>
      </w:r>
    </w:p>
    <w:bookmarkEnd w:id="1002"/>
    <w:bookmarkStart w:id="1003"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Bahá’u’lláh’s guidance in teaching others. How will people know there is a Kitáb-i-Aqdas created to liberate them starting today and for at least another 800 years?</w:t>
      </w:r>
    </w:p>
    <w:p>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turns to teaching because no structure of peace can endure unless hearts are awakened to the Book, the responsibilities it restores, and the oneness it asks us to live.</w:t>
      </w:r>
    </w:p>
    <w:p>
      <w:r>
        <w:br w:type="page"/>
      </w:r>
    </w:p>
    <w:bookmarkEnd w:id="1003"/>
    <w:bookmarkEnd w:id="1004"/>
    <w:bookmarkStart w:id="1022" w:name="serving-the-cause"/>
    <w:p>
      <w:pPr>
        <w:pStyle w:val="Heading1"/>
      </w:pPr>
      <w:r>
        <w:t xml:space="preserve">27. Serving the Cause</w:t>
      </w:r>
    </w:p>
    <w:p>
      <w:pPr>
        <w:pStyle w:val="FirstParagraph"/>
      </w:pPr>
      <w:r>
        <w:t xml:space="preserve">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1005"/>
      </w:r>
      <w:r>
        <w:t xml:space="preserve"> </w:t>
      </w:r>
      <w:r>
        <w:t xml:space="preserve">This book has covered in significant detail how to be a good example, or at least has shared the framework the Kitáb-i-Aqdas provides. We have spent 26 chapters sharing what the Cause of God is. Now we close this final chapter on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bookmarkStart w:id="1013" w:name="proclaiming-the-cause"/>
    <w:p>
      <w:pPr>
        <w:pStyle w:val="Heading2"/>
      </w:pPr>
      <w:r>
        <w:t xml:space="preserve">27.1 Proclaiming the Cause</w:t>
      </w:r>
    </w:p>
    <w:bookmarkStart w:id="1007" w:name="the-abolition-of-impurity"/>
    <w:p>
      <w:pPr>
        <w:pStyle w:val="Heading3"/>
      </w:pPr>
      <w:r>
        <w:t xml:space="preserve">27.1.1 The Abolition of Impurity</w:t>
      </w:r>
    </w:p>
    <w:p>
      <w:pPr>
        <w:pStyle w:val="FirstParagraph"/>
      </w:pPr>
      <w:r>
        <w:t xml:space="preserve">Bahá’u’lláh tells us to proclaim the Cause to the followers of other religions.</w:t>
      </w:r>
      <w:r>
        <w:rPr>
          <w:rStyle w:val="FootnoteReference"/>
        </w:rPr>
        <w:footnoteReference w:id="1006"/>
      </w:r>
      <w:r>
        <w:t xml:space="preserve"> </w:t>
      </w:r>
      <w:r>
        <w:t xml:space="preserve">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bookmarkEnd w:id="1007"/>
    <w:bookmarkStart w:id="1011" w:name="mention-god-among-nations-and-people"/>
    <w:p>
      <w:pPr>
        <w:pStyle w:val="Heading3"/>
      </w:pPr>
      <w:r>
        <w:t xml:space="preserve">27.1.2 Mention God Among Nations and People</w:t>
      </w:r>
    </w:p>
    <w:p>
      <w:pPr>
        <w:pStyle w:val="FirstParagraph"/>
      </w:pPr>
      <w:r>
        <w:t xml:space="preserve">Bahá’u’lláh has permitted, but not required, people to learn various languages to proclaim the Cause of God throughout both East and West.</w:t>
      </w:r>
      <w:r>
        <w:rPr>
          <w:rStyle w:val="FootnoteReference"/>
        </w:rPr>
        <w:footnoteReference w:id="1008"/>
      </w:r>
      <w:r>
        <w:t xml:space="preserve"> </w:t>
      </w:r>
      <w:r>
        <w:t xml:space="preserve">The Kitáb-i-Aqdas also expresses a couple of proclamations God had made Himself through Bahá’u’lláh. I consider these proclamations to be examples of how to mention God among the nations and people.</w:t>
      </w:r>
    </w:p>
    <w:p>
      <w:pPr>
        <w:pStyle w:val="BodyText"/>
      </w:pPr>
      <w:r>
        <w:t xml:space="preserve">One example is for people to turn with radiant faces and hearts of joy towards the Sidrat-ul-Muntahá which proclaims</w:t>
      </w:r>
      <w:r>
        <w:t xml:space="preserve"> </w:t>
      </w:r>
      <w:r>
        <w:t xml:space="preserve">“</w:t>
      </w:r>
      <w:r>
        <w:t xml:space="preserve">There is no God but Me, the All Possessing, the Self Subsisting.</w:t>
      </w:r>
      <w:r>
        <w:t xml:space="preserve">”</w:t>
      </w:r>
      <w:r>
        <w:rPr>
          <w:rStyle w:val="FootnoteReference"/>
        </w:rPr>
        <w:footnoteReference w:id="1009"/>
      </w:r>
      <w:r>
        <w:t xml:space="preserve"> </w:t>
      </w:r>
      <w:r>
        <w:t xml:space="preserve">Another example is when Bahá’u’lláh counsels us to be manifestations of steadfastness when the Book proclaims</w:t>
      </w:r>
      <w:r>
        <w:t xml:space="preserve"> </w:t>
      </w:r>
      <w:r>
        <w:t xml:space="preserve">“</w:t>
      </w:r>
      <w:r>
        <w:t xml:space="preserve">There is no God but Me, the Almighty, the All Praised.</w:t>
      </w:r>
      <w:r>
        <w:t xml:space="preserve">”</w:t>
      </w:r>
      <w:r>
        <w:rPr>
          <w:rStyle w:val="FootnoteReference"/>
        </w:rPr>
        <w:footnoteReference w:id="1010"/>
      </w:r>
    </w:p>
    <w:bookmarkEnd w:id="1011"/>
    <w:bookmarkStart w:id="1012" w:name="the-great-announcement"/>
    <w:p>
      <w:pPr>
        <w:pStyle w:val="Heading3"/>
      </w:pPr>
      <w:r>
        <w:t xml:space="preserve">27.1.3 The Great Announcement</w:t>
      </w:r>
    </w:p>
    <w:p>
      <w:pPr>
        <w:pStyle w:val="FirstParagraph"/>
      </w:pPr>
      <w:r>
        <w:t xml:space="preserve">These two simple instructions parallel most of Bahá’u’lláh’s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Bahá’u’lláh first made His announcement to the world, and this announcement continued throughout the rest of His ministry.</w:t>
      </w:r>
    </w:p>
    <w:p>
      <w:pPr>
        <w:pStyle w:val="BodyText"/>
      </w:pPr>
      <w:r>
        <w:t xml:space="preserve">We must be steadfast, radiant, and joyous in our proclamation. If we lack either trait or quality, the Great Announcement will not have the full effect. There are only four things which need to be proclaimed. The first is</w:t>
      </w:r>
      <w:r>
        <w:t xml:space="preserve"> </w:t>
      </w:r>
      <w:r>
        <w:t xml:space="preserve">“</w:t>
      </w:r>
      <w:r>
        <w:t xml:space="preserve">there is no God but Me.</w:t>
      </w:r>
      <w:r>
        <w:t xml:space="preserve">”</w:t>
      </w:r>
      <w:r>
        <w:t xml:space="preserve"> </w:t>
      </w:r>
      <w:r>
        <w:t xml:space="preserve">The second is God has spoken again through the name of Bahá’u’lláh,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identifying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p>
      <w:pPr>
        <w:pStyle w:val="BodyText"/>
      </w:pPr>
      <w:r>
        <w:rPr>
          <w:iCs/>
          <w:i/>
        </w:rPr>
        <w:t xml:space="preserve">Reflection: When you speak about God or truth, what qualities in your heart determine whether your words attract others or repel them?</w:t>
      </w:r>
    </w:p>
    <w:p>
      <w:pPr>
        <w:pStyle w:val="BodyText"/>
      </w:pPr>
      <w:r>
        <w:t xml:space="preserve">This question matters because proclamation depends as much on character as it does on speech.</w:t>
      </w:r>
    </w:p>
    <w:bookmarkEnd w:id="1012"/>
    <w:bookmarkEnd w:id="1013"/>
    <w:bookmarkStart w:id="1015" w:name="teaching-the-cause"/>
    <w:p>
      <w:pPr>
        <w:pStyle w:val="Heading2"/>
      </w:pPr>
      <w:r>
        <w:t xml:space="preserve">27.2 Teaching the Cause</w:t>
      </w:r>
    </w:p>
    <w:p>
      <w:pPr>
        <w:pStyle w:val="FirstParagraph"/>
      </w:pPr>
      <w:r>
        <w:t xml:space="preserve">The Kitáb-i-Aqdas itself says very little about teaching, yet we know teaching has a high station. With the inheritance law, teachers are the only non familial category to receive a share in the absence of a will. If anyone chose to model their inheritance after the Aqdas, teachers receive 3.6 percent. This means not only are teachers entrusted with a task, we are also entrusted to serve the teachers. There is no other profession in the Kitáb-i-Aqdas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responded to the proclamation, we let go and move on.</w:t>
      </w:r>
    </w:p>
    <w:p>
      <w:pPr>
        <w:pStyle w:val="BodyText"/>
      </w:pPr>
      <w:r>
        <w:t xml:space="preserve">Bahá’u’lláh instructs us to adorn ourselves with good deeds, then through wisdom and eloquence.</w:t>
      </w:r>
      <w:r>
        <w:rPr>
          <w:rStyle w:val="FootnoteReference"/>
        </w:rPr>
        <w:footnoteReference w:id="1014"/>
      </w:r>
      <w:r>
        <w:t xml:space="preserve"> </w:t>
      </w:r>
      <w:r>
        <w:t xml:space="preserve">Bahá’u’lláh expands upon this simple framework in an unnamed tablet BH02623. I am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Bahá’u’lláh Himself has taught others, and how we can teach using His example. The entirety of this section is derived from this tablet.</w:t>
      </w:r>
    </w:p>
    <w:p>
      <w:pPr>
        <w:pStyle w:val="BodyText"/>
      </w:pPr>
      <w:r>
        <w:rPr>
          <w:iCs/>
          <w:i/>
        </w:rPr>
        <w:t xml:space="preserve">Reflection: What distinguishes teaching from proclamation, and why might a soul need both at different moments in their journey?</w:t>
      </w:r>
    </w:p>
    <w:p>
      <w:pPr>
        <w:pStyle w:val="BodyText"/>
      </w:pPr>
      <w:r>
        <w:t xml:space="preserve">Understanding this difference prepares us to approach teaching with patience rather than urgency.</w:t>
      </w:r>
    </w:p>
    <w:bookmarkEnd w:id="1015"/>
    <w:bookmarkStart w:id="1020" w:name="teaching-with-the-measure-of-mercy"/>
    <w:p>
      <w:pPr>
        <w:pStyle w:val="Heading2"/>
      </w:pPr>
      <w:r>
        <w:t xml:space="preserve">27.3 Teaching With The Measure of Mercy</w:t>
      </w:r>
    </w:p>
    <w:p>
      <w:pPr>
        <w:pStyle w:val="FirstParagraph"/>
      </w:pPr>
      <w:r>
        <w:t xml:space="preserve">Teaching with the measure of mercy begins with orientation. Bahá’u’lláh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become a true sage if they desire to heal the spirit.</w:t>
      </w:r>
    </w:p>
    <w:bookmarkStart w:id="1016" w:name="being-a-spiritual-physician"/>
    <w:p>
      <w:pPr>
        <w:pStyle w:val="Heading3"/>
      </w:pPr>
      <w:r>
        <w:t xml:space="preserve">27.3.1 Being a Spiritual Physician</w:t>
      </w:r>
    </w:p>
    <w:p>
      <w:pPr>
        <w:pStyle w:val="FirstParagraph"/>
      </w:pPr>
      <w:r>
        <w:t xml:space="preserve">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pPr>
        <w:pStyle w:val="BodyText"/>
      </w:pPr>
      <w:r>
        <w:t xml:space="preserve">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only develop a treatment plan once we understand what needs healing.</w:t>
      </w:r>
    </w:p>
    <w:bookmarkEnd w:id="1016"/>
    <w:bookmarkStart w:id="1017" w:name="trauma-of-bad-spiritual-leadership"/>
    <w:p>
      <w:pPr>
        <w:pStyle w:val="Heading3"/>
      </w:pPr>
      <w:r>
        <w:t xml:space="preserve">27.3.2 Trauma of Bad Spiritual Leadership</w:t>
      </w:r>
    </w:p>
    <w:p>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 being of a soul. Bahá’u’lláh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into all the ways, but know if trusteeship is meant to be practiced in every level of human experience, so too have the expressions of oppression and tyranny. Be receptive and know this world has a lot of pain to heal. Even the teacher themselves could be healing as they heal.</w:t>
      </w:r>
    </w:p>
    <w:bookmarkEnd w:id="1017"/>
    <w:bookmarkStart w:id="1018" w:name="milk-before-meat"/>
    <w:p>
      <w:pPr>
        <w:pStyle w:val="Heading3"/>
      </w:pPr>
      <w:r>
        <w:t xml:space="preserve">27.3.3 Milk Before Meat</w:t>
      </w:r>
    </w:p>
    <w:p>
      <w:pPr>
        <w:pStyle w:val="FirstParagraph"/>
      </w:pPr>
      <w:r>
        <w:t xml:space="preserve">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teachings.</w:t>
      </w:r>
    </w:p>
    <w:p>
      <w:pPr>
        <w:pStyle w:val="BodyText"/>
      </w:pPr>
      <w:r>
        <w:t xml:space="preserve">Once the soul’s capacity has been nurtured and has grown, the next stage is to give fruit. The fruit is guardianship (the Arabic word wilayat). A wali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Bahá’u’lláh cares for them and see Him and their teacher as examples to follow. The spiritual practices can be introduced, instructed, and practiced. The soul explores these at their own pace and learns to develop a personal relationship with God.</w:t>
      </w:r>
    </w:p>
    <w:p>
      <w:pPr>
        <w:pStyle w:val="BodyText"/>
      </w:pPr>
      <w:r>
        <w:t xml:space="preserve">Over time the fruit has nurtured the soul and when they are ready, the teacher may give them the meat. The meat would be the most difficult aspects of belief. This could include expressing the full station of Bahá’u’lláh. For many, just the idea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bookmarkEnd w:id="1018"/>
    <w:bookmarkStart w:id="1019" w:name="every-soul-is-a-seeker"/>
    <w:p>
      <w:pPr>
        <w:pStyle w:val="Heading3"/>
      </w:pPr>
      <w:r>
        <w:t xml:space="preserve">27.3.4 Every Soul is a Seeker</w:t>
      </w:r>
    </w:p>
    <w:p>
      <w:pPr>
        <w:pStyle w:val="FirstParagraph"/>
      </w:pPr>
      <w:r>
        <w:t xml:space="preserve">Bahá’u’lláh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 term well 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pPr>
        <w:pStyle w:val="BodyText"/>
      </w:pPr>
      <w:r>
        <w:rPr>
          <w:iCs/>
          <w:i/>
        </w:rPr>
        <w:t xml:space="preserve">Reflection: When someone begins to search for truth, what kind of patience and humility must the teacher practice so that mercy remains the measure of teaching?</w:t>
      </w:r>
    </w:p>
    <w:p>
      <w:pPr>
        <w:pStyle w:val="BodyText"/>
      </w:pPr>
      <w:r>
        <w:t xml:space="preserve">This reflection reminds us that teaching is not persuasion but healing.</w:t>
      </w:r>
    </w:p>
    <w:bookmarkEnd w:id="1019"/>
    <w:bookmarkEnd w:id="1020"/>
    <w:bookmarkStart w:id="1021" w:name="the-kitab-i-aqdas-is-the-curriculum"/>
    <w:p>
      <w:pPr>
        <w:pStyle w:val="Heading2"/>
      </w:pPr>
      <w:r>
        <w:t xml:space="preserve">27.4 The Kitab-i-Aqdas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pPr>
        <w:pStyle w:val="BodyText"/>
      </w:pPr>
      <w:r>
        <w:t xml:space="preserve">I believe this is why Bahá’u’lláh did not create any other curriculum or any formal institution. The Teaching With Mercy method is purposefully open 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pPr>
        <w:pStyle w:val="BodyText"/>
      </w:pPr>
      <w:r>
        <w:t xml:space="preserve">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its purpose is to be liberated, and that you are willing to act as a trustee to your own soul.</w:t>
      </w:r>
    </w:p>
    <w:p>
      <w:pPr>
        <w:pStyle w:val="BodyText"/>
      </w:pPr>
      <w:r>
        <w:t xml:space="preserve">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r>
        <w:br w:type="page"/>
      </w:r>
    </w:p>
    <w:bookmarkEnd w:id="1021"/>
    <w:bookmarkEnd w:id="1022"/>
    <w:bookmarkStart w:id="1023" w:name="appendix-a-names-of-god"/>
    <w:p>
      <w:pPr>
        <w:pStyle w:val="Heading1"/>
      </w:pPr>
      <w:r>
        <w:t xml:space="preserve">Appendix A: Names of God</w:t>
      </w:r>
    </w:p>
    <w:p>
      <w:pPr>
        <w:pStyle w:val="FirstParagraph"/>
      </w:pPr>
      <w:r>
        <w:t xml:space="preserve">The following is a listing of the nineteen groups of the Names of God and the names associated with each group:</w:t>
      </w:r>
    </w:p>
    <w:p>
      <w:pPr>
        <w:numPr>
          <w:ilvl w:val="0"/>
          <w:numId w:val="1023"/>
        </w:numPr>
        <w:pStyle w:val="Compact"/>
      </w:pPr>
      <w:r>
        <w:t xml:space="preserve">Subtlety</w:t>
      </w:r>
    </w:p>
    <w:p>
      <w:pPr>
        <w:numPr>
          <w:ilvl w:val="1"/>
          <w:numId w:val="1024"/>
        </w:numPr>
        <w:pStyle w:val="Compact"/>
      </w:pPr>
      <w:r>
        <w:t xml:space="preserve">Name: Most Subtle</w:t>
      </w:r>
    </w:p>
    <w:p>
      <w:pPr>
        <w:numPr>
          <w:ilvl w:val="0"/>
          <w:numId w:val="1023"/>
        </w:numPr>
        <w:pStyle w:val="Compact"/>
      </w:pPr>
      <w:r>
        <w:t xml:space="preserve">Manifestation</w:t>
      </w:r>
    </w:p>
    <w:p>
      <w:pPr>
        <w:numPr>
          <w:ilvl w:val="1"/>
          <w:numId w:val="1025"/>
        </w:numPr>
        <w:pStyle w:val="Compact"/>
      </w:pPr>
      <w:r>
        <w:t xml:space="preserve">Name: Manifest</w:t>
      </w:r>
    </w:p>
    <w:p>
      <w:pPr>
        <w:numPr>
          <w:ilvl w:val="0"/>
          <w:numId w:val="1023"/>
        </w:numPr>
        <w:pStyle w:val="Compact"/>
      </w:pPr>
      <w:r>
        <w:t xml:space="preserve">Knowledge</w:t>
      </w:r>
    </w:p>
    <w:p>
      <w:pPr>
        <w:numPr>
          <w:ilvl w:val="1"/>
          <w:numId w:val="1026"/>
        </w:numPr>
        <w:pStyle w:val="Compact"/>
      </w:pPr>
      <w:r>
        <w:t xml:space="preserve">Name: All Knowing</w:t>
      </w:r>
    </w:p>
    <w:p>
      <w:pPr>
        <w:numPr>
          <w:ilvl w:val="1"/>
          <w:numId w:val="1026"/>
        </w:numPr>
        <w:pStyle w:val="Compact"/>
      </w:pPr>
      <w:r>
        <w:t xml:space="preserve">Name: All Informed</w:t>
      </w:r>
    </w:p>
    <w:p>
      <w:pPr>
        <w:numPr>
          <w:ilvl w:val="1"/>
          <w:numId w:val="1026"/>
        </w:numPr>
        <w:pStyle w:val="Compact"/>
      </w:pPr>
      <w:r>
        <w:t xml:space="preserve">Name: Wise</w:t>
      </w:r>
    </w:p>
    <w:p>
      <w:pPr>
        <w:numPr>
          <w:ilvl w:val="1"/>
          <w:numId w:val="1026"/>
        </w:numPr>
        <w:pStyle w:val="Compact"/>
      </w:pPr>
      <w:r>
        <w:t xml:space="preserve">Name: Knower of All Things</w:t>
      </w:r>
    </w:p>
    <w:p>
      <w:pPr>
        <w:numPr>
          <w:ilvl w:val="0"/>
          <w:numId w:val="1023"/>
        </w:numPr>
        <w:pStyle w:val="Compact"/>
      </w:pPr>
      <w:r>
        <w:t xml:space="preserve">Creation</w:t>
      </w:r>
    </w:p>
    <w:p>
      <w:pPr>
        <w:numPr>
          <w:ilvl w:val="1"/>
          <w:numId w:val="1027"/>
        </w:numPr>
        <w:pStyle w:val="Compact"/>
      </w:pPr>
      <w:r>
        <w:t xml:space="preserve">Name: Dawning Place</w:t>
      </w:r>
    </w:p>
    <w:p>
      <w:pPr>
        <w:numPr>
          <w:ilvl w:val="1"/>
          <w:numId w:val="1027"/>
        </w:numPr>
        <w:pStyle w:val="Compact"/>
      </w:pPr>
      <w:r>
        <w:t xml:space="preserve">Name: Creator</w:t>
      </w:r>
    </w:p>
    <w:p>
      <w:pPr>
        <w:numPr>
          <w:ilvl w:val="0"/>
          <w:numId w:val="1023"/>
        </w:numPr>
        <w:pStyle w:val="Compact"/>
      </w:pPr>
      <w:r>
        <w:t xml:space="preserve">Power</w:t>
      </w:r>
    </w:p>
    <w:p>
      <w:pPr>
        <w:numPr>
          <w:ilvl w:val="1"/>
          <w:numId w:val="1028"/>
        </w:numPr>
        <w:pStyle w:val="Compact"/>
      </w:pPr>
      <w:r>
        <w:t xml:space="preserve">Name: Almighty</w:t>
      </w:r>
    </w:p>
    <w:p>
      <w:pPr>
        <w:numPr>
          <w:ilvl w:val="1"/>
          <w:numId w:val="1028"/>
        </w:numPr>
        <w:pStyle w:val="Compact"/>
      </w:pPr>
      <w:r>
        <w:t xml:space="preserve">Name: All Powerful</w:t>
      </w:r>
    </w:p>
    <w:p>
      <w:pPr>
        <w:numPr>
          <w:ilvl w:val="1"/>
          <w:numId w:val="1028"/>
        </w:numPr>
        <w:pStyle w:val="Compact"/>
      </w:pPr>
      <w:r>
        <w:t xml:space="preserve">Name: All Capable</w:t>
      </w:r>
    </w:p>
    <w:p>
      <w:pPr>
        <w:numPr>
          <w:ilvl w:val="1"/>
          <w:numId w:val="1028"/>
        </w:numPr>
        <w:pStyle w:val="Compact"/>
      </w:pPr>
      <w:r>
        <w:t xml:space="preserve">Name: All Subduing</w:t>
      </w:r>
    </w:p>
    <w:p>
      <w:pPr>
        <w:numPr>
          <w:ilvl w:val="1"/>
          <w:numId w:val="1028"/>
        </w:numPr>
        <w:pStyle w:val="Compact"/>
      </w:pPr>
      <w:r>
        <w:t xml:space="preserve">Name: All Sufficient</w:t>
      </w:r>
    </w:p>
    <w:p>
      <w:pPr>
        <w:numPr>
          <w:ilvl w:val="0"/>
          <w:numId w:val="1023"/>
        </w:numPr>
        <w:pStyle w:val="Compact"/>
      </w:pPr>
      <w:r>
        <w:t xml:space="preserve">Lordship</w:t>
      </w:r>
    </w:p>
    <w:p>
      <w:pPr>
        <w:numPr>
          <w:ilvl w:val="1"/>
          <w:numId w:val="1029"/>
        </w:numPr>
        <w:pStyle w:val="Compact"/>
      </w:pPr>
      <w:r>
        <w:t xml:space="preserve">Name: Lord</w:t>
      </w:r>
    </w:p>
    <w:p>
      <w:pPr>
        <w:numPr>
          <w:ilvl w:val="0"/>
          <w:numId w:val="1023"/>
        </w:numPr>
        <w:pStyle w:val="Compact"/>
      </w:pPr>
      <w:r>
        <w:t xml:space="preserve">Justice</w:t>
      </w:r>
    </w:p>
    <w:p>
      <w:pPr>
        <w:numPr>
          <w:ilvl w:val="1"/>
          <w:numId w:val="1030"/>
        </w:numPr>
        <w:pStyle w:val="Compact"/>
      </w:pPr>
      <w:r>
        <w:t xml:space="preserve">Name: Judge</w:t>
      </w:r>
    </w:p>
    <w:p>
      <w:pPr>
        <w:numPr>
          <w:ilvl w:val="1"/>
          <w:numId w:val="1030"/>
        </w:numPr>
        <w:pStyle w:val="Compact"/>
      </w:pPr>
      <w:r>
        <w:t xml:space="preserve">Name: Just</w:t>
      </w:r>
    </w:p>
    <w:p>
      <w:pPr>
        <w:numPr>
          <w:ilvl w:val="1"/>
          <w:numId w:val="1030"/>
        </w:numPr>
        <w:pStyle w:val="Compact"/>
      </w:pPr>
      <w:r>
        <w:t xml:space="preserve">Name: Reckoner</w:t>
      </w:r>
    </w:p>
    <w:p>
      <w:pPr>
        <w:numPr>
          <w:ilvl w:val="0"/>
          <w:numId w:val="1023"/>
        </w:numPr>
        <w:pStyle w:val="Compact"/>
      </w:pPr>
      <w:r>
        <w:t xml:space="preserve">Exaltation</w:t>
      </w:r>
    </w:p>
    <w:p>
      <w:pPr>
        <w:numPr>
          <w:ilvl w:val="1"/>
          <w:numId w:val="1031"/>
        </w:numPr>
        <w:pStyle w:val="Compact"/>
      </w:pPr>
      <w:r>
        <w:t xml:space="preserve">Name: Most Exalted</w:t>
      </w:r>
    </w:p>
    <w:p>
      <w:pPr>
        <w:numPr>
          <w:ilvl w:val="1"/>
          <w:numId w:val="1031"/>
        </w:numPr>
        <w:pStyle w:val="Compact"/>
      </w:pPr>
      <w:r>
        <w:t xml:space="preserve">Name: Most High</w:t>
      </w:r>
    </w:p>
    <w:p>
      <w:pPr>
        <w:numPr>
          <w:ilvl w:val="1"/>
          <w:numId w:val="1031"/>
        </w:numPr>
        <w:pStyle w:val="Compact"/>
      </w:pPr>
      <w:r>
        <w:t xml:space="preserve">Name: Great</w:t>
      </w:r>
    </w:p>
    <w:p>
      <w:pPr>
        <w:numPr>
          <w:ilvl w:val="1"/>
          <w:numId w:val="1031"/>
        </w:numPr>
        <w:pStyle w:val="Compact"/>
      </w:pPr>
      <w:r>
        <w:t xml:space="preserve">Name: Majestic</w:t>
      </w:r>
    </w:p>
    <w:p>
      <w:pPr>
        <w:numPr>
          <w:ilvl w:val="1"/>
          <w:numId w:val="1031"/>
        </w:numPr>
        <w:pStyle w:val="Compact"/>
      </w:pPr>
      <w:r>
        <w:t xml:space="preserve">Name: Most Glorious</w:t>
      </w:r>
    </w:p>
    <w:p>
      <w:pPr>
        <w:numPr>
          <w:ilvl w:val="1"/>
          <w:numId w:val="1031"/>
        </w:numPr>
        <w:pStyle w:val="Compact"/>
      </w:pPr>
      <w:r>
        <w:t xml:space="preserve">Name: Greatest Infallibility</w:t>
      </w:r>
    </w:p>
    <w:p>
      <w:pPr>
        <w:numPr>
          <w:ilvl w:val="0"/>
          <w:numId w:val="1023"/>
        </w:numPr>
        <w:pStyle w:val="Compact"/>
      </w:pPr>
      <w:r>
        <w:t xml:space="preserve">Independence</w:t>
      </w:r>
    </w:p>
    <w:p>
      <w:pPr>
        <w:numPr>
          <w:ilvl w:val="1"/>
          <w:numId w:val="1032"/>
        </w:numPr>
        <w:pStyle w:val="Compact"/>
      </w:pPr>
      <w:r>
        <w:t xml:space="preserve">Name: Self Sufficient</w:t>
      </w:r>
    </w:p>
    <w:p>
      <w:pPr>
        <w:numPr>
          <w:ilvl w:val="1"/>
          <w:numId w:val="1032"/>
        </w:numPr>
        <w:pStyle w:val="Compact"/>
      </w:pPr>
      <w:r>
        <w:t xml:space="preserve">Name: Self Subsisting</w:t>
      </w:r>
    </w:p>
    <w:p>
      <w:pPr>
        <w:numPr>
          <w:ilvl w:val="1"/>
          <w:numId w:val="1032"/>
        </w:numPr>
        <w:pStyle w:val="Compact"/>
      </w:pPr>
      <w:r>
        <w:t xml:space="preserve">Name: Independent</w:t>
      </w:r>
    </w:p>
    <w:p>
      <w:pPr>
        <w:numPr>
          <w:ilvl w:val="0"/>
          <w:numId w:val="1023"/>
        </w:numPr>
        <w:pStyle w:val="Compact"/>
      </w:pPr>
      <w:r>
        <w:t xml:space="preserve">Command</w:t>
      </w:r>
    </w:p>
    <w:p>
      <w:pPr>
        <w:numPr>
          <w:ilvl w:val="1"/>
          <w:numId w:val="1033"/>
        </w:numPr>
        <w:pStyle w:val="Compact"/>
      </w:pPr>
      <w:r>
        <w:t xml:space="preserve">Name: Commander</w:t>
      </w:r>
    </w:p>
    <w:p>
      <w:pPr>
        <w:numPr>
          <w:ilvl w:val="1"/>
          <w:numId w:val="1033"/>
        </w:numPr>
        <w:pStyle w:val="Compact"/>
      </w:pPr>
      <w:r>
        <w:t xml:space="preserve">Name: Ordainer</w:t>
      </w:r>
    </w:p>
    <w:p>
      <w:pPr>
        <w:numPr>
          <w:ilvl w:val="1"/>
          <w:numId w:val="1033"/>
        </w:numPr>
        <w:pStyle w:val="Compact"/>
      </w:pPr>
      <w:r>
        <w:t xml:space="preserve">Name: Fulfiller</w:t>
      </w:r>
    </w:p>
    <w:p>
      <w:pPr>
        <w:numPr>
          <w:ilvl w:val="0"/>
          <w:numId w:val="1023"/>
        </w:numPr>
        <w:pStyle w:val="Compact"/>
      </w:pPr>
      <w:r>
        <w:t xml:space="preserve">Counsel</w:t>
      </w:r>
    </w:p>
    <w:p>
      <w:pPr>
        <w:numPr>
          <w:ilvl w:val="1"/>
          <w:numId w:val="1034"/>
        </w:numPr>
        <w:pStyle w:val="Compact"/>
      </w:pPr>
      <w:r>
        <w:t xml:space="preserve">Name: Counselor</w:t>
      </w:r>
    </w:p>
    <w:p>
      <w:pPr>
        <w:numPr>
          <w:ilvl w:val="1"/>
          <w:numId w:val="1034"/>
        </w:numPr>
        <w:pStyle w:val="Compact"/>
      </w:pPr>
      <w:r>
        <w:t xml:space="preserve">Name: Speaker</w:t>
      </w:r>
    </w:p>
    <w:p>
      <w:pPr>
        <w:numPr>
          <w:ilvl w:val="1"/>
          <w:numId w:val="1034"/>
        </w:numPr>
        <w:pStyle w:val="Compact"/>
      </w:pPr>
      <w:r>
        <w:t xml:space="preserve">Name: Source of Inspiration</w:t>
      </w:r>
    </w:p>
    <w:p>
      <w:pPr>
        <w:numPr>
          <w:ilvl w:val="0"/>
          <w:numId w:val="1023"/>
        </w:numPr>
        <w:pStyle w:val="Compact"/>
      </w:pPr>
      <w:r>
        <w:t xml:space="preserve">Faithfulness</w:t>
      </w:r>
    </w:p>
    <w:p>
      <w:pPr>
        <w:numPr>
          <w:ilvl w:val="1"/>
          <w:numId w:val="1035"/>
        </w:numPr>
        <w:pStyle w:val="Compact"/>
      </w:pPr>
      <w:r>
        <w:t xml:space="preserve">Name: Trustworthy</w:t>
      </w:r>
    </w:p>
    <w:p>
      <w:pPr>
        <w:numPr>
          <w:ilvl w:val="1"/>
          <w:numId w:val="1035"/>
        </w:numPr>
        <w:pStyle w:val="Compact"/>
      </w:pPr>
      <w:r>
        <w:t xml:space="preserve">Name: Faithful Guardian</w:t>
      </w:r>
    </w:p>
    <w:p>
      <w:pPr>
        <w:numPr>
          <w:ilvl w:val="0"/>
          <w:numId w:val="1023"/>
        </w:numPr>
        <w:pStyle w:val="Compact"/>
      </w:pPr>
      <w:r>
        <w:t xml:space="preserve">Praise</w:t>
      </w:r>
    </w:p>
    <w:p>
      <w:pPr>
        <w:numPr>
          <w:ilvl w:val="1"/>
          <w:numId w:val="1036"/>
        </w:numPr>
        <w:pStyle w:val="Compact"/>
      </w:pPr>
      <w:r>
        <w:t xml:space="preserve">Name: All Praised</w:t>
      </w:r>
    </w:p>
    <w:p>
      <w:pPr>
        <w:numPr>
          <w:ilvl w:val="1"/>
          <w:numId w:val="1036"/>
        </w:numPr>
        <w:pStyle w:val="Compact"/>
      </w:pPr>
      <w:r>
        <w:t xml:space="preserve">Name: Praised</w:t>
      </w:r>
    </w:p>
    <w:p>
      <w:pPr>
        <w:numPr>
          <w:ilvl w:val="1"/>
          <w:numId w:val="1036"/>
        </w:numPr>
        <w:pStyle w:val="Compact"/>
      </w:pPr>
      <w:r>
        <w:t xml:space="preserve">Name: Praiseworthy</w:t>
      </w:r>
    </w:p>
    <w:p>
      <w:pPr>
        <w:numPr>
          <w:ilvl w:val="0"/>
          <w:numId w:val="1023"/>
        </w:numPr>
        <w:pStyle w:val="Compact"/>
      </w:pPr>
      <w:r>
        <w:t xml:space="preserve">Love</w:t>
      </w:r>
    </w:p>
    <w:p>
      <w:pPr>
        <w:numPr>
          <w:ilvl w:val="1"/>
          <w:numId w:val="1037"/>
        </w:numPr>
        <w:pStyle w:val="Compact"/>
      </w:pPr>
      <w:r>
        <w:t xml:space="preserve">Name: Beloved</w:t>
      </w:r>
    </w:p>
    <w:p>
      <w:pPr>
        <w:numPr>
          <w:ilvl w:val="1"/>
          <w:numId w:val="1037"/>
        </w:numPr>
        <w:pStyle w:val="Compact"/>
      </w:pPr>
      <w:r>
        <w:t xml:space="preserve">Name: Loving</w:t>
      </w:r>
    </w:p>
    <w:p>
      <w:pPr>
        <w:numPr>
          <w:ilvl w:val="1"/>
          <w:numId w:val="1037"/>
        </w:numPr>
        <w:pStyle w:val="Compact"/>
      </w:pPr>
      <w:r>
        <w:t xml:space="preserve">Name: Gracious</w:t>
      </w:r>
    </w:p>
    <w:p>
      <w:pPr>
        <w:numPr>
          <w:ilvl w:val="0"/>
          <w:numId w:val="1023"/>
        </w:numPr>
        <w:pStyle w:val="Compact"/>
      </w:pPr>
      <w:r>
        <w:t xml:space="preserve">Forgiveness</w:t>
      </w:r>
    </w:p>
    <w:p>
      <w:pPr>
        <w:numPr>
          <w:ilvl w:val="1"/>
          <w:numId w:val="1038"/>
        </w:numPr>
        <w:pStyle w:val="Compact"/>
      </w:pPr>
      <w:r>
        <w:t xml:space="preserve">Name: All Forgiving</w:t>
      </w:r>
    </w:p>
    <w:p>
      <w:pPr>
        <w:numPr>
          <w:ilvl w:val="1"/>
          <w:numId w:val="1038"/>
        </w:numPr>
        <w:pStyle w:val="Compact"/>
      </w:pPr>
      <w:r>
        <w:t xml:space="preserve">Name: Ever Forgiving</w:t>
      </w:r>
    </w:p>
    <w:p>
      <w:pPr>
        <w:numPr>
          <w:ilvl w:val="1"/>
          <w:numId w:val="1038"/>
        </w:numPr>
        <w:pStyle w:val="Compact"/>
      </w:pPr>
      <w:r>
        <w:t xml:space="preserve">Name: Oft Forgiving</w:t>
      </w:r>
    </w:p>
    <w:p>
      <w:pPr>
        <w:numPr>
          <w:ilvl w:val="0"/>
          <w:numId w:val="1023"/>
        </w:numPr>
        <w:pStyle w:val="Compact"/>
      </w:pPr>
      <w:r>
        <w:t xml:space="preserve">Mercy</w:t>
      </w:r>
    </w:p>
    <w:p>
      <w:pPr>
        <w:numPr>
          <w:ilvl w:val="1"/>
          <w:numId w:val="1039"/>
        </w:numPr>
        <w:pStyle w:val="Compact"/>
      </w:pPr>
      <w:r>
        <w:t xml:space="preserve">Name: All Merciful</w:t>
      </w:r>
    </w:p>
    <w:p>
      <w:pPr>
        <w:numPr>
          <w:ilvl w:val="1"/>
          <w:numId w:val="1039"/>
        </w:numPr>
        <w:pStyle w:val="Compact"/>
      </w:pPr>
      <w:r>
        <w:t xml:space="preserve">Name: Most Merciful</w:t>
      </w:r>
    </w:p>
    <w:p>
      <w:pPr>
        <w:numPr>
          <w:ilvl w:val="1"/>
          <w:numId w:val="1039"/>
        </w:numPr>
        <w:pStyle w:val="Compact"/>
      </w:pPr>
      <w:r>
        <w:t xml:space="preserve">Name: Most Compassionate</w:t>
      </w:r>
    </w:p>
    <w:p>
      <w:pPr>
        <w:numPr>
          <w:ilvl w:val="0"/>
          <w:numId w:val="1023"/>
        </w:numPr>
        <w:pStyle w:val="Compact"/>
      </w:pPr>
      <w:r>
        <w:t xml:space="preserve">Generosity</w:t>
      </w:r>
    </w:p>
    <w:p>
      <w:pPr>
        <w:numPr>
          <w:ilvl w:val="1"/>
          <w:numId w:val="1040"/>
        </w:numPr>
        <w:pStyle w:val="Compact"/>
      </w:pPr>
      <w:r>
        <w:t xml:space="preserve">Name: All Bountiful</w:t>
      </w:r>
    </w:p>
    <w:p>
      <w:pPr>
        <w:numPr>
          <w:ilvl w:val="1"/>
          <w:numId w:val="1040"/>
        </w:numPr>
        <w:pStyle w:val="Compact"/>
      </w:pPr>
      <w:r>
        <w:t xml:space="preserve">Name: Bestower</w:t>
      </w:r>
    </w:p>
    <w:p>
      <w:pPr>
        <w:numPr>
          <w:ilvl w:val="1"/>
          <w:numId w:val="1040"/>
        </w:numPr>
        <w:pStyle w:val="Compact"/>
      </w:pPr>
      <w:r>
        <w:t xml:space="preserve">Name: Most Generous</w:t>
      </w:r>
    </w:p>
    <w:p>
      <w:pPr>
        <w:numPr>
          <w:ilvl w:val="1"/>
          <w:numId w:val="1040"/>
        </w:numPr>
        <w:pStyle w:val="Compact"/>
      </w:pPr>
      <w:r>
        <w:t xml:space="preserve">Name: Most Bountiful</w:t>
      </w:r>
    </w:p>
    <w:p>
      <w:pPr>
        <w:numPr>
          <w:ilvl w:val="0"/>
          <w:numId w:val="1023"/>
        </w:numPr>
        <w:pStyle w:val="Compact"/>
      </w:pPr>
      <w:r>
        <w:t xml:space="preserve">Sovereignty</w:t>
      </w:r>
    </w:p>
    <w:p>
      <w:pPr>
        <w:numPr>
          <w:ilvl w:val="1"/>
          <w:numId w:val="1041"/>
        </w:numPr>
        <w:pStyle w:val="Compact"/>
      </w:pPr>
      <w:r>
        <w:t xml:space="preserve">Name: Sovereign</w:t>
      </w:r>
    </w:p>
    <w:p>
      <w:pPr>
        <w:numPr>
          <w:ilvl w:val="1"/>
          <w:numId w:val="1041"/>
        </w:numPr>
        <w:pStyle w:val="Compact"/>
      </w:pPr>
      <w:r>
        <w:t xml:space="preserve">Name: Lord of Dominion</w:t>
      </w:r>
    </w:p>
    <w:p>
      <w:pPr>
        <w:numPr>
          <w:ilvl w:val="1"/>
          <w:numId w:val="1041"/>
        </w:numPr>
        <w:pStyle w:val="Compact"/>
      </w:pPr>
      <w:r>
        <w:t xml:space="preserve">Name: Ruler</w:t>
      </w:r>
    </w:p>
    <w:p>
      <w:pPr>
        <w:numPr>
          <w:ilvl w:val="1"/>
          <w:numId w:val="1041"/>
        </w:numPr>
        <w:pStyle w:val="Compact"/>
      </w:pPr>
      <w:r>
        <w:t xml:space="preserve">Name: Master</w:t>
      </w:r>
    </w:p>
    <w:p>
      <w:pPr>
        <w:numPr>
          <w:ilvl w:val="0"/>
          <w:numId w:val="1023"/>
        </w:numPr>
        <w:pStyle w:val="Compact"/>
      </w:pPr>
      <w:r>
        <w:t xml:space="preserve">Purity</w:t>
      </w:r>
    </w:p>
    <w:p>
      <w:pPr>
        <w:numPr>
          <w:ilvl w:val="1"/>
          <w:numId w:val="1042"/>
        </w:numPr>
        <w:pStyle w:val="Compact"/>
      </w:pPr>
      <w:r>
        <w:t xml:space="preserve">Name: Purest</w:t>
      </w:r>
    </w:p>
    <w:p>
      <w:pPr>
        <w:numPr>
          <w:ilvl w:val="1"/>
          <w:numId w:val="1042"/>
        </w:numPr>
        <w:pStyle w:val="Compact"/>
      </w:pPr>
      <w:r>
        <w:t xml:space="preserve">Name: True</w:t>
      </w:r>
    </w:p>
    <w:p>
      <w:pPr>
        <w:numPr>
          <w:ilvl w:val="1"/>
          <w:numId w:val="1042"/>
        </w:numPr>
        <w:pStyle w:val="Compact"/>
      </w:pPr>
      <w:r>
        <w:t xml:space="preserve">Name: One</w:t>
      </w:r>
    </w:p>
    <w:p>
      <w:r>
        <w:br w:type="page"/>
      </w:r>
    </w:p>
    <w:bookmarkEnd w:id="1023"/>
    <w:bookmarkStart w:id="1033" w:name="Xb7528081a068f49ec2e4f5df8168e06dc9232d9"/>
    <w:p>
      <w:pPr>
        <w:pStyle w:val="Heading1"/>
      </w:pPr>
      <w:r>
        <w:t xml:space="preserve">Appendix B: A Structural Map of the Worlds of God</w:t>
      </w:r>
    </w:p>
    <w:p>
      <w:pPr>
        <w:pStyle w:val="FirstParagraph"/>
      </w:pPr>
      <w:r>
        <w:t xml:space="preserve">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bookmarkStart w:id="1024" w:name="worlds-of-god"/>
    <w:p>
      <w:pPr>
        <w:pStyle w:val="Heading2"/>
      </w:pPr>
      <w:r>
        <w:t xml:space="preserve">Worlds of God</w:t>
      </w:r>
    </w:p>
    <w:p>
      <w:pPr>
        <w:pStyle w:val="FirstParagraph"/>
      </w:pPr>
      <w:r>
        <w:t xml:space="preserve">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24"/>
    <w:bookmarkStart w:id="1025" w:name="kingdoms"/>
    <w:p>
      <w:pPr>
        <w:pStyle w:val="Heading2"/>
      </w:pPr>
      <w:r>
        <w:t xml:space="preserve">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25"/>
    <w:bookmarkStart w:id="1026" w:name="cities"/>
    <w:p>
      <w:pPr>
        <w:pStyle w:val="Heading2"/>
      </w:pPr>
      <w:r>
        <w:t xml:space="preserve">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26"/>
    <w:bookmarkStart w:id="1027" w:name="schools"/>
    <w:p>
      <w:pPr>
        <w:pStyle w:val="Heading2"/>
      </w:pPr>
      <w:r>
        <w:t xml:space="preserve">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27"/>
    <w:bookmarkStart w:id="1028" w:name="the-celestial-concourse"/>
    <w:p>
      <w:pPr>
        <w:pStyle w:val="Heading2"/>
      </w:pPr>
      <w:r>
        <w:t xml:space="preserve">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28"/>
    <w:bookmarkStart w:id="1029" w:name="angels"/>
    <w:p>
      <w:pPr>
        <w:pStyle w:val="Heading2"/>
      </w:pPr>
      <w:r>
        <w:t xml:space="preserve">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29"/>
    <w:bookmarkStart w:id="1030" w:name="sidrat-al-muntahá-the-lote-tree"/>
    <w:p>
      <w:pPr>
        <w:pStyle w:val="Heading2"/>
      </w:pPr>
      <w:r>
        <w:t xml:space="preserve">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30"/>
    <w:bookmarkStart w:id="1031" w:name="the-mother-book"/>
    <w:p>
      <w:pPr>
        <w:pStyle w:val="Heading2"/>
      </w:pPr>
      <w:r>
        <w:t xml:space="preserve">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31"/>
    <w:bookmarkStart w:id="1032" w:name="the-holy-spirit-and-the-holy-maiden"/>
    <w:p>
      <w:pPr>
        <w:pStyle w:val="Heading2"/>
      </w:pPr>
      <w:r>
        <w:t xml:space="preserve">The Holy Spirit and the Holy Maiden</w:t>
      </w:r>
    </w:p>
    <w:p>
      <w:pPr>
        <w:pStyle w:val="FirstParagraph"/>
      </w:pPr>
      <w:r>
        <w:t xml:space="preserve">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r>
        <w:br w:type="page"/>
      </w:r>
    </w:p>
    <w:bookmarkEnd w:id="1032"/>
    <w:bookmarkEnd w:id="1033"/>
    <w:bookmarkStart w:id="1034" w:name="appendix-c-spiritual-practices"/>
    <w:p>
      <w:pPr>
        <w:pStyle w:val="Heading1"/>
      </w:pPr>
      <w:r>
        <w:t xml:space="preserve">Appendix C: Spiritual Practices</w:t>
      </w:r>
    </w:p>
    <w:p>
      <w:pPr>
        <w:pStyle w:val="FirstParagraph"/>
      </w:pPr>
      <w:r>
        <w:t xml:space="preserve">Here is a listing of spiritual practices found within the Kitáb-i-Aqdas:</w:t>
      </w:r>
    </w:p>
    <w:p>
      <w:pPr>
        <w:numPr>
          <w:ilvl w:val="0"/>
          <w:numId w:val="1043"/>
        </w:numPr>
        <w:pStyle w:val="Compact"/>
      </w:pPr>
      <w:r>
        <w:t xml:space="preserve">Prayer</w:t>
      </w:r>
    </w:p>
    <w:p>
      <w:pPr>
        <w:numPr>
          <w:ilvl w:val="1"/>
          <w:numId w:val="1044"/>
        </w:numPr>
        <w:pStyle w:val="Compact"/>
      </w:pPr>
      <w:r>
        <w:t xml:space="preserve">Daily Obligatory Prayer (in private)</w:t>
      </w:r>
    </w:p>
    <w:p>
      <w:pPr>
        <w:numPr>
          <w:ilvl w:val="1"/>
          <w:numId w:val="1044"/>
        </w:numPr>
        <w:pStyle w:val="Compact"/>
      </w:pPr>
      <w:r>
        <w:t xml:space="preserve">Prayer of the Signs</w:t>
      </w:r>
    </w:p>
    <w:p>
      <w:pPr>
        <w:numPr>
          <w:ilvl w:val="1"/>
          <w:numId w:val="1044"/>
        </w:numPr>
        <w:pStyle w:val="Compact"/>
      </w:pPr>
      <w:r>
        <w:t xml:space="preserve">Prayer for the Dead (congregational)</w:t>
      </w:r>
    </w:p>
    <w:p>
      <w:pPr>
        <w:numPr>
          <w:ilvl w:val="1"/>
          <w:numId w:val="1044"/>
        </w:numPr>
        <w:pStyle w:val="Compact"/>
      </w:pPr>
      <w:r>
        <w:t xml:space="preserve">Personal Prayer (in private)</w:t>
      </w:r>
    </w:p>
    <w:p>
      <w:pPr>
        <w:numPr>
          <w:ilvl w:val="0"/>
          <w:numId w:val="1043"/>
        </w:numPr>
        <w:pStyle w:val="Compact"/>
      </w:pPr>
      <w:r>
        <w:t xml:space="preserve">Recitation</w:t>
      </w:r>
    </w:p>
    <w:p>
      <w:pPr>
        <w:numPr>
          <w:ilvl w:val="1"/>
          <w:numId w:val="1045"/>
        </w:numPr>
        <w:pStyle w:val="Compact"/>
      </w:pPr>
      <w:r>
        <w:t xml:space="preserve">Recitation of the verses of God</w:t>
      </w:r>
    </w:p>
    <w:p>
      <w:pPr>
        <w:numPr>
          <w:ilvl w:val="0"/>
          <w:numId w:val="1043"/>
        </w:numPr>
        <w:pStyle w:val="Compact"/>
      </w:pPr>
      <w:r>
        <w:t xml:space="preserve">Remembrance (Dhikr)</w:t>
      </w:r>
    </w:p>
    <w:p>
      <w:pPr>
        <w:numPr>
          <w:ilvl w:val="1"/>
          <w:numId w:val="1046"/>
        </w:numPr>
        <w:pStyle w:val="Compact"/>
      </w:pPr>
      <w:r>
        <w:t xml:space="preserve">Subconscious Remembrance</w:t>
      </w:r>
    </w:p>
    <w:p>
      <w:pPr>
        <w:numPr>
          <w:ilvl w:val="1"/>
          <w:numId w:val="1046"/>
        </w:numPr>
        <w:pStyle w:val="Compact"/>
      </w:pPr>
      <w:r>
        <w:t xml:space="preserve">Conscious Remembrance</w:t>
      </w:r>
    </w:p>
    <w:p>
      <w:pPr>
        <w:numPr>
          <w:ilvl w:val="2"/>
          <w:numId w:val="1047"/>
        </w:numPr>
        <w:pStyle w:val="Compact"/>
      </w:pPr>
      <w:r>
        <w:t xml:space="preserve">Alláh-u-Abhá 95 times daily</w:t>
      </w:r>
    </w:p>
    <w:p>
      <w:pPr>
        <w:numPr>
          <w:ilvl w:val="0"/>
          <w:numId w:val="1043"/>
        </w:numPr>
        <w:pStyle w:val="Compact"/>
      </w:pPr>
      <w:r>
        <w:t xml:space="preserve">Reflection</w:t>
      </w:r>
    </w:p>
    <w:p>
      <w:pPr>
        <w:numPr>
          <w:ilvl w:val="0"/>
          <w:numId w:val="1043"/>
        </w:numPr>
        <w:pStyle w:val="Compact"/>
      </w:pPr>
      <w:r>
        <w:t xml:space="preserve">Honoring God</w:t>
      </w:r>
    </w:p>
    <w:p>
      <w:pPr>
        <w:numPr>
          <w:ilvl w:val="1"/>
          <w:numId w:val="1048"/>
        </w:numPr>
        <w:pStyle w:val="Compact"/>
      </w:pPr>
      <w:r>
        <w:t xml:space="preserve">Building and Using Mashriqu’l-Adhkárs</w:t>
      </w:r>
    </w:p>
    <w:p>
      <w:pPr>
        <w:numPr>
          <w:ilvl w:val="1"/>
          <w:numId w:val="1048"/>
        </w:numPr>
        <w:pStyle w:val="Compact"/>
      </w:pPr>
      <w:r>
        <w:t xml:space="preserve">Pilgrimage (Baghdad or Shiraz)</w:t>
      </w:r>
    </w:p>
    <w:p>
      <w:pPr>
        <w:numPr>
          <w:ilvl w:val="1"/>
          <w:numId w:val="1048"/>
        </w:numPr>
        <w:pStyle w:val="Compact"/>
      </w:pPr>
      <w:r>
        <w:t xml:space="preserve">Rights of God (Ḥuqúqu’lláh)</w:t>
      </w:r>
    </w:p>
    <w:p>
      <w:pPr>
        <w:numPr>
          <w:ilvl w:val="1"/>
          <w:numId w:val="1048"/>
        </w:numPr>
        <w:pStyle w:val="Compact"/>
      </w:pPr>
      <w:r>
        <w:t xml:space="preserve">Engaging in an Occupation</w:t>
      </w:r>
    </w:p>
    <w:p>
      <w:pPr>
        <w:numPr>
          <w:ilvl w:val="1"/>
          <w:numId w:val="1048"/>
        </w:numPr>
        <w:pStyle w:val="Compact"/>
      </w:pPr>
      <w:r>
        <w:t xml:space="preserve">Zakat</w:t>
      </w:r>
    </w:p>
    <w:p>
      <w:pPr>
        <w:numPr>
          <w:ilvl w:val="1"/>
          <w:numId w:val="1048"/>
        </w:numPr>
        <w:pStyle w:val="Compact"/>
      </w:pPr>
      <w:r>
        <w:t xml:space="preserve">Ayyám-i-Há (Days of Giving)</w:t>
      </w:r>
    </w:p>
    <w:p>
      <w:pPr>
        <w:numPr>
          <w:ilvl w:val="1"/>
          <w:numId w:val="1048"/>
        </w:numPr>
        <w:pStyle w:val="Compact"/>
      </w:pPr>
      <w:r>
        <w:t xml:space="preserve">Fasting</w:t>
      </w:r>
    </w:p>
    <w:p>
      <w:pPr>
        <w:numPr>
          <w:ilvl w:val="1"/>
          <w:numId w:val="1048"/>
        </w:numPr>
        <w:pStyle w:val="Compact"/>
      </w:pPr>
      <w:r>
        <w:t xml:space="preserve">Monthly Hospitality</w:t>
      </w:r>
    </w:p>
    <w:p>
      <w:pPr>
        <w:numPr>
          <w:ilvl w:val="1"/>
          <w:numId w:val="1048"/>
        </w:numPr>
        <w:pStyle w:val="Compact"/>
      </w:pPr>
      <w:r>
        <w:t xml:space="preserve">Festivals</w:t>
      </w:r>
    </w:p>
    <w:p>
      <w:pPr>
        <w:numPr>
          <w:ilvl w:val="2"/>
          <w:numId w:val="1049"/>
        </w:numPr>
        <w:pStyle w:val="Compact"/>
      </w:pPr>
      <w:r>
        <w:t xml:space="preserve">Festival of Naw Rúz</w:t>
      </w:r>
    </w:p>
    <w:p>
      <w:pPr>
        <w:numPr>
          <w:ilvl w:val="2"/>
          <w:numId w:val="1049"/>
        </w:numPr>
        <w:pStyle w:val="Compact"/>
      </w:pPr>
      <w:r>
        <w:t xml:space="preserve">Festival of Riḍván</w:t>
      </w:r>
    </w:p>
    <w:p>
      <w:pPr>
        <w:numPr>
          <w:ilvl w:val="2"/>
          <w:numId w:val="1049"/>
        </w:numPr>
        <w:pStyle w:val="Compact"/>
      </w:pPr>
      <w:r>
        <w:t xml:space="preserve">Festival for the Declaration of the Báb</w:t>
      </w:r>
    </w:p>
    <w:p>
      <w:pPr>
        <w:numPr>
          <w:ilvl w:val="2"/>
          <w:numId w:val="1049"/>
        </w:numPr>
        <w:pStyle w:val="Compact"/>
      </w:pPr>
      <w:r>
        <w:t xml:space="preserve">Festival for the Twin Birthdays</w:t>
      </w:r>
    </w:p>
    <w:p>
      <w:r>
        <w:br w:type="page"/>
      </w:r>
    </w:p>
    <w:bookmarkEnd w:id="1034"/>
    <w:bookmarkStart w:id="1039" w:name="appendix-d-the-badí-calendar"/>
    <w:p>
      <w:pPr>
        <w:pStyle w:val="Heading1"/>
      </w:pPr>
      <w:r>
        <w:t xml:space="preserve">Appendix D: The Badí‘ Calendar</w:t>
      </w:r>
    </w:p>
    <w:bookmarkStart w:id="1035" w:name="the-19-months"/>
    <w:p>
      <w:pPr>
        <w:pStyle w:val="Heading2"/>
      </w:pPr>
      <w:r>
        <w:t xml:space="preserve">The 19 Months</w:t>
      </w:r>
    </w:p>
    <w:p>
      <w:pPr>
        <w:numPr>
          <w:ilvl w:val="0"/>
          <w:numId w:val="1050"/>
        </w:numPr>
        <w:pStyle w:val="Compact"/>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50"/>
        </w:numPr>
        <w:pStyle w:val="Compact"/>
      </w:pPr>
      <w:r>
        <w:t xml:space="preserve">Month #2: Arabic Name: Jalál; English Name: Glory; Elemental Phase: Fire; Thematic Phase: Glorification; Spiritual Function: Kindles the fire of hearts; glory of divine majesty</w:t>
      </w:r>
    </w:p>
    <w:p>
      <w:pPr>
        <w:numPr>
          <w:ilvl w:val="0"/>
          <w:numId w:val="1050"/>
        </w:numPr>
        <w:pStyle w:val="Compact"/>
      </w:pPr>
      <w:r>
        <w:t xml:space="preserve">Month #3: Arabic Name: Jamál; English Name: Beauty; Elemental Phase: Fire; Thematic Phase: Glorification; Spiritual Function: Radiates divine beauty; fuels yearning and love</w:t>
      </w:r>
    </w:p>
    <w:p>
      <w:pPr>
        <w:numPr>
          <w:ilvl w:val="0"/>
          <w:numId w:val="1050"/>
        </w:numPr>
        <w:pStyle w:val="Compact"/>
      </w:pPr>
      <w:r>
        <w:t xml:space="preserve">Month #4: Arabic Name: ’Aẓamat; English Name: Grandeur; Elemental Phase: Air; Thematic Phase: Praise; Spiritual Function: Spirits are created and sustained through grandeur</w:t>
      </w:r>
    </w:p>
    <w:p>
      <w:pPr>
        <w:numPr>
          <w:ilvl w:val="0"/>
          <w:numId w:val="1050"/>
        </w:numPr>
        <w:pStyle w:val="Compact"/>
      </w:pPr>
      <w:r>
        <w:t xml:space="preserve">Month #5: Arabic Name: Núr; English Name: Light; Elemental Phase: Air; Thematic Phase: Praise; Spiritual Function: Light of divine guidance permeates all realities</w:t>
      </w:r>
    </w:p>
    <w:p>
      <w:pPr>
        <w:numPr>
          <w:ilvl w:val="0"/>
          <w:numId w:val="1050"/>
        </w:numPr>
        <w:pStyle w:val="Compact"/>
      </w:pPr>
      <w:r>
        <w:t xml:space="preserve">Month #6: Arabic Name: Raḥmat; English Name: Mercy; Elemental Phase: Air; Thematic Phase: Praise; Spiritual Function: Mercy as the sustaining breath of spiritual life</w:t>
      </w:r>
    </w:p>
    <w:p>
      <w:pPr>
        <w:numPr>
          <w:ilvl w:val="0"/>
          <w:numId w:val="1050"/>
        </w:numPr>
        <w:pStyle w:val="Compact"/>
      </w:pPr>
      <w:r>
        <w:t xml:space="preserve">Month #7: Arabic Name: Kalimát; English Name: Words; Elemental Phase: Air; Thematic Phase: Praise; Spiritual Function: Divine Word as sustaining truth</w:t>
      </w:r>
    </w:p>
    <w:p>
      <w:pPr>
        <w:numPr>
          <w:ilvl w:val="0"/>
          <w:numId w:val="1050"/>
        </w:numPr>
        <w:pStyle w:val="Compact"/>
      </w:pPr>
      <w:r>
        <w:t xml:space="preserve">Month #8: Arabic Name: Kamál; English Name: Perfection; Elemental Phase: Water; Thematic Phase: Oneness; Spiritual Function: Dies to imperfection; lives in affirmation of truth</w:t>
      </w:r>
    </w:p>
    <w:p>
      <w:pPr>
        <w:numPr>
          <w:ilvl w:val="0"/>
          <w:numId w:val="1050"/>
        </w:numPr>
        <w:pStyle w:val="Compact"/>
      </w:pPr>
      <w:r>
        <w:t xml:space="preserve">Month #9: Arabic Name: Asmá’; English Name: Names; Elemental Phase: Water; Thematic Phase: Oneness; Spiritual Function: Realization of divine Names beyond negation</w:t>
      </w:r>
    </w:p>
    <w:p>
      <w:pPr>
        <w:numPr>
          <w:ilvl w:val="0"/>
          <w:numId w:val="1050"/>
        </w:numPr>
        <w:pStyle w:val="Compact"/>
      </w:pPr>
      <w:r>
        <w:t xml:space="preserve">Month #10: Arabic Name: ’Izzat; English Name: Might; Elemental Phase: Water; Thematic Phase: Oneness; Spiritual Function: Strength comes through detachment from ego</w:t>
      </w:r>
    </w:p>
    <w:p>
      <w:pPr>
        <w:numPr>
          <w:ilvl w:val="0"/>
          <w:numId w:val="1050"/>
        </w:numPr>
        <w:pStyle w:val="Compact"/>
      </w:pPr>
      <w:r>
        <w:t xml:space="preserve">Month #11: Arabic Name: Mashíyyat; English Name: Will; Elemental Phase: Water; Thematic Phase: Oneness; Spiritual Function: Submission to the divine Will negates self will</w:t>
      </w:r>
    </w:p>
    <w:p>
      <w:pPr>
        <w:numPr>
          <w:ilvl w:val="0"/>
          <w:numId w:val="1050"/>
        </w:numPr>
        <w:pStyle w:val="Compact"/>
      </w:pPr>
      <w:r>
        <w:t xml:space="preserve">Month #12: Arabic Name: ’Ilm; English Name: Knowledge; Elemental Phase: Water; Thematic Phase: Oneness; Spiritual Function: True knowledge arises through divine affirmation</w:t>
      </w:r>
    </w:p>
    <w:p>
      <w:pPr>
        <w:numPr>
          <w:ilvl w:val="0"/>
          <w:numId w:val="1050"/>
        </w:numPr>
        <w:pStyle w:val="Compact"/>
      </w:pPr>
      <w:r>
        <w:t xml:space="preserve">Month #13: Arabic Name: Qudrat; English Name: Power; Elemental Phase: Water; Thematic Phase: Oneness; Spiritual Function: Divine power is manifest through surrender</w:t>
      </w:r>
    </w:p>
    <w:p>
      <w:pPr>
        <w:numPr>
          <w:ilvl w:val="0"/>
          <w:numId w:val="1050"/>
        </w:numPr>
        <w:pStyle w:val="Compact"/>
      </w:pPr>
      <w:r>
        <w:t xml:space="preserve">Month #14: Arabic Name: Qawl; English Name: Speech; Elemental Phase: Dust; Thematic Phase: Magnification; Spiritual Function: Exalted speech gives life to souls purified from falsehood</w:t>
      </w:r>
    </w:p>
    <w:p>
      <w:pPr>
        <w:numPr>
          <w:ilvl w:val="0"/>
          <w:numId w:val="1050"/>
        </w:numPr>
        <w:pStyle w:val="Compact"/>
      </w:pPr>
      <w:r>
        <w:t xml:space="preserve">Month #15: Arabic Name: Masá’il; English Name: Questions; Elemental Phase: Dust; Thematic Phase: Magnification; Spiritual Function: Questioning as a means of spiritual revival</w:t>
      </w:r>
    </w:p>
    <w:p>
      <w:pPr>
        <w:numPr>
          <w:ilvl w:val="0"/>
          <w:numId w:val="1050"/>
        </w:numPr>
        <w:pStyle w:val="Compact"/>
      </w:pPr>
      <w:r>
        <w:t xml:space="preserve">Month #16: Arabic Name: Sharaf; English Name: Honor; Elemental Phase: Dust; Thematic Phase: Magnification; Spiritual Function: Honor gained by steadfastness in God’s love</w:t>
      </w:r>
    </w:p>
    <w:p>
      <w:pPr>
        <w:numPr>
          <w:ilvl w:val="0"/>
          <w:numId w:val="1050"/>
        </w:numPr>
        <w:pStyle w:val="Compact"/>
      </w:pPr>
      <w:r>
        <w:t xml:space="preserve">Month #17: Arabic Name: Sultán; English Name: Sovereignty; Elemental Phase: Dust; Thematic Phase: Magnification; Spiritual Function: Life granted by renouncing all but divine sovereignty</w:t>
      </w:r>
    </w:p>
    <w:p>
      <w:pPr>
        <w:numPr>
          <w:ilvl w:val="0"/>
          <w:numId w:val="1050"/>
        </w:numPr>
        <w:pStyle w:val="Compact"/>
      </w:pPr>
      <w:r>
        <w:t xml:space="preserve">Month #18: Arabic Name: Mulk; English Name: Dominion; Elemental Phase: Dust; Thematic Phase: Magnification; Spiritual Function: All divine elements are gathered into earthly dominion</w:t>
      </w:r>
    </w:p>
    <w:p>
      <w:pPr>
        <w:numPr>
          <w:ilvl w:val="0"/>
          <w:numId w:val="1050"/>
        </w:numPr>
        <w:pStyle w:val="Compact"/>
      </w:pPr>
      <w:r>
        <w:t xml:space="preserve">Ayyám-i-Há: English Name: The Days of Há; Thematic Phase: Intercalary; Spiritual Function: Days outside the calendar cycle; devoted to hospitality, charity, and spiritual preparation before the Fast</w:t>
      </w:r>
    </w:p>
    <w:p>
      <w:pPr>
        <w:numPr>
          <w:ilvl w:val="0"/>
          <w:numId w:val="1050"/>
        </w:numPr>
        <w:pStyle w:val="Compact"/>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bookmarkEnd w:id="1035"/>
    <w:bookmarkStart w:id="1037" w:name="names-of-the-weeks"/>
    <w:p>
      <w:pPr>
        <w:pStyle w:val="Heading2"/>
      </w:pPr>
      <w:r>
        <w:t xml:space="preserve">Names of the Weeks</w:t>
      </w:r>
    </w:p>
    <w:p>
      <w:pPr>
        <w:pStyle w:val="FirstParagraph"/>
      </w:pPr>
      <w:r>
        <w:t xml:space="preserve">The following list presents the days of the week within the Badí‘ calendar.</w:t>
      </w:r>
      <w:r>
        <w:rPr>
          <w:rStyle w:val="FootnoteReference"/>
        </w:rPr>
        <w:footnoteReference w:id="1036"/>
      </w:r>
    </w:p>
    <w:p>
      <w:pPr>
        <w:numPr>
          <w:ilvl w:val="0"/>
          <w:numId w:val="1051"/>
        </w:numPr>
        <w:pStyle w:val="Compact"/>
      </w:pPr>
      <w:r>
        <w:t xml:space="preserve">Arabic Name: Jalál; English Meaning: Glory; Julian counterpart: Saturday</w:t>
      </w:r>
    </w:p>
    <w:p>
      <w:pPr>
        <w:numPr>
          <w:ilvl w:val="0"/>
          <w:numId w:val="1051"/>
        </w:numPr>
        <w:pStyle w:val="Compact"/>
      </w:pPr>
      <w:r>
        <w:t xml:space="preserve">Arabic Name: Jamál; English Meaning: Beauty; Julian counterpart: Sunday</w:t>
      </w:r>
    </w:p>
    <w:p>
      <w:pPr>
        <w:numPr>
          <w:ilvl w:val="0"/>
          <w:numId w:val="1051"/>
        </w:numPr>
        <w:pStyle w:val="Compact"/>
      </w:pPr>
      <w:r>
        <w:t xml:space="preserve">Arabic Name: Kamál; English Meaning: Perfection; Julian counterpart: Monday</w:t>
      </w:r>
    </w:p>
    <w:p>
      <w:pPr>
        <w:numPr>
          <w:ilvl w:val="0"/>
          <w:numId w:val="1051"/>
        </w:numPr>
        <w:pStyle w:val="Compact"/>
      </w:pPr>
      <w:r>
        <w:t xml:space="preserve">Arabic Name: Fidál; English Meaning: Grace; Julian counterpart: Tuesday</w:t>
      </w:r>
    </w:p>
    <w:p>
      <w:pPr>
        <w:numPr>
          <w:ilvl w:val="0"/>
          <w:numId w:val="1051"/>
        </w:numPr>
        <w:pStyle w:val="Compact"/>
      </w:pPr>
      <w:r>
        <w:t xml:space="preserve">Arabic Name: ’Idál; English Meaning: Justice; Julian counterpart: Wednesday</w:t>
      </w:r>
    </w:p>
    <w:p>
      <w:pPr>
        <w:numPr>
          <w:ilvl w:val="0"/>
          <w:numId w:val="1051"/>
        </w:numPr>
        <w:pStyle w:val="Compact"/>
      </w:pPr>
      <w:r>
        <w:t xml:space="preserve">Arabic Name: Istijlál; English Meaning: Majesty; Julian counterpart: Thursday</w:t>
      </w:r>
    </w:p>
    <w:p>
      <w:pPr>
        <w:numPr>
          <w:ilvl w:val="0"/>
          <w:numId w:val="1051"/>
        </w:numPr>
        <w:pStyle w:val="Compact"/>
      </w:pPr>
      <w:r>
        <w:t xml:space="preserve">Arabic Name: Istiqlál; English Meaning: Independence; Julian counterpart: Friday</w:t>
      </w:r>
    </w:p>
    <w:bookmarkEnd w:id="1037"/>
    <w:bookmarkStart w:id="1038" w:name="names-of-the-years"/>
    <w:p>
      <w:pPr>
        <w:pStyle w:val="Heading2"/>
      </w:pPr>
      <w:r>
        <w:t xml:space="preserve">Names of the Years</w:t>
      </w:r>
    </w:p>
    <w:p>
      <w:pPr>
        <w:pStyle w:val="FirstParagraph"/>
      </w:pPr>
      <w:r>
        <w:t xml:space="preserve">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pPr>
        <w:numPr>
          <w:ilvl w:val="0"/>
          <w:numId w:val="1052"/>
        </w:numPr>
        <w:pStyle w:val="Compact"/>
      </w:pPr>
      <w:r>
        <w:t xml:space="preserve">Alif: The first of all things and the station of the Point</w:t>
      </w:r>
    </w:p>
    <w:p>
      <w:pPr>
        <w:numPr>
          <w:ilvl w:val="0"/>
          <w:numId w:val="1052"/>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52"/>
        </w:numPr>
        <w:pStyle w:val="Compact"/>
      </w:pPr>
      <w:r>
        <w:t xml:space="preserve">Ab: The station of the singular third person form and the beginning of derivation</w:t>
      </w:r>
    </w:p>
    <w:p>
      <w:pPr>
        <w:numPr>
          <w:ilvl w:val="0"/>
          <w:numId w:val="1052"/>
        </w:numPr>
        <w:pStyle w:val="Compact"/>
      </w:pPr>
      <w:r>
        <w:t xml:space="preserve">Dál: The throne of the Will and the fourth pillar of the Temple</w:t>
      </w:r>
    </w:p>
    <w:p>
      <w:pPr>
        <w:numPr>
          <w:ilvl w:val="0"/>
          <w:numId w:val="1052"/>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52"/>
        </w:numPr>
        <w:pStyle w:val="Compact"/>
      </w:pPr>
      <w:r>
        <w:t xml:space="preserve">Váv: The inner side of the human temple and the number of the word</w:t>
      </w:r>
      <w:r>
        <w:t xml:space="preserve"> </w:t>
      </w:r>
      <w:r>
        <w:rPr>
          <w:iCs/>
          <w:i/>
        </w:rPr>
        <w:t xml:space="preserve">Huva</w:t>
      </w:r>
      <w:r>
        <w:t xml:space="preserve"> </w:t>
      </w:r>
      <w:r>
        <w:t xml:space="preserve">(He)</w:t>
      </w:r>
    </w:p>
    <w:p>
      <w:pPr>
        <w:numPr>
          <w:ilvl w:val="0"/>
          <w:numId w:val="1052"/>
        </w:numPr>
        <w:pStyle w:val="Compact"/>
      </w:pPr>
      <w:r>
        <w:t xml:space="preserve">Abad: The number of the reeds in the thicket of the Divine Realm and the Seven Acts of God</w:t>
      </w:r>
    </w:p>
    <w:p>
      <w:pPr>
        <w:numPr>
          <w:ilvl w:val="0"/>
          <w:numId w:val="1052"/>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52"/>
        </w:numPr>
        <w:pStyle w:val="Compact"/>
      </w:pPr>
      <w:r>
        <w:t xml:space="preserve">Bahá: The first month of the year and the name of the Unseen</w:t>
      </w:r>
    </w:p>
    <w:p>
      <w:pPr>
        <w:numPr>
          <w:ilvl w:val="0"/>
          <w:numId w:val="1052"/>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52"/>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52"/>
        </w:numPr>
        <w:pStyle w:val="Compact"/>
      </w:pPr>
      <w:r>
        <w:t xml:space="preserve">Javáb: The number of the letters of the testimony</w:t>
      </w:r>
      <w:r>
        <w:t xml:space="preserve"> </w:t>
      </w:r>
      <w:r>
        <w:rPr>
          <w:iCs/>
          <w:i/>
        </w:rPr>
        <w:t xml:space="preserve">La ilaha illa’Llah</w:t>
      </w:r>
      <w:r>
        <w:t xml:space="preserve"> </w:t>
      </w:r>
      <w:r>
        <w:t xml:space="preserve">and the pillars of the Manifest Name</w:t>
      </w:r>
    </w:p>
    <w:p>
      <w:pPr>
        <w:numPr>
          <w:ilvl w:val="0"/>
          <w:numId w:val="1052"/>
        </w:numPr>
        <w:pStyle w:val="Compact"/>
      </w:pPr>
      <w:r>
        <w:t xml:space="preserve">Ahad: The Name of Oneness and the number of the station of the Unseen</w:t>
      </w:r>
    </w:p>
    <w:p>
      <w:pPr>
        <w:numPr>
          <w:ilvl w:val="0"/>
          <w:numId w:val="1052"/>
        </w:numPr>
        <w:pStyle w:val="Compact"/>
      </w:pPr>
      <w:r>
        <w:t xml:space="preserve">Vahháb: The number of the Hand of God and the total of the Letters of the Face</w:t>
      </w:r>
    </w:p>
    <w:p>
      <w:pPr>
        <w:numPr>
          <w:ilvl w:val="0"/>
          <w:numId w:val="1052"/>
        </w:numPr>
        <w:pStyle w:val="Compact"/>
      </w:pPr>
      <w:r>
        <w:t xml:space="preserve">Vidád: The number of the wall (</w:t>
      </w:r>
      <w:r>
        <w:rPr>
          <w:iCs/>
          <w:i/>
        </w:rPr>
        <w:t xml:space="preserve">bi-súr</w:t>
      </w:r>
      <w:r>
        <w:t xml:space="preserve">) mentioned in the mysteries of the Surih of Unity</w:t>
      </w:r>
    </w:p>
    <w:p>
      <w:pPr>
        <w:numPr>
          <w:ilvl w:val="0"/>
          <w:numId w:val="1052"/>
        </w:numPr>
        <w:pStyle w:val="Compact"/>
      </w:pPr>
      <w:r>
        <w:t xml:space="preserve">Badí’: A station of completion and the rank of the first manifestation of the name</w:t>
      </w:r>
      <w:r>
        <w:t xml:space="preserve"> </w:t>
      </w:r>
      <w:r>
        <w:rPr>
          <w:iCs/>
          <w:i/>
        </w:rPr>
        <w:t xml:space="preserve">al Jawád</w:t>
      </w:r>
    </w:p>
    <w:p>
      <w:pPr>
        <w:numPr>
          <w:ilvl w:val="0"/>
          <w:numId w:val="1052"/>
        </w:numPr>
        <w:pStyle w:val="Compact"/>
      </w:pPr>
      <w:r>
        <w:t xml:space="preserve">Bahí: The spirit of geometry and the name whose beginning is</w:t>
      </w:r>
      <w:r>
        <w:t xml:space="preserve"> </w:t>
      </w:r>
      <w:r>
        <w:rPr>
          <w:iCs/>
          <w:i/>
        </w:rPr>
        <w:t xml:space="preserve">Bahá’</w:t>
      </w:r>
    </w:p>
    <w:p>
      <w:pPr>
        <w:numPr>
          <w:ilvl w:val="0"/>
          <w:numId w:val="1052"/>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52"/>
        </w:numPr>
        <w:pStyle w:val="Compact"/>
      </w:pPr>
      <w:r>
        <w:t xml:space="preserve">Váhid: The number of all things (</w:t>
      </w:r>
      <w:r>
        <w:rPr>
          <w:iCs/>
          <w:i/>
        </w:rPr>
        <w:t xml:space="preserve">Kullu Shay’</w:t>
      </w:r>
      <w:r>
        <w:t xml:space="preserve">) in its first degree and the name of the Unity</w:t>
      </w:r>
    </w:p>
    <w:p>
      <w:r>
        <w:br w:type="page"/>
      </w:r>
    </w:p>
    <w:bookmarkEnd w:id="1038"/>
    <w:bookmarkEnd w:id="1039"/>
    <w:bookmarkStart w:id="1043" w:name="appendix-e-virtues"/>
    <w:p>
      <w:pPr>
        <w:pStyle w:val="Heading1"/>
      </w:pPr>
      <w:r>
        <w:t xml:space="preserve">Appendix E: Virtues</w:t>
      </w:r>
    </w:p>
    <w:p>
      <w:pPr>
        <w:pStyle w:val="FirstParagraph"/>
      </w:pPr>
      <w:r>
        <w:t xml:space="preserve">Here is a list of the virtues identified in the Kitáb-i-Aqdas and used for the Constellation of Virtues called Unity:</w:t>
      </w:r>
    </w:p>
    <w:bookmarkStart w:id="1040" w:name="foundational-virtues-1"/>
    <w:p>
      <w:pPr>
        <w:pStyle w:val="Heading2"/>
      </w:pPr>
      <w:r>
        <w:t xml:space="preserve">Foundational Virtues</w:t>
      </w:r>
    </w:p>
    <w:p>
      <w:pPr>
        <w:numPr>
          <w:ilvl w:val="0"/>
          <w:numId w:val="1053"/>
        </w:numPr>
        <w:pStyle w:val="Compact"/>
      </w:pPr>
      <w:r>
        <w:t xml:space="preserve">Fear of God</w:t>
      </w:r>
    </w:p>
    <w:p>
      <w:pPr>
        <w:numPr>
          <w:ilvl w:val="0"/>
          <w:numId w:val="1053"/>
        </w:numPr>
        <w:pStyle w:val="Compact"/>
      </w:pPr>
      <w:r>
        <w:t xml:space="preserve">Love of God</w:t>
      </w:r>
    </w:p>
    <w:p>
      <w:pPr>
        <w:numPr>
          <w:ilvl w:val="0"/>
          <w:numId w:val="1053"/>
        </w:numPr>
        <w:pStyle w:val="Compact"/>
      </w:pPr>
      <w:r>
        <w:t xml:space="preserve">Moderation</w:t>
      </w:r>
    </w:p>
    <w:bookmarkEnd w:id="1040"/>
    <w:bookmarkStart w:id="1041" w:name="innate-virtues"/>
    <w:p>
      <w:pPr>
        <w:pStyle w:val="Heading2"/>
      </w:pPr>
      <w:r>
        <w:t xml:space="preserve">Innate Virtues</w:t>
      </w:r>
    </w:p>
    <w:p>
      <w:pPr>
        <w:numPr>
          <w:ilvl w:val="0"/>
          <w:numId w:val="1054"/>
        </w:numPr>
        <w:pStyle w:val="Compact"/>
      </w:pPr>
      <w:r>
        <w:t xml:space="preserve">Piety</w:t>
      </w:r>
    </w:p>
    <w:p>
      <w:pPr>
        <w:numPr>
          <w:ilvl w:val="0"/>
          <w:numId w:val="1054"/>
        </w:numPr>
        <w:pStyle w:val="Compact"/>
      </w:pPr>
      <w:r>
        <w:t xml:space="preserve">Pure Truthfulness</w:t>
      </w:r>
    </w:p>
    <w:p>
      <w:pPr>
        <w:numPr>
          <w:ilvl w:val="0"/>
          <w:numId w:val="1054"/>
        </w:numPr>
        <w:pStyle w:val="Compact"/>
      </w:pPr>
      <w:r>
        <w:t xml:space="preserve">Courtesy</w:t>
      </w:r>
    </w:p>
    <w:p>
      <w:pPr>
        <w:numPr>
          <w:ilvl w:val="0"/>
          <w:numId w:val="1054"/>
        </w:numPr>
        <w:pStyle w:val="Compact"/>
      </w:pPr>
      <w:r>
        <w:t xml:space="preserve">Loyalty</w:t>
      </w:r>
    </w:p>
    <w:p>
      <w:pPr>
        <w:numPr>
          <w:ilvl w:val="0"/>
          <w:numId w:val="1054"/>
        </w:numPr>
        <w:pStyle w:val="Compact"/>
      </w:pPr>
      <w:r>
        <w:t xml:space="preserve">Trustworthiness</w:t>
      </w:r>
    </w:p>
    <w:bookmarkEnd w:id="1041"/>
    <w:bookmarkStart w:id="1042" w:name="emergent-virtues"/>
    <w:p>
      <w:pPr>
        <w:pStyle w:val="Heading2"/>
      </w:pPr>
      <w:r>
        <w:t xml:space="preserve">Emergent Virtues</w:t>
      </w:r>
    </w:p>
    <w:p>
      <w:pPr>
        <w:numPr>
          <w:ilvl w:val="0"/>
          <w:numId w:val="1055"/>
        </w:numPr>
        <w:pStyle w:val="Compact"/>
      </w:pPr>
      <w:r>
        <w:t xml:space="preserve">Emerging from Piety</w:t>
      </w:r>
    </w:p>
    <w:p>
      <w:pPr>
        <w:numPr>
          <w:ilvl w:val="1"/>
          <w:numId w:val="1056"/>
        </w:numPr>
        <w:pStyle w:val="Compact"/>
      </w:pPr>
      <w:r>
        <w:t xml:space="preserve">Detachment</w:t>
      </w:r>
    </w:p>
    <w:p>
      <w:pPr>
        <w:numPr>
          <w:ilvl w:val="1"/>
          <w:numId w:val="1056"/>
        </w:numPr>
        <w:pStyle w:val="Compact"/>
      </w:pPr>
      <w:r>
        <w:t xml:space="preserve">Humility</w:t>
      </w:r>
    </w:p>
    <w:p>
      <w:pPr>
        <w:numPr>
          <w:ilvl w:val="1"/>
          <w:numId w:val="1056"/>
        </w:numPr>
        <w:pStyle w:val="Compact"/>
      </w:pPr>
      <w:r>
        <w:t xml:space="preserve">Lowliness</w:t>
      </w:r>
    </w:p>
    <w:p>
      <w:pPr>
        <w:numPr>
          <w:ilvl w:val="1"/>
          <w:numId w:val="1056"/>
        </w:numPr>
        <w:pStyle w:val="Compact"/>
      </w:pPr>
      <w:r>
        <w:t xml:space="preserve">Reverence</w:t>
      </w:r>
    </w:p>
    <w:p>
      <w:pPr>
        <w:numPr>
          <w:ilvl w:val="1"/>
          <w:numId w:val="1056"/>
        </w:numPr>
        <w:pStyle w:val="Compact"/>
      </w:pPr>
      <w:r>
        <w:t xml:space="preserve">Thankfulness</w:t>
      </w:r>
    </w:p>
    <w:p>
      <w:pPr>
        <w:numPr>
          <w:ilvl w:val="0"/>
          <w:numId w:val="1055"/>
        </w:numPr>
        <w:pStyle w:val="Compact"/>
      </w:pPr>
      <w:r>
        <w:t xml:space="preserve">Emerging from Pure Truthfulness</w:t>
      </w:r>
    </w:p>
    <w:p>
      <w:pPr>
        <w:numPr>
          <w:ilvl w:val="1"/>
          <w:numId w:val="1057"/>
        </w:numPr>
        <w:pStyle w:val="Compact"/>
      </w:pPr>
      <w:r>
        <w:t xml:space="preserve">Eloquence</w:t>
      </w:r>
    </w:p>
    <w:p>
      <w:pPr>
        <w:numPr>
          <w:ilvl w:val="1"/>
          <w:numId w:val="1057"/>
        </w:numPr>
        <w:pStyle w:val="Compact"/>
      </w:pPr>
      <w:r>
        <w:t xml:space="preserve">Heedfulness</w:t>
      </w:r>
    </w:p>
    <w:p>
      <w:pPr>
        <w:numPr>
          <w:ilvl w:val="1"/>
          <w:numId w:val="1057"/>
        </w:numPr>
        <w:pStyle w:val="Compact"/>
      </w:pPr>
      <w:r>
        <w:t xml:space="preserve">Perception</w:t>
      </w:r>
    </w:p>
    <w:p>
      <w:pPr>
        <w:numPr>
          <w:ilvl w:val="1"/>
          <w:numId w:val="1057"/>
        </w:numPr>
        <w:pStyle w:val="Compact"/>
      </w:pPr>
      <w:r>
        <w:t xml:space="preserve">Reason</w:t>
      </w:r>
    </w:p>
    <w:p>
      <w:pPr>
        <w:numPr>
          <w:ilvl w:val="1"/>
          <w:numId w:val="1057"/>
        </w:numPr>
        <w:pStyle w:val="Compact"/>
      </w:pPr>
      <w:r>
        <w:t xml:space="preserve">Sincerity</w:t>
      </w:r>
    </w:p>
    <w:p>
      <w:pPr>
        <w:numPr>
          <w:ilvl w:val="1"/>
          <w:numId w:val="1057"/>
        </w:numPr>
        <w:pStyle w:val="Compact"/>
      </w:pPr>
      <w:r>
        <w:t xml:space="preserve">Wisdom</w:t>
      </w:r>
    </w:p>
    <w:p>
      <w:pPr>
        <w:numPr>
          <w:ilvl w:val="0"/>
          <w:numId w:val="1055"/>
        </w:numPr>
        <w:pStyle w:val="Compact"/>
      </w:pPr>
      <w:r>
        <w:t xml:space="preserve">Emerging from Courtesy</w:t>
      </w:r>
    </w:p>
    <w:p>
      <w:pPr>
        <w:numPr>
          <w:ilvl w:val="1"/>
          <w:numId w:val="1058"/>
        </w:numPr>
        <w:pStyle w:val="Compact"/>
      </w:pPr>
      <w:r>
        <w:t xml:space="preserve">Dignity</w:t>
      </w:r>
    </w:p>
    <w:p>
      <w:pPr>
        <w:numPr>
          <w:ilvl w:val="1"/>
          <w:numId w:val="1058"/>
        </w:numPr>
        <w:pStyle w:val="Compact"/>
      </w:pPr>
      <w:r>
        <w:t xml:space="preserve">Fairness</w:t>
      </w:r>
    </w:p>
    <w:p>
      <w:pPr>
        <w:numPr>
          <w:ilvl w:val="1"/>
          <w:numId w:val="1058"/>
        </w:numPr>
        <w:pStyle w:val="Compact"/>
      </w:pPr>
      <w:r>
        <w:t xml:space="preserve">Kindness</w:t>
      </w:r>
    </w:p>
    <w:p>
      <w:pPr>
        <w:numPr>
          <w:ilvl w:val="1"/>
          <w:numId w:val="1058"/>
        </w:numPr>
        <w:pStyle w:val="Compact"/>
      </w:pPr>
      <w:r>
        <w:t xml:space="preserve">Purity</w:t>
      </w:r>
    </w:p>
    <w:p>
      <w:pPr>
        <w:numPr>
          <w:ilvl w:val="1"/>
          <w:numId w:val="1058"/>
        </w:numPr>
        <w:pStyle w:val="Compact"/>
      </w:pPr>
      <w:r>
        <w:t xml:space="preserve">Radiance</w:t>
      </w:r>
    </w:p>
    <w:p>
      <w:pPr>
        <w:numPr>
          <w:ilvl w:val="1"/>
          <w:numId w:val="1058"/>
        </w:numPr>
        <w:pStyle w:val="Compact"/>
      </w:pPr>
      <w:r>
        <w:t xml:space="preserve">Refinement</w:t>
      </w:r>
    </w:p>
    <w:p>
      <w:pPr>
        <w:numPr>
          <w:ilvl w:val="0"/>
          <w:numId w:val="1055"/>
        </w:numPr>
        <w:pStyle w:val="Compact"/>
      </w:pPr>
      <w:r>
        <w:t xml:space="preserve">Emerging from Loyalty</w:t>
      </w:r>
    </w:p>
    <w:p>
      <w:pPr>
        <w:numPr>
          <w:ilvl w:val="1"/>
          <w:numId w:val="1059"/>
        </w:numPr>
        <w:pStyle w:val="Compact"/>
      </w:pPr>
      <w:r>
        <w:t xml:space="preserve">Fidelity</w:t>
      </w:r>
    </w:p>
    <w:p>
      <w:pPr>
        <w:numPr>
          <w:ilvl w:val="1"/>
          <w:numId w:val="1059"/>
        </w:numPr>
        <w:pStyle w:val="Compact"/>
      </w:pPr>
      <w:r>
        <w:t xml:space="preserve">Morality</w:t>
      </w:r>
    </w:p>
    <w:p>
      <w:pPr>
        <w:numPr>
          <w:ilvl w:val="1"/>
          <w:numId w:val="1059"/>
        </w:numPr>
        <w:pStyle w:val="Compact"/>
      </w:pPr>
      <w:r>
        <w:t xml:space="preserve">Righteousness</w:t>
      </w:r>
    </w:p>
    <w:p>
      <w:pPr>
        <w:numPr>
          <w:ilvl w:val="1"/>
          <w:numId w:val="1059"/>
        </w:numPr>
        <w:pStyle w:val="Compact"/>
      </w:pPr>
      <w:r>
        <w:t xml:space="preserve">Servitude</w:t>
      </w:r>
    </w:p>
    <w:p>
      <w:pPr>
        <w:numPr>
          <w:ilvl w:val="1"/>
          <w:numId w:val="1059"/>
        </w:numPr>
        <w:pStyle w:val="Compact"/>
      </w:pPr>
      <w:r>
        <w:t xml:space="preserve">Steadfastness</w:t>
      </w:r>
    </w:p>
    <w:p>
      <w:pPr>
        <w:numPr>
          <w:ilvl w:val="0"/>
          <w:numId w:val="1055"/>
        </w:numPr>
        <w:pStyle w:val="Compact"/>
      </w:pPr>
      <w:r>
        <w:t xml:space="preserve">Emerging from Trustworthiness</w:t>
      </w:r>
    </w:p>
    <w:p>
      <w:pPr>
        <w:numPr>
          <w:ilvl w:val="1"/>
          <w:numId w:val="1060"/>
        </w:numPr>
        <w:pStyle w:val="Compact"/>
      </w:pPr>
      <w:r>
        <w:t xml:space="preserve">Justice</w:t>
      </w:r>
    </w:p>
    <w:p>
      <w:pPr>
        <w:numPr>
          <w:ilvl w:val="1"/>
          <w:numId w:val="1060"/>
        </w:numPr>
        <w:pStyle w:val="Compact"/>
      </w:pPr>
      <w:r>
        <w:t xml:space="preserve">Mindfulness</w:t>
      </w:r>
    </w:p>
    <w:p>
      <w:pPr>
        <w:numPr>
          <w:ilvl w:val="1"/>
          <w:numId w:val="1060"/>
        </w:numPr>
        <w:pStyle w:val="Compact"/>
      </w:pPr>
      <w:r>
        <w:t xml:space="preserve">Patience</w:t>
      </w:r>
    </w:p>
    <w:p>
      <w:pPr>
        <w:numPr>
          <w:ilvl w:val="1"/>
          <w:numId w:val="1060"/>
        </w:numPr>
        <w:pStyle w:val="Compact"/>
      </w:pPr>
      <w:r>
        <w:t xml:space="preserve">Repentance</w:t>
      </w:r>
    </w:p>
    <w:p>
      <w:pPr>
        <w:numPr>
          <w:ilvl w:val="1"/>
          <w:numId w:val="1060"/>
        </w:numPr>
        <w:pStyle w:val="Compact"/>
      </w:pPr>
      <w:r>
        <w:t xml:space="preserve">Submission</w:t>
      </w:r>
    </w:p>
    <w:p>
      <w:r>
        <w:br w:type="page"/>
      </w:r>
    </w:p>
    <w:bookmarkEnd w:id="1042"/>
    <w:bookmarkEnd w:id="1043"/>
    <w:bookmarkStart w:id="1046" w:name="appendix-f-the-bayánic-mithqál"/>
    <w:p>
      <w:pPr>
        <w:pStyle w:val="Heading1"/>
      </w:pPr>
      <w:r>
        <w:t xml:space="preserve">Appendix F: The Bayánic Mithqál</w:t>
      </w:r>
    </w:p>
    <w:p>
      <w:pPr>
        <w:pStyle w:val="FirstParagraph"/>
      </w:pPr>
      <w:r>
        <w:t xml:space="preserve">The Bayánic Mithqál is a unit of weight defined in the Persian Bayán (Váḥid 5, Gate 19) as the measure of nineteen grains (nakhuds).</w:t>
      </w:r>
    </w:p>
    <w:p>
      <w:pPr>
        <w:numPr>
          <w:ilvl w:val="0"/>
          <w:numId w:val="1061"/>
        </w:numPr>
        <w:pStyle w:val="Compact"/>
      </w:pPr>
      <w:r>
        <w:t xml:space="preserve">1 nakhud ≈ 0.195 grams (Qajar era standard)</w:t>
      </w:r>
      <w:r>
        <w:rPr>
          <w:rStyle w:val="FootnoteReference"/>
        </w:rPr>
        <w:footnoteReference w:id="1044"/>
      </w:r>
    </w:p>
    <w:p>
      <w:pPr>
        <w:numPr>
          <w:ilvl w:val="0"/>
          <w:numId w:val="1061"/>
        </w:numPr>
        <w:pStyle w:val="Compact"/>
      </w:pPr>
      <w:r>
        <w:t xml:space="preserve">1 Bayánic Mithqál ≈ 3.705 grams</w:t>
      </w:r>
    </w:p>
    <w:p>
      <w:pPr>
        <w:pStyle w:val="FirstParagraph"/>
      </w:pPr>
      <w:hyperlink r:id="rId1045">
        <w:r>
          <w:rPr>
            <w:rStyle w:val="Hyperlink"/>
          </w:rPr>
          <w:t xml:space="preserve">https://www.amazon.com/Measures-weights-Islamic-world-translation/dp/B0BB8CMY26</w:t>
        </w:r>
      </w:hyperlink>
    </w:p>
    <w:p>
      <w:pPr>
        <w:pStyle w:val="BodyText"/>
      </w:pPr>
      <w:r>
        <w:t xml:space="preserve">###Conversions</w:t>
      </w:r>
    </w:p>
    <w:p>
      <w:pPr>
        <w:numPr>
          <w:ilvl w:val="0"/>
          <w:numId w:val="1062"/>
        </w:numPr>
        <w:pStyle w:val="Compact"/>
      </w:pPr>
      <w:r>
        <w:t xml:space="preserve">1 Bayánic Mithqál ≈ 0.119 troy ounces</w:t>
      </w:r>
    </w:p>
    <w:p>
      <w:pPr>
        <w:numPr>
          <w:ilvl w:val="0"/>
          <w:numId w:val="1062"/>
        </w:numPr>
        <w:pStyle w:val="Compact"/>
      </w:pPr>
      <w:r>
        <w:t xml:space="preserve">9 Bayánic Mithqáls ≈ 33.345 grams ≈ 1.072 troy ounces</w:t>
      </w:r>
    </w:p>
    <w:p>
      <w:pPr>
        <w:numPr>
          <w:ilvl w:val="0"/>
          <w:numId w:val="1062"/>
        </w:numPr>
        <w:pStyle w:val="Compact"/>
      </w:pPr>
      <w:r>
        <w:t xml:space="preserve">19 Bayánic Mithqáls ≈ 70.395 grams ≈ 2.263 troy ounces</w:t>
      </w:r>
    </w:p>
    <w:p>
      <w:pPr>
        <w:numPr>
          <w:ilvl w:val="0"/>
          <w:numId w:val="1062"/>
        </w:numPr>
        <w:pStyle w:val="Compact"/>
      </w:pPr>
      <w:r>
        <w:t xml:space="preserve">95 Bayánic Mithqáls ≈ 352.975 grams ≈ 11.348 troy ounces</w:t>
      </w:r>
    </w:p>
    <w:p>
      <w:pPr>
        <w:numPr>
          <w:ilvl w:val="0"/>
          <w:numId w:val="1062"/>
        </w:numPr>
        <w:pStyle w:val="Compact"/>
      </w:pPr>
      <w:r>
        <w:t xml:space="preserve">100 Bayánic Mithqáls ≈ 370.500 grams ≈ 11.909 troy ounces</w:t>
      </w:r>
    </w:p>
    <w:p>
      <w:r>
        <w:br w:type="page"/>
      </w:r>
    </w:p>
    <w:bookmarkEnd w:id="1046"/>
    <w:bookmarkStart w:id="1049" w:name="appendix-g-child-development-model"/>
    <w:p>
      <w:pPr>
        <w:pStyle w:val="Heading1"/>
      </w:pPr>
      <w:r>
        <w:t xml:space="preserve">Appendix G: Child Development Model</w:t>
      </w:r>
    </w:p>
    <w:p>
      <w:pPr>
        <w:pStyle w:val="FirstParagraph"/>
      </w:pPr>
      <w:r>
        <w:t xml:space="preserve">The stages in this model mirror the nineteen months of the Badíʿ calendar, suggesting that human development unfolds through symbolic phases reflected in sacred time. Each year of life corresponds to a spiritual quality embedded in the calendar itself, linking personal growth with the broader rhythm of divine order.</w:t>
      </w:r>
    </w:p>
    <w:bookmarkStart w:id="1048" w:name="table-yearly-development"/>
    <w:p>
      <w:pPr>
        <w:pStyle w:val="Heading2"/>
      </w:pPr>
      <w:r>
        <w:t xml:space="preserve">Table: Yearly Development</w:t>
      </w:r>
    </w:p>
    <w:tbl>
      <w:tblPr>
        <w:tblStyle w:val="Table"/>
        <w:tblW w:type="pct" w:w="5000"/>
        <w:tblLook w:firstRow="1" w:lastRow="0" w:firstColumn="0" w:lastColumn="0" w:noHBand="0" w:noVBand="0" w:val="0020"/>
        <w:jc w:val="start"/>
        <w:tblLayout w:type="fixed"/>
      </w:tblPr>
      <w:tblGrid>
        <w:gridCol w:w="1418"/>
        <w:gridCol w:w="2009"/>
        <w:gridCol w:w="4491"/>
      </w:tblGrid>
      <w:tr>
        <w:trPr>
          <w:tblHeader w:val="true"/>
        </w:trPr>
        <w:tc>
          <w:tcPr/>
          <w:p>
            <w:pPr>
              <w:pStyle w:val="Compact"/>
              <w:jc w:val="left"/>
            </w:pPr>
            <w:r>
              <w:t xml:space="preserve">Age</w:t>
            </w:r>
          </w:p>
        </w:tc>
        <w:tc>
          <w:tcPr/>
          <w:p>
            <w:pPr>
              <w:pStyle w:val="Compact"/>
              <w:jc w:val="left"/>
            </w:pPr>
            <w:r>
              <w:t xml:space="preserve">Month</w:t>
            </w:r>
          </w:p>
        </w:tc>
        <w:tc>
          <w:tcPr/>
          <w:p>
            <w:pPr>
              <w:pStyle w:val="Compact"/>
              <w:jc w:val="left"/>
            </w:pPr>
            <w:r>
              <w:t xml:space="preserve">Developmental Insight</w:t>
            </w:r>
          </w:p>
        </w:tc>
      </w:tr>
      <w:tr>
        <w:tc>
          <w:tcPr/>
          <w:p>
            <w:pPr>
              <w:pStyle w:val="Compact"/>
              <w:jc w:val="left"/>
            </w:pPr>
            <w:r>
              <w:t xml:space="preserve">0 to 1</w:t>
            </w:r>
          </w:p>
        </w:tc>
        <w:tc>
          <w:tcPr/>
          <w:p>
            <w:pPr>
              <w:pStyle w:val="Compact"/>
              <w:jc w:val="left"/>
            </w:pPr>
            <w:r>
              <w:t xml:space="preserve">Bahá’ (بهاء)</w:t>
            </w: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 to 2</w:t>
            </w:r>
          </w:p>
        </w:tc>
        <w:tc>
          <w:tcPr/>
          <w:p>
            <w:pPr>
              <w:pStyle w:val="Compact"/>
              <w:jc w:val="left"/>
            </w:pPr>
            <w:r>
              <w:t xml:space="preserve">Jalál (جلال)</w:t>
            </w:r>
            <w:r>
              <w:t xml:space="preserve">Glory</w:t>
            </w:r>
          </w:p>
        </w:tc>
        <w:tc>
          <w:tcPr/>
          <w:p>
            <w:pPr>
              <w:pStyle w:val="Compact"/>
              <w:jc w:val="left"/>
            </w:pPr>
            <w:r>
              <w:t xml:space="preserve">The infant discovers the majesty of love through attachment and trust, sensing protection and reverence in caregivers and laying the foundation for awe before God.</w:t>
            </w:r>
          </w:p>
        </w:tc>
      </w:tr>
      <w:tr>
        <w:tc>
          <w:tcPr/>
          <w:p>
            <w:pPr>
              <w:pStyle w:val="Compact"/>
              <w:jc w:val="left"/>
            </w:pPr>
            <w:r>
              <w:t xml:space="preserve">2 to 3</w:t>
            </w:r>
          </w:p>
        </w:tc>
        <w:tc>
          <w:tcPr/>
          <w:p>
            <w:pPr>
              <w:pStyle w:val="Compact"/>
              <w:jc w:val="left"/>
            </w:pPr>
            <w:r>
              <w:t xml:space="preserve">Jamál (جمال)</w:t>
            </w: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 to 4</w:t>
            </w:r>
          </w:p>
        </w:tc>
        <w:tc>
          <w:tcPr/>
          <w:p>
            <w:pPr>
              <w:pStyle w:val="Compact"/>
              <w:jc w:val="left"/>
            </w:pPr>
            <w:r>
              <w:t xml:space="preserve">’Aẓamat (عظمة)</w:t>
            </w: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 to 5</w:t>
            </w:r>
          </w:p>
        </w:tc>
        <w:tc>
          <w:tcPr/>
          <w:p>
            <w:pPr>
              <w:pStyle w:val="Compact"/>
              <w:jc w:val="left"/>
            </w:pPr>
            <w:r>
              <w:t xml:space="preserve">Núr (نور)</w:t>
            </w:r>
            <w:r>
              <w:t xml:space="preserve">Light</w:t>
            </w:r>
          </w:p>
        </w:tc>
        <w:tc>
          <w:tcPr/>
          <w:p>
            <w:pPr>
              <w:pStyle w:val="Compact"/>
              <w:jc w:val="left"/>
            </w:pPr>
            <w:r>
              <w:t xml:space="preserve">Awareness sharpens as understanding grows. The child names, identifies, and learns through light, discovering meaning and the joy of illumination and learning.</w:t>
            </w:r>
          </w:p>
        </w:tc>
      </w:tr>
      <w:tr>
        <w:tc>
          <w:tcPr/>
          <w:p>
            <w:pPr>
              <w:pStyle w:val="Compact"/>
              <w:jc w:val="left"/>
            </w:pPr>
            <w:r>
              <w:t xml:space="preserve">5 to 6</w:t>
            </w:r>
          </w:p>
        </w:tc>
        <w:tc>
          <w:tcPr/>
          <w:p>
            <w:pPr>
              <w:pStyle w:val="Compact"/>
              <w:jc w:val="left"/>
            </w:pPr>
            <w:r>
              <w:t xml:space="preserve">Raḥmat (رحمة)</w:t>
            </w: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 to 7</w:t>
            </w:r>
          </w:p>
        </w:tc>
        <w:tc>
          <w:tcPr/>
          <w:p>
            <w:pPr>
              <w:pStyle w:val="Compact"/>
              <w:jc w:val="left"/>
            </w:pPr>
            <w:r>
              <w:t xml:space="preserve">Kalimát (كلمات)</w:t>
            </w: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 to 8</w:t>
            </w:r>
          </w:p>
        </w:tc>
        <w:tc>
          <w:tcPr/>
          <w:p>
            <w:pPr>
              <w:pStyle w:val="Compact"/>
              <w:jc w:val="left"/>
            </w:pPr>
            <w:r>
              <w:t xml:space="preserve">Kamál (كمال)</w:t>
            </w:r>
            <w:r>
              <w:t xml:space="preserve">Perfection</w:t>
            </w:r>
          </w:p>
        </w:tc>
        <w:tc>
          <w:tcPr/>
          <w:p>
            <w:pPr>
              <w:pStyle w:val="Compact"/>
              <w:jc w:val="left"/>
            </w:pPr>
            <w:r>
              <w:t xml:space="preserve">Awareness of right and wrong matures. The child seeks to act correctly, striving toward goodness and self improvement with growing self discipline and sincerity.</w:t>
            </w:r>
          </w:p>
        </w:tc>
      </w:tr>
      <w:tr>
        <w:tc>
          <w:tcPr/>
          <w:p>
            <w:pPr>
              <w:pStyle w:val="Compact"/>
              <w:jc w:val="left"/>
            </w:pPr>
            <w:r>
              <w:t xml:space="preserve">8 to 9</w:t>
            </w:r>
          </w:p>
        </w:tc>
        <w:tc>
          <w:tcPr/>
          <w:p>
            <w:pPr>
              <w:pStyle w:val="Compact"/>
              <w:jc w:val="left"/>
            </w:pPr>
            <w:r>
              <w:t xml:space="preserve">Asmá’ (أسماء)</w:t>
            </w: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 to 10</w:t>
            </w:r>
          </w:p>
        </w:tc>
        <w:tc>
          <w:tcPr/>
          <w:p>
            <w:pPr>
              <w:pStyle w:val="Compact"/>
              <w:jc w:val="left"/>
            </w:pPr>
            <w:r>
              <w:t xml:space="preserve">’Izzat (عزة)</w:t>
            </w: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 to 11</w:t>
            </w:r>
          </w:p>
        </w:tc>
        <w:tc>
          <w:tcPr/>
          <w:p>
            <w:pPr>
              <w:pStyle w:val="Compact"/>
              <w:jc w:val="left"/>
            </w:pPr>
            <w:r>
              <w:t xml:space="preserve">Mashíyyat (مشية)</w:t>
            </w: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 to 12</w:t>
            </w:r>
          </w:p>
        </w:tc>
        <w:tc>
          <w:tcPr/>
          <w:p>
            <w:pPr>
              <w:pStyle w:val="Compact"/>
              <w:jc w:val="left"/>
            </w:pPr>
            <w:r>
              <w:t xml:space="preserve">’Ilm (علم)</w:t>
            </w: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 to 13</w:t>
            </w:r>
          </w:p>
        </w:tc>
        <w:tc>
          <w:tcPr/>
          <w:p>
            <w:pPr>
              <w:pStyle w:val="Compact"/>
              <w:jc w:val="left"/>
            </w:pPr>
            <w:r>
              <w:t xml:space="preserve">Qudrat (قدرت)</w:t>
            </w:r>
            <w:r>
              <w:t xml:space="preserve">Power</w:t>
            </w:r>
          </w:p>
        </w:tc>
        <w:tc>
          <w:tcPr/>
          <w:p>
            <w:pPr>
              <w:pStyle w:val="Compact"/>
              <w:jc w:val="left"/>
            </w:pPr>
            <w:r>
              <w:t xml:space="preserve">Self confidence and courage increase. The youth begins to act with conviction, recognizing personal strength as a trust to be used with justice.</w:t>
            </w:r>
          </w:p>
        </w:tc>
      </w:tr>
      <w:tr>
        <w:tc>
          <w:tcPr/>
          <w:p>
            <w:pPr>
              <w:pStyle w:val="Compact"/>
              <w:jc w:val="left"/>
            </w:pPr>
            <w:r>
              <w:t xml:space="preserve">13 to 14</w:t>
            </w:r>
          </w:p>
        </w:tc>
        <w:tc>
          <w:tcPr/>
          <w:p>
            <w:pPr>
              <w:pStyle w:val="Compact"/>
              <w:jc w:val="left"/>
            </w:pPr>
            <w:r>
              <w:t xml:space="preserve">Qawl (قول)</w:t>
            </w: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 to 15</w:t>
            </w:r>
          </w:p>
        </w:tc>
        <w:tc>
          <w:tcPr/>
          <w:p>
            <w:pPr>
              <w:pStyle w:val="Compact"/>
              <w:jc w:val="left"/>
            </w:pPr>
            <w:r>
              <w:t xml:space="preserve">Masá’il (مسائل)</w:t>
            </w: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 to 16</w:t>
            </w:r>
          </w:p>
        </w:tc>
        <w:tc>
          <w:tcPr/>
          <w:p>
            <w:pPr>
              <w:pStyle w:val="Compact"/>
              <w:jc w:val="left"/>
            </w:pPr>
            <w:r>
              <w:t xml:space="preserve">Sharaf (شرف)</w:t>
            </w: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 to 17</w:t>
            </w:r>
          </w:p>
        </w:tc>
        <w:tc>
          <w:tcPr/>
          <w:p>
            <w:pPr>
              <w:pStyle w:val="Compact"/>
              <w:jc w:val="left"/>
            </w:pPr>
            <w:r>
              <w:t xml:space="preserve">Sultán (سلطان)</w:t>
            </w: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 to 18</w:t>
            </w:r>
          </w:p>
        </w:tc>
        <w:tc>
          <w:tcPr/>
          <w:p>
            <w:pPr>
              <w:pStyle w:val="Compact"/>
              <w:jc w:val="left"/>
            </w:pPr>
            <w:r>
              <w:t xml:space="preserve">Mulk (ملك)</w:t>
            </w: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 to 19</w:t>
            </w:r>
          </w:p>
        </w:tc>
        <w:tc>
          <w:tcPr/>
          <w:p>
            <w:pPr>
              <w:pStyle w:val="Compact"/>
              <w:jc w:val="left"/>
            </w:pPr>
            <w:r>
              <w:t xml:space="preserve">‘</w:t>
            </w:r>
            <w:r>
              <w:t xml:space="preserve">Alá</w:t>
            </w:r>
            <w:r>
              <w:t xml:space="preserve">’</w:t>
            </w:r>
            <w:r>
              <w:t xml:space="preserve"> </w:t>
            </w:r>
            <w:r>
              <w:t xml:space="preserve">(علاء)</w:t>
            </w:r>
            <w:r>
              <w:t xml:space="preserve">Loftiness</w:t>
            </w:r>
          </w:p>
        </w:tc>
        <w:tc>
          <w:tcPr/>
          <w:p>
            <w:pPr>
              <w:pStyle w:val="Compact"/>
              <w:jc w:val="left"/>
            </w:pPr>
            <w:r>
              <w:t xml:space="preserve">Spiritual adulthood is attained. The individual embodies unity, love, and service, living as a helper of others and a conscious trustee of divine trust.</w:t>
            </w:r>
          </w:p>
        </w:tc>
      </w:tr>
    </w:tbl>
    <w:bookmarkStart w:id="1047" w:name="overview"/>
    <w:p>
      <w:pPr>
        <w:pStyle w:val="Heading3"/>
      </w:pPr>
      <w:r>
        <w:t xml:space="preserve">Overview</w:t>
      </w:r>
    </w:p>
    <w:p>
      <w:pPr>
        <w:numPr>
          <w:ilvl w:val="0"/>
          <w:numId w:val="1063"/>
        </w:numPr>
        <w:pStyle w:val="Compact"/>
      </w:pPr>
      <w:r>
        <w:t xml:space="preserve">Ages 0 to 11: Formation of awareness and empathy, the world of Witnessing.</w:t>
      </w:r>
    </w:p>
    <w:p>
      <w:pPr>
        <w:numPr>
          <w:ilvl w:val="0"/>
          <w:numId w:val="1063"/>
        </w:numPr>
        <w:pStyle w:val="Compact"/>
      </w:pPr>
      <w:r>
        <w:t xml:space="preserve">Ages 11 to 15: Moral and intellectual awakening, the world of Trusteeship.</w:t>
      </w:r>
    </w:p>
    <w:p>
      <w:pPr>
        <w:numPr>
          <w:ilvl w:val="0"/>
          <w:numId w:val="1063"/>
        </w:numPr>
        <w:pStyle w:val="Compact"/>
      </w:pPr>
      <w:r>
        <w:t xml:space="preserve">Ages 15 to 19: Social and spiritual integration, the world of Helping and Unity.</w:t>
      </w:r>
    </w:p>
    <w:p>
      <w:r>
        <w:br w:type="page"/>
      </w:r>
    </w:p>
    <w:bookmarkEnd w:id="1047"/>
    <w:bookmarkEnd w:id="1048"/>
    <w:bookmarkEnd w:id="1049"/>
    <w:bookmarkStart w:id="1051" w:name="appendix-h-trusteeship-levels-and-roles"/>
    <w:p>
      <w:pPr>
        <w:pStyle w:val="Heading1"/>
      </w:pPr>
      <w:r>
        <w:t xml:space="preserve">Appendix H: Trusteeship Levels and Roles</w:t>
      </w:r>
    </w:p>
    <w:p>
      <w:pPr>
        <w:pStyle w:val="FirstParagraph"/>
      </w:pPr>
      <w:r>
        <w:t xml:space="preserve">The levels in this model move from the formation of personal integrity to the ordering of collective life. At each level, the pattern of witnessing, trusteeship, and helping shows how perception, responsibility, and action must remain united.</w:t>
      </w:r>
    </w:p>
    <w:bookmarkStart w:id="1050" w:name="table-trusteeship-levels-and-roles"/>
    <w:p>
      <w:pPr>
        <w:pStyle w:val="Heading2"/>
      </w:pPr>
      <w:r>
        <w:t xml:space="preserve">Table: Trusteeship Levels and Roles</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Level of Authority</w:t>
            </w:r>
          </w:p>
        </w:tc>
        <w:tc>
          <w:tcPr/>
          <w:p>
            <w:pPr>
              <w:pStyle w:val="Compact"/>
              <w:jc w:val="left"/>
            </w:pPr>
            <w:r>
              <w:t xml:space="preserve">Objective</w:t>
            </w:r>
          </w:p>
        </w:tc>
        <w:tc>
          <w:tcPr/>
          <w:p>
            <w:pPr>
              <w:pStyle w:val="Compact"/>
              <w:jc w:val="left"/>
            </w:pPr>
            <w:r>
              <w:t xml:space="preserve">Functional Roles</w:t>
            </w:r>
          </w:p>
        </w:tc>
        <w:tc>
          <w:tcPr/>
          <w:p>
            <w:pPr>
              <w:pStyle w:val="Compact"/>
              <w:jc w:val="left"/>
            </w:pPr>
            <w:r>
              <w:t xml:space="preserve">Witness (The Observation)</w:t>
            </w:r>
          </w:p>
        </w:tc>
        <w:tc>
          <w:tcPr/>
          <w:p>
            <w:pPr>
              <w:pStyle w:val="Compact"/>
              <w:jc w:val="left"/>
            </w:pPr>
            <w:r>
              <w:t xml:space="preserve">Trustee (The Responsibility)</w:t>
            </w:r>
          </w:p>
        </w:tc>
        <w:tc>
          <w:tcPr/>
          <w:p>
            <w:pPr>
              <w:pStyle w:val="Compact"/>
              <w:jc w:val="left"/>
            </w:pPr>
            <w:r>
              <w:t xml:space="preserve">Helper (The Action)</w:t>
            </w:r>
          </w:p>
        </w:tc>
      </w:tr>
      <w:tr>
        <w:tc>
          <w:tcPr/>
          <w:p>
            <w:pPr>
              <w:pStyle w:val="Compact"/>
              <w:jc w:val="left"/>
            </w:pPr>
            <w:r>
              <w:t xml:space="preserve">Level 1: Inspiration</w:t>
            </w:r>
          </w:p>
        </w:tc>
        <w:tc>
          <w:tcPr/>
          <w:p>
            <w:pPr>
              <w:pStyle w:val="Compact"/>
              <w:jc w:val="left"/>
            </w:pPr>
            <w:r>
              <w:t xml:space="preserve">Individual Integrity and Truth</w:t>
            </w:r>
          </w:p>
        </w:tc>
        <w:tc>
          <w:tcPr/>
          <w:p>
            <w:pPr>
              <w:pStyle w:val="Compact"/>
              <w:jc w:val="left"/>
            </w:pPr>
            <w:r>
              <w:t xml:space="preserve">Artist, Scientist, Friend</w:t>
            </w:r>
          </w:p>
        </w:tc>
        <w:tc>
          <w:tcPr/>
          <w:p>
            <w:pPr>
              <w:pStyle w:val="Compact"/>
              <w:jc w:val="left"/>
            </w:pPr>
            <w:r>
              <w:t xml:space="preserve">Identifying the divine names, virtues, and laws of reality</w:t>
            </w:r>
          </w:p>
        </w:tc>
        <w:tc>
          <w:tcPr/>
          <w:p>
            <w:pPr>
              <w:pStyle w:val="Compact"/>
              <w:jc w:val="left"/>
            </w:pPr>
            <w:r>
              <w:t xml:space="preserve">Guarding the purity of truth, creativity, and personal loyalty</w:t>
            </w:r>
          </w:p>
        </w:tc>
        <w:tc>
          <w:tcPr/>
          <w:p>
            <w:pPr>
              <w:pStyle w:val="Compact"/>
              <w:jc w:val="left"/>
            </w:pPr>
            <w:r>
              <w:t xml:space="preserve">Inspiring radiance and independent investigation in others</w:t>
            </w:r>
          </w:p>
        </w:tc>
      </w:tr>
      <w:tr>
        <w:tc>
          <w:tcPr/>
          <w:p>
            <w:pPr>
              <w:pStyle w:val="Compact"/>
              <w:jc w:val="left"/>
            </w:pPr>
            <w:r>
              <w:t xml:space="preserve">Level 2: Education</w:t>
            </w:r>
          </w:p>
        </w:tc>
        <w:tc>
          <w:tcPr/>
          <w:p>
            <w:pPr>
              <w:pStyle w:val="Compact"/>
              <w:jc w:val="left"/>
            </w:pPr>
            <w:r>
              <w:t xml:space="preserve">Moral and Spiritual Upbringing</w:t>
            </w:r>
          </w:p>
        </w:tc>
        <w:tc>
          <w:tcPr/>
          <w:p>
            <w:pPr>
              <w:pStyle w:val="Compact"/>
              <w:jc w:val="left"/>
            </w:pPr>
            <w:r>
              <w:t xml:space="preserve">Parent, Teacher, Scholar, Religious Leader</w:t>
            </w:r>
          </w:p>
        </w:tc>
        <w:tc>
          <w:tcPr/>
          <w:p>
            <w:pPr>
              <w:pStyle w:val="Compact"/>
              <w:jc w:val="left"/>
            </w:pPr>
            <w:r>
              <w:t xml:space="preserve">Noticing the specific milk, fruit, or meat required for a soul’s growth</w:t>
            </w:r>
          </w:p>
        </w:tc>
        <w:tc>
          <w:tcPr/>
          <w:p>
            <w:pPr>
              <w:pStyle w:val="Compact"/>
              <w:jc w:val="left"/>
            </w:pPr>
            <w:r>
              <w:t xml:space="preserve">Acting as a spiritual physician for those in one’s care</w:t>
            </w:r>
          </w:p>
        </w:tc>
        <w:tc>
          <w:tcPr/>
          <w:p>
            <w:pPr>
              <w:pStyle w:val="Compact"/>
              <w:jc w:val="left"/>
            </w:pPr>
            <w:r>
              <w:t xml:space="preserve">Healing trauma and nurturing God consciousness through wisdom</w:t>
            </w:r>
          </w:p>
        </w:tc>
      </w:tr>
      <w:tr>
        <w:tc>
          <w:tcPr/>
          <w:p>
            <w:pPr>
              <w:pStyle w:val="Compact"/>
              <w:jc w:val="left"/>
            </w:pPr>
            <w:r>
              <w:t xml:space="preserve">Level 3: Honor</w:t>
            </w:r>
          </w:p>
        </w:tc>
        <w:tc>
          <w:tcPr/>
          <w:p>
            <w:pPr>
              <w:pStyle w:val="Compact"/>
              <w:jc w:val="left"/>
            </w:pPr>
            <w:r>
              <w:t xml:space="preserve">Human Rights and Social Identity</w:t>
            </w:r>
          </w:p>
        </w:tc>
        <w:tc>
          <w:tcPr/>
          <w:p>
            <w:pPr>
              <w:pStyle w:val="Compact"/>
              <w:jc w:val="left"/>
            </w:pPr>
            <w:r>
              <w:t xml:space="preserve">Social Work Organizer, NGO Leader, Lawyer</w:t>
            </w:r>
          </w:p>
        </w:tc>
        <w:tc>
          <w:tcPr/>
          <w:p>
            <w:pPr>
              <w:pStyle w:val="Compact"/>
              <w:jc w:val="left"/>
            </w:pPr>
            <w:r>
              <w:t xml:space="preserve">Recognizing where the right to identity or honor is being oppressed</w:t>
            </w:r>
          </w:p>
        </w:tc>
        <w:tc>
          <w:tcPr/>
          <w:p>
            <w:pPr>
              <w:pStyle w:val="Compact"/>
              <w:jc w:val="left"/>
            </w:pPr>
            <w:r>
              <w:t xml:space="preserve">Protecting the sacred boundaries of the soul and the property of others</w:t>
            </w:r>
          </w:p>
        </w:tc>
        <w:tc>
          <w:tcPr/>
          <w:p>
            <w:pPr>
              <w:pStyle w:val="Compact"/>
              <w:jc w:val="left"/>
            </w:pPr>
            <w:r>
              <w:t xml:space="preserve">Intervening against slander and advocating for the vulnerable</w:t>
            </w:r>
          </w:p>
        </w:tc>
      </w:tr>
      <w:tr>
        <w:tc>
          <w:tcPr/>
          <w:p>
            <w:pPr>
              <w:pStyle w:val="Compact"/>
              <w:jc w:val="left"/>
            </w:pPr>
            <w:r>
              <w:t xml:space="preserve">Level 4: Welfare</w:t>
            </w:r>
          </w:p>
        </w:tc>
        <w:tc>
          <w:tcPr/>
          <w:p>
            <w:pPr>
              <w:pStyle w:val="Compact"/>
              <w:jc w:val="left"/>
            </w:pPr>
            <w:r>
              <w:t xml:space="preserve">Provision and Community Support</w:t>
            </w:r>
          </w:p>
        </w:tc>
        <w:tc>
          <w:tcPr/>
          <w:p>
            <w:pPr>
              <w:pStyle w:val="Compact"/>
              <w:jc w:val="left"/>
            </w:pPr>
            <w:r>
              <w:t xml:space="preserve">Business Owner or Manager, Wealth Manager</w:t>
            </w:r>
          </w:p>
        </w:tc>
        <w:tc>
          <w:tcPr/>
          <w:p>
            <w:pPr>
              <w:pStyle w:val="Compact"/>
              <w:jc w:val="left"/>
            </w:pPr>
            <w:r>
              <w:t xml:space="preserve">Viewing wealth and resources not as personal status but as public trust</w:t>
            </w:r>
          </w:p>
        </w:tc>
        <w:tc>
          <w:tcPr/>
          <w:p>
            <w:pPr>
              <w:pStyle w:val="Compact"/>
              <w:jc w:val="left"/>
            </w:pPr>
            <w:r>
              <w:t xml:space="preserve">Managing endowments and capital for the salvation of nations</w:t>
            </w:r>
          </w:p>
        </w:tc>
        <w:tc>
          <w:tcPr/>
          <w:p>
            <w:pPr>
              <w:pStyle w:val="Compact"/>
              <w:jc w:val="left"/>
            </w:pPr>
            <w:r>
              <w:t xml:space="preserve">Generating ethical prosperity and funding elevated places of service</w:t>
            </w:r>
          </w:p>
        </w:tc>
      </w:tr>
      <w:tr>
        <w:tc>
          <w:tcPr/>
          <w:p>
            <w:pPr>
              <w:pStyle w:val="Compact"/>
              <w:jc w:val="left"/>
            </w:pPr>
            <w:r>
              <w:t xml:space="preserve">Level 5: Governance</w:t>
            </w:r>
          </w:p>
        </w:tc>
        <w:tc>
          <w:tcPr/>
          <w:p>
            <w:pPr>
              <w:pStyle w:val="Compact"/>
              <w:jc w:val="left"/>
            </w:pPr>
            <w:r>
              <w:t xml:space="preserve">Global and Local Peace</w:t>
            </w:r>
          </w:p>
        </w:tc>
        <w:tc>
          <w:tcPr/>
          <w:p>
            <w:pPr>
              <w:pStyle w:val="Compact"/>
              <w:jc w:val="left"/>
            </w:pPr>
            <w:r>
              <w:t xml:space="preserve">Politician, Legislator, Judge, Monarch, Diplomat, General</w:t>
            </w:r>
          </w:p>
        </w:tc>
        <w:tc>
          <w:tcPr/>
          <w:p>
            <w:pPr>
              <w:pStyle w:val="Compact"/>
              <w:jc w:val="left"/>
            </w:pPr>
            <w:r>
              <w:t xml:space="preserve">Discerning common affairs and the collective security of the people</w:t>
            </w:r>
          </w:p>
        </w:tc>
        <w:tc>
          <w:tcPr/>
          <w:p>
            <w:pPr>
              <w:pStyle w:val="Compact"/>
              <w:jc w:val="left"/>
            </w:pPr>
            <w:r>
              <w:t xml:space="preserve">Exercising authority only through consent and consultation</w:t>
            </w:r>
          </w:p>
        </w:tc>
        <w:tc>
          <w:tcPr/>
          <w:p>
            <w:pPr>
              <w:pStyle w:val="Compact"/>
              <w:jc w:val="left"/>
            </w:pPr>
            <w:r>
              <w:t xml:space="preserve">Establishing the Lesser Peace and protecting the rights of all</w:t>
            </w:r>
          </w:p>
        </w:tc>
      </w:tr>
    </w:tbl>
    <w:p>
      <w:r>
        <w:br w:type="page"/>
      </w:r>
    </w:p>
    <w:bookmarkEnd w:id="1050"/>
    <w:bookmarkEnd w:id="1051"/>
    <w:bookmarkStart w:id="1058" w:name="appendix-i-political-leaders-in-1873"/>
    <w:p>
      <w:pPr>
        <w:pStyle w:val="Heading1"/>
      </w:pPr>
      <w:r>
        <w:t xml:space="preserve">Appendix I: Political Leaders in 1873</w:t>
      </w:r>
    </w:p>
    <w:p>
      <w:pPr>
        <w:pStyle w:val="FirstParagraph"/>
      </w:pPr>
      <w:r>
        <w:t xml:space="preserve">The Kitáb-i-Aqdas was revealed by Bahá’u’lláh in 1873 during a period of profound political transformation across the world. Empires, monarchies, and newly independent republics coexisted in a rapidly changing global order, providing the historical context in which the laws and principles of the Kitáb-i-Aqdas were first addressed to humanity.</w:t>
      </w:r>
    </w:p>
    <w:bookmarkStart w:id="1054" w:name="table-politcal-leaders-of-the-americas"/>
    <w:p>
      <w:pPr>
        <w:pStyle w:val="Heading2"/>
      </w:pPr>
      <w:r>
        <w:t xml:space="preserve">Table: Politcal Leaders Of the Americas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Nation / Power</w:t>
            </w:r>
          </w:p>
        </w:tc>
        <w:tc>
          <w:tcPr/>
          <w:p>
            <w:pPr>
              <w:pStyle w:val="Compact"/>
              <w:jc w:val="left"/>
            </w:pPr>
            <w:r>
              <w:t xml:space="preserve">Status (1873)</w:t>
            </w:r>
          </w:p>
        </w:tc>
        <w:tc>
          <w:tcPr/>
          <w:p>
            <w:pPr>
              <w:pStyle w:val="Compact"/>
              <w:jc w:val="left"/>
            </w:pPr>
            <w:r>
              <w:t xml:space="preserve">Independence Year</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52"/>
            </w:r>
          </w:p>
        </w:tc>
      </w:tr>
      <w:tr>
        <w:tc>
          <w:tcPr/>
          <w:p>
            <w:pPr>
              <w:pStyle w:val="Compact"/>
              <w:jc w:val="left"/>
            </w:pPr>
            <w: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53"/>
            </w:r>
          </w:p>
        </w:tc>
      </w:tr>
      <w:tr>
        <w:tc>
          <w:tcPr/>
          <w:p>
            <w:pPr>
              <w:pStyle w:val="Compact"/>
              <w:jc w:val="left"/>
            </w:pPr>
            <w: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54"/>
    <w:bookmarkStart w:id="1055" w:name="table-political-leaders-of-europe"/>
    <w:p>
      <w:pPr>
        <w:pStyle w:val="Heading2"/>
      </w:pPr>
      <w:r>
        <w:t xml:space="preserve">Table: Political Leaders Of Europe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 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 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 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55"/>
    <w:bookmarkStart w:id="1056" w:name="table-political-leaders-of-africa"/>
    <w:p>
      <w:pPr>
        <w:pStyle w:val="Heading2"/>
      </w:pPr>
      <w:r>
        <w:t xml:space="preserve">Table: Political Leaders Of Africa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 Sadiq</w:t>
            </w:r>
          </w:p>
        </w:tc>
        <w:tc>
          <w:tcPr/>
          <w:p>
            <w:pPr>
              <w:pStyle w:val="Compact"/>
              <w:jc w:val="left"/>
            </w:pPr>
            <w:r>
              <w:t xml:space="preserve">Bey</w:t>
            </w:r>
          </w:p>
        </w:tc>
      </w:tr>
      <w:tr>
        <w:tc>
          <w:tcPr/>
          <w:p>
            <w:pPr>
              <w:pStyle w:val="Compact"/>
              <w:jc w:val="left"/>
            </w:pPr>
            <w:r>
              <w:t xml:space="preserve">Oman and Zanzibar Sultanate</w:t>
            </w:r>
          </w:p>
        </w:tc>
        <w:tc>
          <w:tcPr/>
          <w:p>
            <w:pPr>
              <w:pStyle w:val="Compact"/>
              <w:jc w:val="left"/>
            </w:pPr>
            <w:r>
              <w:t xml:space="preserve">Independent</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56"/>
    <w:bookmarkStart w:id="1057" w:name="table-political-leaders-of-asia"/>
    <w:p>
      <w:pPr>
        <w:pStyle w:val="Heading2"/>
      </w:pPr>
      <w:r>
        <w:t xml:space="preserve">Table: Political Leaders Of Asia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 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w:t>
            </w:r>
          </w:p>
        </w:tc>
        <w:tc>
          <w:tcPr/>
          <w:p>
            <w:pPr>
              <w:pStyle w:val="Compact"/>
              <w:jc w:val="left"/>
            </w:pPr>
            <w:r>
              <w:t xml:space="preserve">Queen Victoria</w:t>
            </w:r>
          </w:p>
        </w:tc>
        <w:tc>
          <w:tcPr/>
          <w:p>
            <w:pPr>
              <w:pStyle w:val="Compact"/>
              <w:jc w:val="left"/>
            </w:pPr>
            <w:r>
              <w:t xml:space="preserve">Empress of India</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w:t>
            </w:r>
          </w:p>
        </w:tc>
        <w:tc>
          <w:tcPr/>
          <w:p>
            <w:pPr>
              <w:pStyle w:val="Compact"/>
              <w:jc w:val="left"/>
            </w:pPr>
            <w:r>
              <w:t xml:space="preserve">King Sovereign Power</w:t>
            </w:r>
          </w:p>
        </w:tc>
      </w:tr>
      <w:tr>
        <w:tc>
          <w:tcPr/>
          <w:p>
            <w:pPr>
              <w:pStyle w:val="Compact"/>
              <w:jc w:val="left"/>
            </w:pPr>
            <w:r>
              <w:t xml:space="preserve">Joseon Korea</w:t>
            </w:r>
          </w:p>
        </w:tc>
        <w:tc>
          <w:tcPr/>
          <w:p>
            <w:pPr>
              <w:pStyle w:val="Compact"/>
              <w:jc w:val="left"/>
            </w:pPr>
            <w:r>
              <w:t xml:space="preserve">Kingdom</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57"/>
    <w:bookmarkEnd w:id="1058"/>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Kitáb-i-Aqdas #144</w:t>
      </w:r>
    </w:p>
  </w:footnote>
  <w:footnote w:id="31">
    <w:p>
      <w:pPr>
        <w:pStyle w:val="FootnoteText"/>
      </w:pPr>
      <w:r>
        <w:rPr>
          <w:rStyle w:val="FootnoteReference"/>
        </w:rPr>
        <w:footnoteRef/>
      </w:r>
      <w:r>
        <w:t xml:space="preserve"> </w:t>
      </w:r>
      <w:r>
        <w:t xml:space="preserve">Kitáb-i-Aqdas #132</w:t>
      </w:r>
    </w:p>
  </w:footnote>
  <w:footnote w:id="36">
    <w:p>
      <w:pPr>
        <w:pStyle w:val="FootnoteText"/>
      </w:pPr>
      <w:r>
        <w:rPr>
          <w:rStyle w:val="FootnoteReference"/>
        </w:rPr>
        <w:footnoteRef/>
      </w:r>
      <w:r>
        <w:t xml:space="preserve"> </w:t>
      </w:r>
      <w:r>
        <w:t xml:space="preserve">Kitáb-i-Aqdas #59</w:t>
      </w:r>
    </w:p>
  </w:footnote>
  <w:footnote w:id="37">
    <w:p>
      <w:pPr>
        <w:pStyle w:val="FootnoteText"/>
      </w:pPr>
      <w:r>
        <w:rPr>
          <w:rStyle w:val="FootnoteReference"/>
        </w:rPr>
        <w:footnoteRef/>
      </w:r>
      <w:r>
        <w:t xml:space="preserve"> </w:t>
      </w:r>
      <w:r>
        <w:t xml:space="preserve">Kitáb-i-Aqdas #64</w:t>
      </w:r>
    </w:p>
  </w:footnote>
  <w:footnote w:id="43">
    <w:p>
      <w:pPr>
        <w:pStyle w:val="FootnoteText"/>
      </w:pPr>
      <w:r>
        <w:rPr>
          <w:rStyle w:val="FootnoteReference"/>
        </w:rPr>
        <w:footnoteRef/>
      </w:r>
      <w:r>
        <w:t xml:space="preserve"> </w:t>
      </w:r>
      <w:r>
        <w:t xml:space="preserve">The Hidden Words in Arabic #3</w:t>
      </w:r>
    </w:p>
  </w:footnote>
  <w:footnote w:id="47">
    <w:p>
      <w:pPr>
        <w:pStyle w:val="FootnoteText"/>
      </w:pPr>
      <w:r>
        <w:rPr>
          <w:rStyle w:val="FootnoteReference"/>
        </w:rPr>
        <w:footnoteRef/>
      </w:r>
      <w:r>
        <w:t xml:space="preserve"> </w:t>
      </w:r>
      <w:r>
        <w:t xml:space="preserve">Kitáb-i-Aqdas #66</w:t>
      </w:r>
    </w:p>
  </w:footnote>
  <w:footnote w:id="50">
    <w:p>
      <w:pPr>
        <w:pStyle w:val="FootnoteText"/>
      </w:pPr>
      <w:r>
        <w:rPr>
          <w:rStyle w:val="FootnoteReference"/>
        </w:rPr>
        <w:footnoteRef/>
      </w:r>
      <w:r>
        <w:t xml:space="preserve"> </w:t>
      </w:r>
      <w:r>
        <w:t xml:space="preserve">Kitáb-i-Aqdas #47</w:t>
      </w:r>
    </w:p>
  </w:footnote>
  <w:footnote w:id="53">
    <w:p>
      <w:pPr>
        <w:pStyle w:val="FootnoteText"/>
      </w:pPr>
      <w:r>
        <w:rPr>
          <w:rStyle w:val="FootnoteReference"/>
        </w:rPr>
        <w:footnoteRef/>
      </w:r>
      <w:r>
        <w:t xml:space="preserve"> </w:t>
      </w:r>
      <w:r>
        <w:t xml:space="preserve">Kitáb-i-Aqdas #125</w:t>
      </w:r>
    </w:p>
  </w:footnote>
  <w:footnote w:id="54">
    <w:p>
      <w:pPr>
        <w:pStyle w:val="FootnoteText"/>
      </w:pPr>
      <w:r>
        <w:rPr>
          <w:rStyle w:val="FootnoteReference"/>
        </w:rPr>
        <w:footnoteRef/>
      </w:r>
      <w:r>
        <w:t xml:space="preserve"> </w:t>
      </w:r>
      <w:r>
        <w:t xml:space="preserve">Persian Bayán, Váḥid 2 Gate 3</w:t>
      </w:r>
    </w:p>
  </w:footnote>
  <w:footnote w:id="55">
    <w:p>
      <w:pPr>
        <w:pStyle w:val="FootnoteText"/>
      </w:pPr>
      <w:r>
        <w:rPr>
          <w:rStyle w:val="FootnoteReference"/>
        </w:rPr>
        <w:footnoteRef/>
      </w:r>
      <w:r>
        <w:t xml:space="preserve"> </w:t>
      </w:r>
      <w:r>
        <w:t xml:space="preserve">Kitáb-i-Aqdas #138</w:t>
      </w:r>
    </w:p>
  </w:footnote>
  <w:footnote w:id="56">
    <w:p>
      <w:pPr>
        <w:pStyle w:val="FootnoteText"/>
      </w:pPr>
      <w:r>
        <w:rPr>
          <w:rStyle w:val="FootnoteReference"/>
        </w:rPr>
        <w:footnoteRef/>
      </w:r>
      <w:r>
        <w:t xml:space="preserve"> </w:t>
      </w:r>
      <w:r>
        <w:t xml:space="preserve">Lawḥ-i-Sirāj</w:t>
      </w:r>
    </w:p>
  </w:footnote>
  <w:footnote w:id="58">
    <w:p>
      <w:pPr>
        <w:pStyle w:val="FootnoteText"/>
      </w:pPr>
      <w:r>
        <w:rPr>
          <w:rStyle w:val="FootnoteReference"/>
        </w:rPr>
        <w:footnoteRef/>
      </w:r>
      <w:r>
        <w:t xml:space="preserve"> </w:t>
      </w:r>
      <w:r>
        <w:t xml:space="preserve">Kitáb-i-Aqdas #158</w:t>
      </w:r>
    </w:p>
  </w:footnote>
  <w:footnote w:id="59">
    <w:p>
      <w:pPr>
        <w:pStyle w:val="FootnoteText"/>
      </w:pPr>
      <w:r>
        <w:rPr>
          <w:rStyle w:val="FootnoteReference"/>
        </w:rPr>
        <w:footnoteRef/>
      </w:r>
      <w:r>
        <w:t xml:space="preserve"> </w:t>
      </w:r>
      <w:r>
        <w:t xml:space="preserve">Kitáb-i-Aqdas #111</w:t>
      </w:r>
    </w:p>
  </w:footnote>
  <w:footnote w:id="60">
    <w:p>
      <w:pPr>
        <w:pStyle w:val="FootnoteText"/>
      </w:pPr>
      <w:r>
        <w:rPr>
          <w:rStyle w:val="FootnoteReference"/>
        </w:rPr>
        <w:footnoteRef/>
      </w:r>
      <w:r>
        <w:t xml:space="preserve"> </w:t>
      </w:r>
      <w:r>
        <w:t xml:space="preserve">Lawḥ-i-Aqdas</w:t>
      </w:r>
    </w:p>
  </w:footnote>
  <w:footnote w:id="61">
    <w:p>
      <w:pPr>
        <w:pStyle w:val="FootnoteText"/>
      </w:pPr>
      <w:r>
        <w:rPr>
          <w:rStyle w:val="FootnoteReference"/>
        </w:rPr>
        <w:footnoteRef/>
      </w:r>
      <w:r>
        <w:t xml:space="preserve"> </w:t>
      </w:r>
      <w:r>
        <w:t xml:space="preserve">Súríy-i-Haykal #167</w:t>
      </w:r>
    </w:p>
  </w:footnote>
  <w:footnote w:id="67">
    <w:p>
      <w:pPr>
        <w:pStyle w:val="FootnoteText"/>
      </w:pPr>
      <w:r>
        <w:rPr>
          <w:rStyle w:val="FootnoteReference"/>
        </w:rPr>
        <w:footnoteRef/>
      </w:r>
      <w:r>
        <w:t xml:space="preserve"> </w:t>
      </w:r>
      <w:r>
        <w:t xml:space="preserve">Kitáb-i-Aqdas #148</w:t>
      </w:r>
    </w:p>
  </w:footnote>
  <w:footnote w:id="68">
    <w:p>
      <w:pPr>
        <w:pStyle w:val="FootnoteText"/>
      </w:pPr>
      <w:r>
        <w:rPr>
          <w:rStyle w:val="FootnoteReference"/>
        </w:rPr>
        <w:footnoteRef/>
      </w:r>
      <w:r>
        <w:t xml:space="preserve"> </w:t>
      </w:r>
      <w:r>
        <w:t xml:space="preserve">Tablet of the Light Verses and Disjointed Letters</w:t>
      </w:r>
    </w:p>
  </w:footnote>
  <w:footnote w:id="69">
    <w:p>
      <w:pPr>
        <w:pStyle w:val="FootnoteText"/>
      </w:pPr>
      <w:r>
        <w:rPr>
          <w:rStyle w:val="FootnoteReference"/>
        </w:rPr>
        <w:footnoteRef/>
      </w:r>
      <w:r>
        <w:t xml:space="preserve"> </w:t>
      </w:r>
      <w:r>
        <w:t xml:space="preserve">Kitáb-i-Aqdas #74</w:t>
      </w:r>
    </w:p>
  </w:footnote>
  <w:footnote w:id="70">
    <w:p>
      <w:pPr>
        <w:pStyle w:val="FootnoteText"/>
      </w:pPr>
      <w:r>
        <w:rPr>
          <w:rStyle w:val="FootnoteReference"/>
        </w:rPr>
        <w:footnoteRef/>
      </w:r>
      <w:r>
        <w:t xml:space="preserve"> </w:t>
      </w:r>
      <w:r>
        <w:t xml:space="preserve">Kitáb-i-Aqdas #73</w:t>
      </w:r>
    </w:p>
  </w:footnote>
  <w:footnote w:id="71">
    <w:p>
      <w:pPr>
        <w:pStyle w:val="FootnoteText"/>
      </w:pPr>
      <w:r>
        <w:rPr>
          <w:rStyle w:val="FootnoteReference"/>
        </w:rPr>
        <w:footnoteRef/>
      </w:r>
      <w:r>
        <w:t xml:space="preserve"> </w:t>
      </w:r>
      <w:r>
        <w:t xml:space="preserve">Kitáb-i-Aqdas #158</w:t>
      </w:r>
    </w:p>
  </w:footnote>
  <w:footnote w:id="72">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3">
    <w:p>
      <w:pPr>
        <w:pStyle w:val="FootnoteText"/>
      </w:pPr>
      <w:r>
        <w:rPr>
          <w:rStyle w:val="FootnoteReference"/>
        </w:rPr>
        <w:footnoteRef/>
      </w:r>
      <w:r>
        <w:t xml:space="preserve"> </w:t>
      </w:r>
      <w:r>
        <w:t xml:space="preserve">Suriy-i-Rais</w:t>
      </w:r>
    </w:p>
  </w:footnote>
  <w:footnote w:id="74">
    <w:p>
      <w:pPr>
        <w:pStyle w:val="FootnoteText"/>
      </w:pPr>
      <w:r>
        <w:rPr>
          <w:rStyle w:val="FootnoteReference"/>
        </w:rPr>
        <w:footnoteRef/>
      </w:r>
      <w:r>
        <w:t xml:space="preserve"> </w:t>
      </w:r>
      <w:r>
        <w:t xml:space="preserve">Kitáb-i-Aqdas #72</w:t>
      </w:r>
    </w:p>
  </w:footnote>
  <w:footnote w:id="75">
    <w:p>
      <w:pPr>
        <w:pStyle w:val="FootnoteText"/>
      </w:pPr>
      <w:r>
        <w:rPr>
          <w:rStyle w:val="FootnoteReference"/>
        </w:rPr>
        <w:footnoteRef/>
      </w:r>
      <w:r>
        <w:t xml:space="preserve"> </w:t>
      </w:r>
      <w:r>
        <w:t xml:space="preserve">Kitab-i-Badi - This book offers an in-depth explanation of what it means to be a mirror</w:t>
      </w:r>
    </w:p>
  </w:footnote>
  <w:footnote w:id="76">
    <w:p>
      <w:pPr>
        <w:pStyle w:val="FootnoteText"/>
      </w:pPr>
      <w:r>
        <w:rPr>
          <w:rStyle w:val="FootnoteReference"/>
        </w:rPr>
        <w:footnoteRef/>
      </w:r>
      <w:r>
        <w:t xml:space="preserve"> </w:t>
      </w:r>
      <w:r>
        <w:t xml:space="preserve">Kitab-i-Iqan (Book of Certitude) - Another great source about the potentials of the soul</w:t>
      </w:r>
    </w:p>
  </w:footnote>
  <w:footnote w:id="77">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Bayan, the Seven Valleys, and the Kitab-i-Iqan.</w:t>
      </w:r>
    </w:p>
  </w:footnote>
  <w:footnote w:id="79">
    <w:p>
      <w:pPr>
        <w:pStyle w:val="FootnoteText"/>
      </w:pPr>
      <w:r>
        <w:rPr>
          <w:rStyle w:val="FootnoteReference"/>
        </w:rPr>
        <w:footnoteRef/>
      </w:r>
      <w:r>
        <w:t xml:space="preserve"> </w:t>
      </w:r>
      <w:r>
        <w:t xml:space="preserve">Kitáb-i-Aqdas #96</w:t>
      </w:r>
    </w:p>
  </w:footnote>
  <w:footnote w:id="80">
    <w:p>
      <w:pPr>
        <w:pStyle w:val="FootnoteText"/>
      </w:pPr>
      <w:r>
        <w:rPr>
          <w:rStyle w:val="FootnoteReference"/>
        </w:rPr>
        <w:footnoteRef/>
      </w:r>
      <w:r>
        <w:t xml:space="preserve"> </w:t>
      </w:r>
      <w:r>
        <w:t xml:space="preserve">Kitáb-i-Aqdas #120</w:t>
      </w:r>
    </w:p>
  </w:footnote>
  <w:footnote w:id="81">
    <w:p>
      <w:pPr>
        <w:pStyle w:val="FootnoteText"/>
      </w:pPr>
      <w:r>
        <w:rPr>
          <w:rStyle w:val="FootnoteReference"/>
        </w:rPr>
        <w:footnoteRef/>
      </w:r>
      <w:r>
        <w:t xml:space="preserve"> </w:t>
      </w:r>
      <w:r>
        <w:t xml:space="preserve">The Arabic Hidden Words #13</w:t>
      </w:r>
    </w:p>
  </w:footnote>
  <w:footnote w:id="82">
    <w:p>
      <w:pPr>
        <w:pStyle w:val="FootnoteText"/>
      </w:pPr>
      <w:r>
        <w:rPr>
          <w:rStyle w:val="FootnoteReference"/>
        </w:rPr>
        <w:footnoteRef/>
      </w:r>
      <w:r>
        <w:t xml:space="preserve"> </w:t>
      </w:r>
      <w:r>
        <w:t xml:space="preserve">Persian Bayan, Vahid 1 Gate 2</w:t>
      </w:r>
    </w:p>
  </w:footnote>
  <w:footnote w:id="83">
    <w:p>
      <w:pPr>
        <w:pStyle w:val="FootnoteText"/>
      </w:pPr>
      <w:r>
        <w:rPr>
          <w:rStyle w:val="FootnoteReference"/>
        </w:rPr>
        <w:footnoteRef/>
      </w:r>
      <w:r>
        <w:t xml:space="preserve"> </w:t>
      </w:r>
      <w:r>
        <w:t xml:space="preserve">Persian Bayan, Vahid 5, Gate 14</w:t>
      </w:r>
    </w:p>
  </w:footnote>
  <w:footnote w:id="84">
    <w:p>
      <w:pPr>
        <w:pStyle w:val="FootnoteText"/>
      </w:pPr>
      <w:r>
        <w:rPr>
          <w:rStyle w:val="FootnoteReference"/>
        </w:rPr>
        <w:footnoteRef/>
      </w:r>
      <w:r>
        <w:t xml:space="preserve"> </w:t>
      </w:r>
      <w:r>
        <w:t xml:space="preserve">Kitáb-i-Aqdas #176</w:t>
      </w:r>
    </w:p>
  </w:footnote>
  <w:footnote w:id="85">
    <w:p>
      <w:pPr>
        <w:pStyle w:val="FootnoteText"/>
      </w:pPr>
      <w:r>
        <w:rPr>
          <w:rStyle w:val="FootnoteReference"/>
        </w:rPr>
        <w:footnoteRef/>
      </w:r>
      <w:r>
        <w:t xml:space="preserve"> </w:t>
      </w:r>
      <w:r>
        <w:t xml:space="preserve">Kitab-i-Iqan</w:t>
      </w:r>
    </w:p>
  </w:footnote>
  <w:footnote w:id="87">
    <w:p>
      <w:pPr>
        <w:pStyle w:val="FootnoteText"/>
      </w:pPr>
      <w:r>
        <w:rPr>
          <w:rStyle w:val="FootnoteReference"/>
        </w:rPr>
        <w:footnoteRef/>
      </w:r>
      <w:r>
        <w:t xml:space="preserve"> </w:t>
      </w:r>
      <w:r>
        <w:t xml:space="preserve">Kitáb-i-Aqdas #119</w:t>
      </w:r>
    </w:p>
  </w:footnote>
  <w:footnote w:id="88">
    <w:p>
      <w:pPr>
        <w:pStyle w:val="FootnoteText"/>
      </w:pPr>
      <w:r>
        <w:rPr>
          <w:rStyle w:val="FootnoteReference"/>
        </w:rPr>
        <w:footnoteRef/>
      </w:r>
      <w:r>
        <w:t xml:space="preserve"> </w:t>
      </w:r>
      <w:r>
        <w:t xml:space="preserve">Lawh-i-Dunya (Tablet of the World)</w:t>
      </w:r>
    </w:p>
  </w:footnote>
  <w:footnote w:id="89">
    <w:p>
      <w:pPr>
        <w:pStyle w:val="FootnoteText"/>
      </w:pPr>
      <w:r>
        <w:rPr>
          <w:rStyle w:val="FootnoteReference"/>
        </w:rPr>
        <w:footnoteRef/>
      </w:r>
      <w:r>
        <w:t xml:space="preserve"> </w:t>
      </w:r>
      <w:r>
        <w:t xml:space="preserve">Kitáb-i-Aqdas #72</w:t>
      </w:r>
    </w:p>
  </w:footnote>
  <w:footnote w:id="90">
    <w:p>
      <w:pPr>
        <w:pStyle w:val="FootnoteText"/>
      </w:pPr>
      <w:r>
        <w:rPr>
          <w:rStyle w:val="FootnoteReference"/>
        </w:rPr>
        <w:footnoteRef/>
      </w:r>
      <w:r>
        <w:t xml:space="preserve"> </w:t>
      </w:r>
      <w:r>
        <w:t xml:space="preserve">Kitáb-i-Aqdas #125</w:t>
      </w:r>
    </w:p>
  </w:footnote>
  <w:footnote w:id="91">
    <w:p>
      <w:pPr>
        <w:pStyle w:val="FootnoteText"/>
      </w:pPr>
      <w:r>
        <w:rPr>
          <w:rStyle w:val="FootnoteReference"/>
        </w:rPr>
        <w:footnoteRef/>
      </w:r>
      <w:r>
        <w:t xml:space="preserve"> </w:t>
      </w:r>
      <w:r>
        <w:t xml:space="preserve">Kitáb-i-Aqdas #120</w:t>
      </w:r>
    </w:p>
  </w:footnote>
  <w:footnote w:id="93">
    <w:p>
      <w:pPr>
        <w:pStyle w:val="FootnoteText"/>
      </w:pPr>
      <w:r>
        <w:rPr>
          <w:rStyle w:val="FootnoteReference"/>
        </w:rPr>
        <w:footnoteRef/>
      </w:r>
      <w:r>
        <w:t xml:space="preserve"> </w:t>
      </w:r>
      <w:r>
        <w:t xml:space="preserve">Kitáb-i-Aqdas #148</w:t>
      </w:r>
    </w:p>
  </w:footnote>
  <w:footnote w:id="94">
    <w:p>
      <w:pPr>
        <w:pStyle w:val="FootnoteText"/>
      </w:pPr>
      <w:r>
        <w:rPr>
          <w:rStyle w:val="FootnoteReference"/>
        </w:rPr>
        <w:footnoteRef/>
      </w:r>
      <w:r>
        <w:t xml:space="preserve"> </w:t>
      </w:r>
      <w:r>
        <w:t xml:space="preserve">Kitáb-i-Aqdas #97</w:t>
      </w:r>
    </w:p>
  </w:footnote>
  <w:footnote w:id="95">
    <w:p>
      <w:pPr>
        <w:pStyle w:val="FootnoteText"/>
      </w:pPr>
      <w:r>
        <w:rPr>
          <w:rStyle w:val="FootnoteReference"/>
        </w:rPr>
        <w:footnoteRef/>
      </w:r>
      <w:r>
        <w:t xml:space="preserve"> </w:t>
      </w:r>
      <w:r>
        <w:t xml:space="preserve">Haft Vadi (The Seven Valleys)</w:t>
      </w:r>
    </w:p>
  </w:footnote>
  <w:footnote w:id="96">
    <w:p>
      <w:pPr>
        <w:pStyle w:val="FootnoteText"/>
      </w:pPr>
      <w:r>
        <w:rPr>
          <w:rStyle w:val="FootnoteReference"/>
        </w:rPr>
        <w:footnoteRef/>
      </w:r>
      <w:r>
        <w:t xml:space="preserve"> </w:t>
      </w:r>
      <w:r>
        <w:t xml:space="preserve">Kitáb-i-Aqdas #84</w:t>
      </w:r>
    </w:p>
  </w:footnote>
  <w:footnote w:id="97">
    <w:p>
      <w:pPr>
        <w:pStyle w:val="FootnoteText"/>
      </w:pPr>
      <w:r>
        <w:rPr>
          <w:rStyle w:val="FootnoteReference"/>
        </w:rPr>
        <w:footnoteRef/>
      </w:r>
      <w:r>
        <w:t xml:space="preserve"> </w:t>
      </w:r>
      <w:r>
        <w:t xml:space="preserve">BH00093 (Letters to the Land of Kha)</w:t>
      </w:r>
    </w:p>
  </w:footnote>
  <w:footnote w:id="101">
    <w:p>
      <w:pPr>
        <w:pStyle w:val="FootnoteText"/>
      </w:pPr>
      <w:r>
        <w:rPr>
          <w:rStyle w:val="FootnoteReference"/>
        </w:rPr>
        <w:footnoteRef/>
      </w:r>
      <w:r>
        <w:t xml:space="preserve"> </w:t>
      </w:r>
      <w:r>
        <w:t xml:space="preserve">Kitáb-i-Aqdas #39</w:t>
      </w:r>
    </w:p>
  </w:footnote>
  <w:footnote w:id="102">
    <w:p>
      <w:pPr>
        <w:pStyle w:val="FootnoteText"/>
      </w:pPr>
      <w:r>
        <w:rPr>
          <w:rStyle w:val="FootnoteReference"/>
        </w:rPr>
        <w:footnoteRef/>
      </w:r>
      <w:r>
        <w:t xml:space="preserve"> </w:t>
      </w:r>
      <w:r>
        <w:t xml:space="preserve">Kitáb-i-Aqdas #116</w:t>
      </w:r>
    </w:p>
  </w:footnote>
  <w:footnote w:id="103">
    <w:p>
      <w:pPr>
        <w:pStyle w:val="FootnoteText"/>
      </w:pPr>
      <w:r>
        <w:rPr>
          <w:rStyle w:val="FootnoteReference"/>
        </w:rPr>
        <w:footnoteRef/>
      </w:r>
      <w:r>
        <w:t xml:space="preserve"> </w:t>
      </w:r>
      <w:r>
        <w:t xml:space="preserve">Kitáb-i-Aqdas #55</w:t>
      </w:r>
    </w:p>
  </w:footnote>
  <w:footnote w:id="104">
    <w:p>
      <w:pPr>
        <w:pStyle w:val="FootnoteText"/>
      </w:pPr>
      <w:r>
        <w:rPr>
          <w:rStyle w:val="FootnoteReference"/>
        </w:rPr>
        <w:footnoteRef/>
      </w:r>
      <w:r>
        <w:t xml:space="preserve"> </w:t>
      </w:r>
      <w:r>
        <w:t xml:space="preserve">*Kitáb-i-Aqdas #55</w:t>
      </w:r>
    </w:p>
  </w:footnote>
  <w:footnote w:id="105">
    <w:p>
      <w:pPr>
        <w:pStyle w:val="FootnoteText"/>
      </w:pPr>
      <w:r>
        <w:rPr>
          <w:rStyle w:val="FootnoteReference"/>
        </w:rPr>
        <w:footnoteRef/>
      </w:r>
      <w:r>
        <w:t xml:space="preserve"> </w:t>
      </w:r>
      <w:r>
        <w:t xml:space="preserve">Kitáb-i-Aqdas #83</w:t>
      </w:r>
    </w:p>
  </w:footnote>
  <w:footnote w:id="106">
    <w:p>
      <w:pPr>
        <w:pStyle w:val="FootnoteText"/>
      </w:pPr>
      <w:r>
        <w:rPr>
          <w:rStyle w:val="FootnoteReference"/>
        </w:rPr>
        <w:footnoteRef/>
      </w:r>
      <w:r>
        <w:t xml:space="preserve"> </w:t>
      </w:r>
      <w:r>
        <w:t xml:space="preserve">Tafsir-i-Hu (Interpretation of the Name He)</w:t>
      </w:r>
    </w:p>
  </w:footnote>
  <w:footnote w:id="107">
    <w:p>
      <w:pPr>
        <w:pStyle w:val="FootnoteText"/>
      </w:pPr>
      <w:r>
        <w:rPr>
          <w:rStyle w:val="FootnoteReference"/>
        </w:rPr>
        <w:footnoteRef/>
      </w:r>
      <w:r>
        <w:t xml:space="preserve"> </w:t>
      </w:r>
      <w:r>
        <w:t xml:space="preserve">Kitáb-i-Aqdas #79</w:t>
      </w:r>
    </w:p>
  </w:footnote>
  <w:footnote w:id="108">
    <w:p>
      <w:pPr>
        <w:pStyle w:val="FootnoteText"/>
      </w:pPr>
      <w:r>
        <w:rPr>
          <w:rStyle w:val="FootnoteReference"/>
        </w:rPr>
        <w:footnoteRef/>
      </w:r>
      <w:r>
        <w:t xml:space="preserve"> </w:t>
      </w:r>
      <w:r>
        <w:t xml:space="preserve">Kitáb-i-Aqdas #91</w:t>
      </w:r>
    </w:p>
  </w:footnote>
  <w:footnote w:id="110">
    <w:p>
      <w:pPr>
        <w:pStyle w:val="FootnoteText"/>
      </w:pPr>
      <w:r>
        <w:rPr>
          <w:rStyle w:val="FootnoteReference"/>
        </w:rPr>
        <w:footnoteRef/>
      </w:r>
      <w:r>
        <w:t xml:space="preserve"> </w:t>
      </w:r>
      <w:r>
        <w:t xml:space="preserve">Kitáb-i-Aqdas #132</w:t>
      </w:r>
    </w:p>
  </w:footnote>
  <w:footnote w:id="111">
    <w:p>
      <w:pPr>
        <w:pStyle w:val="FootnoteText"/>
      </w:pPr>
      <w:r>
        <w:rPr>
          <w:rStyle w:val="FootnoteReference"/>
        </w:rPr>
        <w:footnoteRef/>
      </w:r>
      <w:r>
        <w:t xml:space="preserve"> </w:t>
      </w:r>
      <w:r>
        <w:t xml:space="preserve">Gems of Divine Mysteries</w:t>
      </w:r>
    </w:p>
  </w:footnote>
  <w:footnote w:id="112">
    <w:p>
      <w:pPr>
        <w:pStyle w:val="FootnoteText"/>
      </w:pPr>
      <w:r>
        <w:rPr>
          <w:rStyle w:val="FootnoteReference"/>
        </w:rPr>
        <w:footnoteRef/>
      </w:r>
      <w:r>
        <w:t xml:space="preserve"> </w:t>
      </w:r>
      <w:r>
        <w:t xml:space="preserve">Kitáb-i-Aqdas #176</w:t>
      </w:r>
    </w:p>
  </w:footnote>
  <w:footnote w:id="113">
    <w:p>
      <w:pPr>
        <w:pStyle w:val="FootnoteText"/>
      </w:pPr>
      <w:r>
        <w:rPr>
          <w:rStyle w:val="FootnoteReference"/>
        </w:rPr>
        <w:footnoteRef/>
      </w:r>
      <w:r>
        <w:t xml:space="preserve"> </w:t>
      </w:r>
      <w:r>
        <w:t xml:space="preserve">Kitáb-i-Aqdas #177</w:t>
      </w:r>
    </w:p>
  </w:footnote>
  <w:footnote w:id="116">
    <w:p>
      <w:pPr>
        <w:pStyle w:val="FootnoteText"/>
      </w:pPr>
      <w:r>
        <w:rPr>
          <w:rStyle w:val="FootnoteReference"/>
        </w:rPr>
        <w:footnoteRef/>
      </w:r>
      <w:r>
        <w:t xml:space="preserve"> </w:t>
      </w:r>
      <w:r>
        <w:t xml:space="preserve">Persian Bayan Vahid 2, Gate 12</w:t>
      </w:r>
    </w:p>
  </w:footnote>
  <w:footnote w:id="117">
    <w:p>
      <w:pPr>
        <w:pStyle w:val="FootnoteText"/>
      </w:pPr>
      <w:r>
        <w:rPr>
          <w:rStyle w:val="FootnoteReference"/>
        </w:rPr>
        <w:footnoteRef/>
      </w:r>
      <w:r>
        <w:t xml:space="preserve"> </w:t>
      </w:r>
      <w:r>
        <w:t xml:space="preserve">Kitáb-i-Aqdas #55</w:t>
      </w:r>
    </w:p>
  </w:footnote>
  <w:footnote w:id="118">
    <w:p>
      <w:pPr>
        <w:pStyle w:val="FootnoteText"/>
      </w:pPr>
      <w:r>
        <w:rPr>
          <w:rStyle w:val="FootnoteReference"/>
        </w:rPr>
        <w:footnoteRef/>
      </w:r>
      <w:r>
        <w:t xml:space="preserve"> </w:t>
      </w:r>
      <w:r>
        <w:t xml:space="preserve">Kitáb-i-Aqdas #64 and #105</w:t>
      </w:r>
    </w:p>
  </w:footnote>
  <w:footnote w:id="119">
    <w:p>
      <w:pPr>
        <w:pStyle w:val="FootnoteText"/>
      </w:pPr>
      <w:r>
        <w:rPr>
          <w:rStyle w:val="FootnoteReference"/>
        </w:rPr>
        <w:footnoteRef/>
      </w:r>
      <w:r>
        <w:t xml:space="preserve"> </w:t>
      </w:r>
      <w:r>
        <w:t xml:space="preserve">Súríy-i-Vafá</w:t>
      </w:r>
    </w:p>
  </w:footnote>
  <w:footnote w:id="120">
    <w:p>
      <w:pPr>
        <w:pStyle w:val="FootnoteText"/>
      </w:pPr>
      <w:r>
        <w:rPr>
          <w:rStyle w:val="FootnoteReference"/>
        </w:rPr>
        <w:footnoteRef/>
      </w:r>
      <w:r>
        <w:t xml:space="preserve"> </w:t>
      </w:r>
      <w:r>
        <w:t xml:space="preserve">The Hidden Words of Arabic #6</w:t>
      </w:r>
    </w:p>
  </w:footnote>
  <w:footnote w:id="121">
    <w:p>
      <w:pPr>
        <w:pStyle w:val="FootnoteText"/>
      </w:pPr>
      <w:r>
        <w:rPr>
          <w:rStyle w:val="FootnoteReference"/>
        </w:rPr>
        <w:footnoteRef/>
      </w:r>
      <w:r>
        <w:t xml:space="preserve"> </w:t>
      </w:r>
      <w:r>
        <w:t xml:space="preserve">Kitáb-i-Aqdas #116, #150, #160</w:t>
      </w:r>
    </w:p>
  </w:footnote>
  <w:footnote w:id="122">
    <w:p>
      <w:pPr>
        <w:pStyle w:val="FootnoteText"/>
      </w:pPr>
      <w:r>
        <w:rPr>
          <w:rStyle w:val="FootnoteReference"/>
        </w:rPr>
        <w:footnoteRef/>
      </w:r>
      <w:r>
        <w:t xml:space="preserve"> </w:t>
      </w:r>
      <w:r>
        <w:t xml:space="preserve">The Words of Paradise</w:t>
      </w:r>
    </w:p>
  </w:footnote>
  <w:footnote w:id="124">
    <w:p>
      <w:pPr>
        <w:pStyle w:val="FootnoteText"/>
      </w:pPr>
      <w:r>
        <w:rPr>
          <w:rStyle w:val="FootnoteReference"/>
        </w:rPr>
        <w:footnoteRef/>
      </w:r>
      <w:r>
        <w:t xml:space="preserve"> </w:t>
      </w:r>
      <w:r>
        <w:t xml:space="preserve">The Persian Hidden Words #71</w:t>
      </w:r>
    </w:p>
  </w:footnote>
  <w:footnote w:id="125">
    <w:p>
      <w:pPr>
        <w:pStyle w:val="FootnoteText"/>
      </w:pPr>
      <w:r>
        <w:rPr>
          <w:rStyle w:val="FootnoteReference"/>
        </w:rPr>
        <w:footnoteRef/>
      </w:r>
      <w:r>
        <w:t xml:space="preserve"> </w:t>
      </w:r>
      <w:r>
        <w:t xml:space="preserve">BH00230 (Unnamed Writing)</w:t>
      </w:r>
    </w:p>
  </w:footnote>
  <w:footnote w:id="126">
    <w:p>
      <w:pPr>
        <w:pStyle w:val="FootnoteText"/>
      </w:pPr>
      <w:r>
        <w:rPr>
          <w:rStyle w:val="FootnoteReference"/>
        </w:rPr>
        <w:footnoteRef/>
      </w:r>
      <w:r>
        <w:t xml:space="preserve"> </w:t>
      </w:r>
      <w:r>
        <w:t xml:space="preserve">Kitáb-i-Aqdas #89</w:t>
      </w:r>
    </w:p>
  </w:footnote>
  <w:footnote w:id="127">
    <w:p>
      <w:pPr>
        <w:pStyle w:val="FootnoteText"/>
      </w:pPr>
      <w:r>
        <w:rPr>
          <w:rStyle w:val="FootnoteReference"/>
        </w:rPr>
        <w:footnoteRef/>
      </w:r>
      <w:r>
        <w:t xml:space="preserve"> </w:t>
      </w:r>
      <w:r>
        <w:t xml:space="preserve">Kitáb-i-Aqdas #132</w:t>
      </w:r>
    </w:p>
  </w:footnote>
  <w:footnote w:id="128">
    <w:p>
      <w:pPr>
        <w:pStyle w:val="FootnoteText"/>
      </w:pPr>
      <w:r>
        <w:rPr>
          <w:rStyle w:val="FootnoteReference"/>
        </w:rPr>
        <w:footnoteRef/>
      </w:r>
      <w:r>
        <w:t xml:space="preserve"> </w:t>
      </w:r>
      <w:r>
        <w:t xml:space="preserve">Kitáb-i-Aqdas #53</w:t>
      </w:r>
    </w:p>
  </w:footnote>
  <w:footnote w:id="129">
    <w:p>
      <w:pPr>
        <w:pStyle w:val="FootnoteText"/>
      </w:pPr>
      <w:r>
        <w:rPr>
          <w:rStyle w:val="FootnoteReference"/>
        </w:rPr>
        <w:footnoteRef/>
      </w:r>
      <w:r>
        <w:t xml:space="preserve"> </w:t>
      </w:r>
      <w:r>
        <w:t xml:space="preserve">Surah of Our Name The Messenger</w:t>
      </w:r>
    </w:p>
  </w:footnote>
  <w:footnote w:id="130">
    <w:p>
      <w:pPr>
        <w:pStyle w:val="FootnoteText"/>
      </w:pPr>
      <w:r>
        <w:rPr>
          <w:rStyle w:val="FootnoteReference"/>
        </w:rPr>
        <w:footnoteRef/>
      </w:r>
      <w:r>
        <w:t xml:space="preserve"> </w:t>
      </w:r>
      <w:r>
        <w:t xml:space="preserve">Tablet of the Birth</w:t>
      </w:r>
    </w:p>
  </w:footnote>
  <w:footnote w:id="131">
    <w:p>
      <w:pPr>
        <w:pStyle w:val="FootnoteText"/>
      </w:pPr>
      <w:r>
        <w:rPr>
          <w:rStyle w:val="FootnoteReference"/>
        </w:rPr>
        <w:footnoteRef/>
      </w:r>
      <w:r>
        <w:t xml:space="preserve"> </w:t>
      </w:r>
      <w:r>
        <w:t xml:space="preserve">Kitáb-i-Íqán (Book of Certitude)</w:t>
      </w:r>
    </w:p>
  </w:footnote>
  <w:footnote w:id="132">
    <w:p>
      <w:pPr>
        <w:pStyle w:val="FootnoteText"/>
      </w:pPr>
      <w:r>
        <w:rPr>
          <w:rStyle w:val="FootnoteReference"/>
        </w:rPr>
        <w:footnoteRef/>
      </w:r>
      <w:r>
        <w:t xml:space="preserve"> </w:t>
      </w:r>
      <w:r>
        <w:t xml:space="preserve">Surah Fu’ad</w:t>
      </w:r>
    </w:p>
  </w:footnote>
  <w:footnote w:id="133">
    <w:p>
      <w:pPr>
        <w:pStyle w:val="FootnoteText"/>
      </w:pPr>
      <w:r>
        <w:rPr>
          <w:rStyle w:val="FootnoteReference"/>
        </w:rPr>
        <w:footnoteRef/>
      </w:r>
      <w:r>
        <w:t xml:space="preserve"> </w:t>
      </w:r>
      <w:r>
        <w:t xml:space="preserve">Kitáb-i-Íqán (The Book of Certitude)</w:t>
      </w:r>
    </w:p>
  </w:footnote>
  <w:footnote w:id="135">
    <w:p>
      <w:pPr>
        <w:pStyle w:val="FootnoteText"/>
      </w:pPr>
      <w:r>
        <w:rPr>
          <w:rStyle w:val="FootnoteReference"/>
        </w:rPr>
        <w:footnoteRef/>
      </w:r>
      <w:r>
        <w:t xml:space="preserve"> </w:t>
      </w:r>
      <w:r>
        <w:t xml:space="preserve">Kitáb-i-Aqdas #100</w:t>
      </w:r>
    </w:p>
  </w:footnote>
  <w:footnote w:id="136">
    <w:p>
      <w:pPr>
        <w:pStyle w:val="FootnoteText"/>
      </w:pPr>
      <w:r>
        <w:rPr>
          <w:rStyle w:val="FootnoteReference"/>
        </w:rPr>
        <w:footnoteRef/>
      </w:r>
      <w:r>
        <w:t xml:space="preserve"> </w:t>
      </w:r>
      <w:r>
        <w:t xml:space="preserve">The Tablet of the Branch</w:t>
      </w:r>
    </w:p>
  </w:footnote>
  <w:footnote w:id="137">
    <w:p>
      <w:pPr>
        <w:pStyle w:val="FootnoteText"/>
      </w:pPr>
      <w:r>
        <w:rPr>
          <w:rStyle w:val="FootnoteReference"/>
        </w:rPr>
        <w:footnoteRef/>
      </w:r>
      <w:r>
        <w:t xml:space="preserve"> </w:t>
      </w:r>
      <w:r>
        <w:t xml:space="preserve">Kitáb-i-Aqdas #117</w:t>
      </w:r>
    </w:p>
  </w:footnote>
  <w:footnote w:id="138">
    <w:p>
      <w:pPr>
        <w:pStyle w:val="FootnoteText"/>
      </w:pPr>
      <w:r>
        <w:rPr>
          <w:rStyle w:val="FootnoteReference"/>
        </w:rPr>
        <w:footnoteRef/>
      </w:r>
      <w:r>
        <w:t xml:space="preserve"> </w:t>
      </w:r>
      <w:r>
        <w:t xml:space="preserve">Súratu’l-Haykal (Surah of the Temple)</w:t>
      </w:r>
    </w:p>
  </w:footnote>
  <w:footnote w:id="139">
    <w:p>
      <w:pPr>
        <w:pStyle w:val="FootnoteText"/>
      </w:pPr>
      <w:r>
        <w:rPr>
          <w:rStyle w:val="FootnoteReference"/>
        </w:rPr>
        <w:footnoteRef/>
      </w:r>
      <w:r>
        <w:t xml:space="preserve"> </w:t>
      </w:r>
      <w:r>
        <w:t xml:space="preserve">Kitáb-i-Aqdas #103</w:t>
      </w:r>
    </w:p>
  </w:footnote>
  <w:footnote w:id="140">
    <w:p>
      <w:pPr>
        <w:pStyle w:val="FootnoteText"/>
      </w:pPr>
      <w:r>
        <w:rPr>
          <w:rStyle w:val="FootnoteReference"/>
        </w:rPr>
        <w:footnoteRef/>
      </w:r>
      <w:r>
        <w:t xml:space="preserve"> </w:t>
      </w:r>
      <w:r>
        <w:t xml:space="preserve">Súratu’l-Haykal (Surah of the Temple)</w:t>
      </w:r>
    </w:p>
  </w:footnote>
  <w:footnote w:id="141">
    <w:p>
      <w:pPr>
        <w:pStyle w:val="FootnoteText"/>
      </w:pPr>
      <w:r>
        <w:rPr>
          <w:rStyle w:val="FootnoteReference"/>
        </w:rPr>
        <w:footnoteRef/>
      </w:r>
      <w:r>
        <w:t xml:space="preserve"> </w:t>
      </w:r>
      <w:r>
        <w:t xml:space="preserve">Kitáb-i-Aqdas #80</w:t>
      </w:r>
    </w:p>
  </w:footnote>
  <w:footnote w:id="142">
    <w:p>
      <w:pPr>
        <w:pStyle w:val="FootnoteText"/>
      </w:pPr>
      <w:r>
        <w:rPr>
          <w:rStyle w:val="FootnoteReference"/>
        </w:rPr>
        <w:footnoteRef/>
      </w:r>
      <w:r>
        <w:t xml:space="preserve"> </w:t>
      </w:r>
      <w:r>
        <w:t xml:space="preserve">The Persian Hidden Words #58</w:t>
      </w:r>
    </w:p>
  </w:footnote>
  <w:footnote w:id="148">
    <w:p>
      <w:pPr>
        <w:pStyle w:val="FootnoteText"/>
      </w:pPr>
      <w:r>
        <w:rPr>
          <w:rStyle w:val="FootnoteReference"/>
        </w:rPr>
        <w:footnoteRef/>
      </w:r>
      <w:r>
        <w:t xml:space="preserve"> </w:t>
      </w:r>
      <w:r>
        <w:t xml:space="preserve">The Holy Qur’an, Surah Al-Haqqah #5</w:t>
      </w:r>
    </w:p>
  </w:footnote>
  <w:footnote w:id="149">
    <w:p>
      <w:pPr>
        <w:pStyle w:val="FootnoteText"/>
      </w:pPr>
      <w:r>
        <w:rPr>
          <w:rStyle w:val="FootnoteReference"/>
        </w:rPr>
        <w:footnoteRef/>
      </w:r>
      <w:r>
        <w:t xml:space="preserve"> </w:t>
      </w:r>
      <w:r>
        <w:t xml:space="preserve">The Holy Qur’an, Surah Az-Zumar #68</w:t>
      </w:r>
    </w:p>
  </w:footnote>
  <w:footnote w:id="151">
    <w:p>
      <w:pPr>
        <w:pStyle w:val="FootnoteText"/>
      </w:pPr>
      <w:r>
        <w:rPr>
          <w:rStyle w:val="FootnoteReference"/>
        </w:rPr>
        <w:footnoteRef/>
      </w:r>
      <w:r>
        <w:t xml:space="preserve"> </w:t>
      </w:r>
      <w:r>
        <w:rPr>
          <w:iCs/>
          <w:i/>
          <w:bCs/>
          <w:b/>
        </w:rPr>
        <w:t xml:space="preserve">Kitáb-i-Aqdas #167</w:t>
      </w:r>
    </w:p>
  </w:footnote>
  <w:footnote w:id="152">
    <w:p>
      <w:pPr>
        <w:pStyle w:val="FootnoteText"/>
      </w:pPr>
      <w:r>
        <w:rPr>
          <w:rStyle w:val="FootnoteReference"/>
        </w:rPr>
        <w:footnoteRef/>
      </w:r>
      <w:r>
        <w:t xml:space="preserve"> </w:t>
      </w:r>
      <w:r>
        <w:t xml:space="preserve">Kitáb-i-Aqdas #81</w:t>
      </w:r>
    </w:p>
  </w:footnote>
  <w:footnote w:id="153">
    <w:p>
      <w:pPr>
        <w:pStyle w:val="FootnoteText"/>
      </w:pPr>
      <w:r>
        <w:rPr>
          <w:rStyle w:val="FootnoteReference"/>
        </w:rPr>
        <w:footnoteRef/>
      </w:r>
      <w:r>
        <w:t xml:space="preserve"> </w:t>
      </w:r>
      <w:r>
        <w:t xml:space="preserve">Kitáb-i-Aqdas #81</w:t>
      </w:r>
    </w:p>
  </w:footnote>
  <w:footnote w:id="154">
    <w:p>
      <w:pPr>
        <w:pStyle w:val="FootnoteText"/>
      </w:pPr>
      <w:r>
        <w:rPr>
          <w:rStyle w:val="FootnoteReference"/>
        </w:rPr>
        <w:footnoteRef/>
      </w:r>
      <w:r>
        <w:t xml:space="preserve"> </w:t>
      </w:r>
      <w:r>
        <w:t xml:space="preserve">Lawh-i-Ishraqat (Tablet of Splendors)</w:t>
      </w:r>
    </w:p>
  </w:footnote>
  <w:footnote w:id="157">
    <w:p>
      <w:pPr>
        <w:pStyle w:val="FootnoteText"/>
      </w:pPr>
      <w:r>
        <w:rPr>
          <w:rStyle w:val="FootnoteReference"/>
        </w:rPr>
        <w:footnoteRef/>
      </w:r>
      <w:r>
        <w:t xml:space="preserve"> </w:t>
      </w:r>
      <w:r>
        <w:t xml:space="preserve">BH00010, Letters to Tehran through Ali-Akbar</w:t>
      </w:r>
    </w:p>
  </w:footnote>
  <w:footnote w:id="158">
    <w:p>
      <w:pPr>
        <w:pStyle w:val="FootnoteText"/>
      </w:pPr>
      <w:r>
        <w:rPr>
          <w:rStyle w:val="FootnoteReference"/>
        </w:rPr>
        <w:footnoteRef/>
      </w:r>
      <w:r>
        <w:t xml:space="preserve"> </w:t>
      </w:r>
      <w:r>
        <w:t xml:space="preserve">The Lawh-i-Aqdas (Most Holy Tablet) aka Tablet to the Christians</w:t>
      </w:r>
    </w:p>
  </w:footnote>
  <w:footnote w:id="159">
    <w:p>
      <w:pPr>
        <w:pStyle w:val="FootnoteText"/>
      </w:pPr>
      <w:r>
        <w:rPr>
          <w:rStyle w:val="FootnoteReference"/>
        </w:rPr>
        <w:footnoteRef/>
      </w:r>
      <w:r>
        <w:t xml:space="preserve"> </w:t>
      </w:r>
      <w:r>
        <w:t xml:space="preserve">Kitáb-i-Aqdas #163</w:t>
      </w:r>
    </w:p>
  </w:footnote>
  <w:footnote w:id="160">
    <w:p>
      <w:pPr>
        <w:pStyle w:val="FootnoteText"/>
      </w:pPr>
      <w:r>
        <w:rPr>
          <w:rStyle w:val="FootnoteReference"/>
        </w:rPr>
        <w:footnoteRef/>
      </w:r>
      <w:r>
        <w:t xml:space="preserve"> </w:t>
      </w:r>
      <w:r>
        <w:t xml:space="preserve">BH00054: Unnamed Tablet about the annihilation of all things</w:t>
      </w:r>
    </w:p>
  </w:footnote>
  <w:footnote w:id="161">
    <w:p>
      <w:pPr>
        <w:pStyle w:val="FootnoteText"/>
      </w:pPr>
      <w:r>
        <w:rPr>
          <w:rStyle w:val="FootnoteReference"/>
        </w:rPr>
        <w:footnoteRef/>
      </w:r>
      <w:r>
        <w:t xml:space="preserve"> </w:t>
      </w:r>
      <w:r>
        <w:t xml:space="preserve">Suriy-i-Haykal</w:t>
      </w:r>
    </w:p>
  </w:footnote>
  <w:footnote w:id="162">
    <w:p>
      <w:pPr>
        <w:pStyle w:val="FootnoteText"/>
      </w:pPr>
      <w:r>
        <w:rPr>
          <w:rStyle w:val="FootnoteReference"/>
        </w:rPr>
        <w:footnoteRef/>
      </w:r>
      <w:r>
        <w:t xml:space="preserve"> </w:t>
      </w:r>
      <w:r>
        <w:t xml:space="preserve">Kitab-i-Badi</w:t>
      </w:r>
    </w:p>
  </w:footnote>
  <w:footnote w:id="164">
    <w:p>
      <w:pPr>
        <w:pStyle w:val="FootnoteText"/>
      </w:pPr>
      <w:r>
        <w:rPr>
          <w:rStyle w:val="FootnoteReference"/>
        </w:rPr>
        <w:footnoteRef/>
      </w:r>
      <w:r>
        <w:t xml:space="preserve"> </w:t>
      </w:r>
      <w:r>
        <w:t xml:space="preserve">The Epistle to the Son of the Wolf</w:t>
      </w:r>
    </w:p>
  </w:footnote>
  <w:footnote w:id="165">
    <w:p>
      <w:pPr>
        <w:pStyle w:val="FootnoteText"/>
      </w:pPr>
      <w:r>
        <w:rPr>
          <w:rStyle w:val="FootnoteReference"/>
        </w:rPr>
        <w:footnoteRef/>
      </w:r>
      <w:r>
        <w:t xml:space="preserve"> </w:t>
      </w:r>
      <w:r>
        <w:t xml:space="preserve">Suriy-i-Bayán (The Chapter of Paradise)</w:t>
      </w:r>
    </w:p>
  </w:footnote>
  <w:footnote w:id="166">
    <w:p>
      <w:pPr>
        <w:pStyle w:val="FootnoteText"/>
      </w:pPr>
      <w:r>
        <w:rPr>
          <w:rStyle w:val="FootnoteReference"/>
        </w:rPr>
        <w:footnoteRef/>
      </w:r>
      <w:r>
        <w:t xml:space="preserve"> </w:t>
      </w:r>
      <w:r>
        <w:t xml:space="preserve">BH00093 (Letters to the Land of Kha)</w:t>
      </w:r>
    </w:p>
  </w:footnote>
  <w:footnote w:id="167">
    <w:p>
      <w:pPr>
        <w:pStyle w:val="FootnoteText"/>
      </w:pPr>
      <w:r>
        <w:rPr>
          <w:rStyle w:val="FootnoteReference"/>
        </w:rPr>
        <w:footnoteRef/>
      </w:r>
      <w:r>
        <w:t xml:space="preserve"> </w:t>
      </w:r>
      <w:r>
        <w:t xml:space="preserve">Kitab-i-Sultan</w:t>
      </w:r>
    </w:p>
  </w:footnote>
  <w:footnote w:id="168">
    <w:p>
      <w:pPr>
        <w:pStyle w:val="FootnoteText"/>
      </w:pPr>
      <w:r>
        <w:rPr>
          <w:rStyle w:val="FootnoteReference"/>
        </w:rPr>
        <w:footnoteRef/>
      </w:r>
      <w:r>
        <w:t xml:space="preserve"> </w:t>
      </w:r>
      <w:r>
        <w:t xml:space="preserve">BH00141 (Unnamed Tablet to Abu’l-Hasan)</w:t>
      </w:r>
    </w:p>
  </w:footnote>
  <w:footnote w:id="169">
    <w:p>
      <w:pPr>
        <w:pStyle w:val="FootnoteText"/>
      </w:pPr>
      <w:r>
        <w:rPr>
          <w:rStyle w:val="FootnoteReference"/>
        </w:rPr>
        <w:footnoteRef/>
      </w:r>
      <w:r>
        <w:t xml:space="preserve"> </w:t>
      </w:r>
      <w:r>
        <w:t xml:space="preserve">Epistle to the Son of the Wolf</w:t>
      </w:r>
    </w:p>
  </w:footnote>
  <w:footnote w:id="171">
    <w:p>
      <w:pPr>
        <w:pStyle w:val="FootnoteText"/>
      </w:pPr>
      <w:r>
        <w:rPr>
          <w:rStyle w:val="FootnoteReference"/>
        </w:rPr>
        <w:footnoteRef/>
      </w:r>
      <w:r>
        <w:t xml:space="preserve"> </w:t>
      </w:r>
      <w:r>
        <w:t xml:space="preserve">BH00091</w:t>
      </w:r>
    </w:p>
  </w:footnote>
  <w:footnote w:id="172">
    <w:p>
      <w:pPr>
        <w:pStyle w:val="FootnoteText"/>
      </w:pPr>
      <w:r>
        <w:rPr>
          <w:rStyle w:val="FootnoteReference"/>
        </w:rPr>
        <w:footnoteRef/>
      </w:r>
      <w:r>
        <w:t xml:space="preserve"> </w:t>
      </w:r>
      <w:r>
        <w:t xml:space="preserve">BH00141</w:t>
      </w:r>
    </w:p>
  </w:footnote>
  <w:footnote w:id="173">
    <w:p>
      <w:pPr>
        <w:pStyle w:val="FootnoteText"/>
      </w:pPr>
      <w:r>
        <w:rPr>
          <w:rStyle w:val="FootnoteReference"/>
        </w:rPr>
        <w:footnoteRef/>
      </w:r>
      <w:r>
        <w:t xml:space="preserve"> </w:t>
      </w:r>
      <w:r>
        <w:t xml:space="preserve">Suriy-i-Rais (Chapter of the Chief)</w:t>
      </w:r>
    </w:p>
  </w:footnote>
  <w:footnote w:id="174">
    <w:p>
      <w:pPr>
        <w:pStyle w:val="FootnoteText"/>
      </w:pPr>
      <w:r>
        <w:rPr>
          <w:rStyle w:val="FootnoteReference"/>
        </w:rPr>
        <w:footnoteRef/>
      </w:r>
      <w:r>
        <w:t xml:space="preserve"> </w:t>
      </w:r>
      <w:r>
        <w:t xml:space="preserve">The Tafsir-i-Hu (Tafsir of the Name He)</w:t>
      </w:r>
    </w:p>
  </w:footnote>
  <w:footnote w:id="175">
    <w:p>
      <w:pPr>
        <w:pStyle w:val="FootnoteText"/>
      </w:pPr>
      <w:r>
        <w:rPr>
          <w:rStyle w:val="FootnoteReference"/>
        </w:rPr>
        <w:footnoteRef/>
      </w:r>
      <w:r>
        <w:t xml:space="preserve"> </w:t>
      </w:r>
      <w:r>
        <w:t xml:space="preserve">Suriy-i-Haykal</w:t>
      </w:r>
    </w:p>
  </w:footnote>
  <w:footnote w:id="176">
    <w:p>
      <w:pPr>
        <w:pStyle w:val="FootnoteText"/>
      </w:pPr>
      <w:r>
        <w:rPr>
          <w:rStyle w:val="FootnoteReference"/>
        </w:rPr>
        <w:footnoteRef/>
      </w:r>
      <w:r>
        <w:t xml:space="preserve"> </w:t>
      </w:r>
      <w:r>
        <w:t xml:space="preserve">Kitab-i-Badi</w:t>
      </w:r>
    </w:p>
  </w:footnote>
  <w:footnote w:id="177">
    <w:p>
      <w:pPr>
        <w:pStyle w:val="FootnoteText"/>
      </w:pPr>
      <w:r>
        <w:rPr>
          <w:rStyle w:val="FootnoteReference"/>
        </w:rPr>
        <w:footnoteRef/>
      </w:r>
      <w:r>
        <w:t xml:space="preserve"> </w:t>
      </w:r>
      <w:r>
        <w:t xml:space="preserve">Lawh-i-Istinaq</w:t>
      </w:r>
    </w:p>
  </w:footnote>
  <w:footnote w:id="178">
    <w:p>
      <w:pPr>
        <w:pStyle w:val="FootnoteText"/>
      </w:pPr>
      <w:r>
        <w:rPr>
          <w:rStyle w:val="FootnoteReference"/>
        </w:rPr>
        <w:footnoteRef/>
      </w:r>
      <w:r>
        <w:t xml:space="preserve"> </w:t>
      </w:r>
      <w:r>
        <w:t xml:space="preserve">BH00010 (Letters to Tehran through Ali-Akbar)</w:t>
      </w:r>
    </w:p>
  </w:footnote>
  <w:footnote w:id="179">
    <w:p>
      <w:pPr>
        <w:pStyle w:val="FootnoteText"/>
      </w:pPr>
      <w:r>
        <w:rPr>
          <w:rStyle w:val="FootnoteReference"/>
        </w:rPr>
        <w:footnoteRef/>
      </w:r>
      <w:r>
        <w:t xml:space="preserve"> </w:t>
      </w:r>
      <w:r>
        <w:t xml:space="preserve">BH00074</w:t>
      </w:r>
    </w:p>
  </w:footnote>
  <w:footnote w:id="186">
    <w:p>
      <w:pPr>
        <w:pStyle w:val="FootnoteText"/>
      </w:pPr>
      <w:r>
        <w:rPr>
          <w:rStyle w:val="FootnoteReference"/>
        </w:rPr>
        <w:footnoteRef/>
      </w:r>
      <w:r>
        <w:t xml:space="preserve"> </w:t>
      </w:r>
      <w:r>
        <w:t xml:space="preserve">Kitáb-i-Aqdas #138</w:t>
      </w:r>
    </w:p>
  </w:footnote>
  <w:footnote w:id="187">
    <w:p>
      <w:pPr>
        <w:pStyle w:val="FootnoteText"/>
      </w:pPr>
      <w:r>
        <w:rPr>
          <w:rStyle w:val="FootnoteReference"/>
        </w:rPr>
        <w:footnoteRef/>
      </w:r>
      <w:r>
        <w:t xml:space="preserve"> </w:t>
      </w:r>
      <w:r>
        <w:t xml:space="preserve">Kitáb-i-Aqdas #182</w:t>
      </w:r>
    </w:p>
  </w:footnote>
  <w:footnote w:id="188">
    <w:p>
      <w:pPr>
        <w:pStyle w:val="FootnoteText"/>
      </w:pPr>
      <w:r>
        <w:rPr>
          <w:rStyle w:val="FootnoteReference"/>
        </w:rPr>
        <w:footnoteRef/>
      </w:r>
      <w:r>
        <w:t xml:space="preserve"> </w:t>
      </w:r>
      <w:r>
        <w:t xml:space="preserve">Tablet of Mánikchí Ṣáḥib</w:t>
      </w:r>
    </w:p>
  </w:footnote>
  <w:footnote w:id="189">
    <w:p>
      <w:pPr>
        <w:pStyle w:val="FootnoteText"/>
      </w:pPr>
      <w:r>
        <w:rPr>
          <w:rStyle w:val="FootnoteReference"/>
        </w:rPr>
        <w:footnoteRef/>
      </w:r>
      <w:r>
        <w:t xml:space="preserve"> </w:t>
      </w:r>
      <w:r>
        <w:t xml:space="preserve">Kitáb-i-Aqdas #136</w:t>
      </w:r>
    </w:p>
  </w:footnote>
  <w:footnote w:id="190">
    <w:p>
      <w:pPr>
        <w:pStyle w:val="FootnoteText"/>
      </w:pPr>
      <w:r>
        <w:rPr>
          <w:rStyle w:val="FootnoteReference"/>
        </w:rPr>
        <w:footnoteRef/>
      </w:r>
      <w:r>
        <w:t xml:space="preserve"> </w:t>
      </w:r>
      <w:r>
        <w:t xml:space="preserve">Súriy-i-Haykal Verses 241 &amp; 242</w:t>
      </w:r>
    </w:p>
  </w:footnote>
  <w:footnote w:id="191">
    <w:p>
      <w:pPr>
        <w:pStyle w:val="FootnoteText"/>
      </w:pPr>
      <w:r>
        <w:rPr>
          <w:rStyle w:val="FootnoteReference"/>
        </w:rPr>
        <w:footnoteRef/>
      </w:r>
      <w:r>
        <w:t xml:space="preserve"> </w:t>
      </w:r>
      <w:r>
        <w:t xml:space="preserve">The Persian Bayán, Váḥid 4, Gate 12</w:t>
      </w:r>
    </w:p>
  </w:footnote>
  <w:footnote w:id="193">
    <w:p>
      <w:pPr>
        <w:pStyle w:val="FootnoteText"/>
      </w:pPr>
      <w:r>
        <w:rPr>
          <w:rStyle w:val="FootnoteReference"/>
        </w:rPr>
        <w:footnoteRef/>
      </w:r>
      <w:r>
        <w:t xml:space="preserve"> </w:t>
      </w:r>
      <w:r>
        <w:t xml:space="preserve">A Tablet to Varqá (Letters to Yazd) and BH00057</w:t>
      </w:r>
    </w:p>
  </w:footnote>
  <w:footnote w:id="196">
    <w:p>
      <w:pPr>
        <w:pStyle w:val="FootnoteText"/>
      </w:pPr>
      <w:r>
        <w:rPr>
          <w:rStyle w:val="FootnoteReference"/>
        </w:rPr>
        <w:footnoteRef/>
      </w:r>
      <w:r>
        <w:t xml:space="preserve"> </w:t>
      </w:r>
      <w:r>
        <w:t xml:space="preserve">Kitáb-i-Aqdas #85</w:t>
      </w:r>
    </w:p>
  </w:footnote>
  <w:footnote w:id="197">
    <w:p>
      <w:pPr>
        <w:pStyle w:val="FootnoteText"/>
      </w:pPr>
      <w:r>
        <w:rPr>
          <w:rStyle w:val="FootnoteReference"/>
        </w:rPr>
        <w:footnoteRef/>
      </w:r>
      <w:r>
        <w:t xml:space="preserve"> </w:t>
      </w:r>
      <w:r>
        <w:t xml:space="preserve">The Kitáb-i-Badí‘</w:t>
      </w:r>
    </w:p>
  </w:footnote>
  <w:footnote w:id="198">
    <w:p>
      <w:pPr>
        <w:pStyle w:val="FootnoteText"/>
      </w:pPr>
      <w:r>
        <w:rPr>
          <w:rStyle w:val="FootnoteReference"/>
        </w:rPr>
        <w:footnoteRef/>
      </w:r>
      <w:r>
        <w:t xml:space="preserve"> </w:t>
      </w:r>
      <w:r>
        <w:t xml:space="preserve">Tablet to Mánikchí Ṣáḥib</w:t>
      </w:r>
    </w:p>
  </w:footnote>
  <w:footnote w:id="199">
    <w:p>
      <w:pPr>
        <w:pStyle w:val="FootnoteText"/>
      </w:pPr>
      <w:r>
        <w:rPr>
          <w:rStyle w:val="FootnoteReference"/>
        </w:rPr>
        <w:footnoteRef/>
      </w:r>
      <w:r>
        <w:t xml:space="preserve"> </w:t>
      </w:r>
      <w:r>
        <w:t xml:space="preserve">Kitáb-i-Aqdas #168</w:t>
      </w:r>
    </w:p>
  </w:footnote>
  <w:footnote w:id="200">
    <w:p>
      <w:pPr>
        <w:pStyle w:val="FootnoteText"/>
      </w:pPr>
      <w:r>
        <w:rPr>
          <w:rStyle w:val="FootnoteReference"/>
        </w:rPr>
        <w:footnoteRef/>
      </w:r>
      <w:r>
        <w:t xml:space="preserve"> </w:t>
      </w:r>
      <w:r>
        <w:t xml:space="preserve">Persian Bayán Váḥid 2, Gate 16</w:t>
      </w:r>
    </w:p>
  </w:footnote>
  <w:footnote w:id="201">
    <w:p>
      <w:pPr>
        <w:pStyle w:val="FootnoteText"/>
      </w:pPr>
      <w:r>
        <w:rPr>
          <w:rStyle w:val="FootnoteReference"/>
        </w:rPr>
        <w:footnoteRef/>
      </w:r>
      <w:r>
        <w:t xml:space="preserve"> </w:t>
      </w:r>
      <w:r>
        <w:t xml:space="preserve">Persian Bayán Váḥid 4, Gate 7</w:t>
      </w:r>
    </w:p>
  </w:footnote>
  <w:footnote w:id="202">
    <w:p>
      <w:pPr>
        <w:pStyle w:val="FootnoteText"/>
      </w:pPr>
      <w:r>
        <w:rPr>
          <w:rStyle w:val="FootnoteReference"/>
        </w:rPr>
        <w:footnoteRef/>
      </w:r>
      <w:r>
        <w:t xml:space="preserve"> </w:t>
      </w:r>
      <w:r>
        <w:t xml:space="preserve">The Persian Bayán Váḥid 8, Gate 4</w:t>
      </w:r>
    </w:p>
  </w:footnote>
  <w:footnote w:id="204">
    <w:p>
      <w:pPr>
        <w:pStyle w:val="FootnoteText"/>
      </w:pPr>
      <w:r>
        <w:rPr>
          <w:rStyle w:val="FootnoteReference"/>
        </w:rPr>
        <w:footnoteRef/>
      </w:r>
      <w:r>
        <w:t xml:space="preserve"> </w:t>
      </w:r>
      <w:r>
        <w:t xml:space="preserve">Kitáb-i-Aqdas #181</w:t>
      </w:r>
    </w:p>
  </w:footnote>
  <w:footnote w:id="205">
    <w:p>
      <w:pPr>
        <w:pStyle w:val="FootnoteText"/>
      </w:pPr>
      <w:r>
        <w:rPr>
          <w:rStyle w:val="FootnoteReference"/>
        </w:rPr>
        <w:footnoteRef/>
      </w:r>
      <w:r>
        <w:t xml:space="preserve"> </w:t>
      </w:r>
      <w:r>
        <w:t xml:space="preserve">Kitáb-i-Aqdas #183</w:t>
      </w:r>
    </w:p>
  </w:footnote>
  <w:footnote w:id="206">
    <w:p>
      <w:pPr>
        <w:pStyle w:val="FootnoteText"/>
      </w:pPr>
      <w:r>
        <w:rPr>
          <w:rStyle w:val="FootnoteReference"/>
        </w:rPr>
        <w:footnoteRef/>
      </w:r>
      <w:r>
        <w:t xml:space="preserve"> </w:t>
      </w:r>
      <w:r>
        <w:t xml:space="preserve">Kitáb-i-Aqdas #99</w:t>
      </w:r>
    </w:p>
  </w:footnote>
  <w:footnote w:id="207">
    <w:p>
      <w:pPr>
        <w:pStyle w:val="FootnoteText"/>
      </w:pPr>
      <w:r>
        <w:rPr>
          <w:rStyle w:val="FootnoteReference"/>
        </w:rPr>
        <w:footnoteRef/>
      </w:r>
      <w:r>
        <w:t xml:space="preserve"> </w:t>
      </w:r>
      <w:r>
        <w:t xml:space="preserve">Lawḥ-i-Ishrāqāt (Tablet of Splendors)</w:t>
      </w:r>
    </w:p>
  </w:footnote>
  <w:footnote w:id="208">
    <w:p>
      <w:pPr>
        <w:pStyle w:val="FootnoteText"/>
      </w:pPr>
      <w:r>
        <w:rPr>
          <w:rStyle w:val="FootnoteReference"/>
        </w:rPr>
        <w:footnoteRef/>
      </w:r>
      <w:r>
        <w:t xml:space="preserve"> </w:t>
      </w:r>
      <w:r>
        <w:t xml:space="preserve">Súriy-i-Mulúk (Súriy-i-Mulúk)</w:t>
      </w:r>
    </w:p>
  </w:footnote>
  <w:footnote w:id="209">
    <w:p>
      <w:pPr>
        <w:pStyle w:val="FootnoteText"/>
      </w:pPr>
      <w:r>
        <w:rPr>
          <w:rStyle w:val="FootnoteReference"/>
        </w:rPr>
        <w:footnoteRef/>
      </w:r>
      <w:r>
        <w:t xml:space="preserve"> </w:t>
      </w:r>
      <w:r>
        <w:t xml:space="preserve">Kitáb-i-Aqdas #6</w:t>
      </w:r>
    </w:p>
  </w:footnote>
  <w:footnote w:id="210">
    <w:p>
      <w:pPr>
        <w:pStyle w:val="FootnoteText"/>
      </w:pPr>
      <w:r>
        <w:rPr>
          <w:rStyle w:val="FootnoteReference"/>
        </w:rPr>
        <w:footnoteRef/>
      </w:r>
      <w:r>
        <w:t xml:space="preserve"> </w:t>
      </w:r>
      <w:r>
        <w:t xml:space="preserve">Kitáb-i-Aqdas #7</w:t>
      </w:r>
    </w:p>
  </w:footnote>
  <w:footnote w:id="213">
    <w:p>
      <w:pPr>
        <w:pStyle w:val="FootnoteText"/>
      </w:pPr>
      <w:r>
        <w:rPr>
          <w:rStyle w:val="FootnoteReference"/>
        </w:rPr>
        <w:footnoteRef/>
      </w:r>
      <w:r>
        <w:t xml:space="preserve"> </w:t>
      </w:r>
      <w:r>
        <w:t xml:space="preserve">Kitáb-i-Aqdas #117</w:t>
      </w:r>
    </w:p>
  </w:footnote>
  <w:footnote w:id="214">
    <w:p>
      <w:pPr>
        <w:pStyle w:val="FootnoteText"/>
      </w:pPr>
      <w:r>
        <w:rPr>
          <w:rStyle w:val="FootnoteReference"/>
        </w:rPr>
        <w:footnoteRef/>
      </w:r>
      <w:r>
        <w:t xml:space="preserve"> </w:t>
      </w:r>
      <w:r>
        <w:t xml:space="preserve">Kitáb-i-Aqdas #121</w:t>
      </w:r>
    </w:p>
  </w:footnote>
  <w:footnote w:id="215">
    <w:p>
      <w:pPr>
        <w:pStyle w:val="FootnoteText"/>
      </w:pPr>
      <w:r>
        <w:rPr>
          <w:rStyle w:val="FootnoteReference"/>
        </w:rPr>
        <w:footnoteRef/>
      </w:r>
      <w:r>
        <w:t xml:space="preserve"> </w:t>
      </w:r>
      <w:r>
        <w:t xml:space="preserve">Kitáb-i-Aqdas #186</w:t>
      </w:r>
    </w:p>
  </w:footnote>
  <w:footnote w:id="217">
    <w:p>
      <w:pPr>
        <w:pStyle w:val="FootnoteText"/>
      </w:pPr>
      <w:r>
        <w:rPr>
          <w:rStyle w:val="FootnoteReference"/>
        </w:rPr>
        <w:footnoteRef/>
      </w:r>
      <w:r>
        <w:t xml:space="preserve"> </w:t>
      </w:r>
      <w:r>
        <w:t xml:space="preserve">Kitáb-i-Aqdas #96</w:t>
      </w:r>
    </w:p>
  </w:footnote>
  <w:footnote w:id="218">
    <w:p>
      <w:pPr>
        <w:pStyle w:val="FootnoteText"/>
      </w:pPr>
      <w:r>
        <w:rPr>
          <w:rStyle w:val="FootnoteReference"/>
        </w:rPr>
        <w:footnoteRef/>
      </w:r>
      <w:r>
        <w:t xml:space="preserve"> </w:t>
      </w:r>
      <w:r>
        <w:t xml:space="preserve">Kitáb-i-Aqdas #98</w:t>
      </w:r>
    </w:p>
  </w:footnote>
  <w:footnote w:id="219">
    <w:p>
      <w:pPr>
        <w:pStyle w:val="FootnoteText"/>
      </w:pPr>
      <w:r>
        <w:rPr>
          <w:rStyle w:val="FootnoteReference"/>
        </w:rPr>
        <w:footnoteRef/>
      </w:r>
      <w:r>
        <w:t xml:space="preserve"> </w:t>
      </w:r>
      <w:r>
        <w:t xml:space="preserve">Kitáb-i-Aqdas #4</w:t>
      </w:r>
    </w:p>
  </w:footnote>
  <w:footnote w:id="220">
    <w:p>
      <w:pPr>
        <w:pStyle w:val="FootnoteText"/>
      </w:pPr>
      <w:r>
        <w:rPr>
          <w:rStyle w:val="FootnoteReference"/>
        </w:rPr>
        <w:footnoteRef/>
      </w:r>
      <w:r>
        <w:t xml:space="preserve"> </w:t>
      </w:r>
      <w:r>
        <w:t xml:space="preserve">Kitáb-i-Aqdas #4</w:t>
      </w:r>
    </w:p>
  </w:footnote>
  <w:footnote w:id="221">
    <w:p>
      <w:pPr>
        <w:pStyle w:val="FootnoteText"/>
      </w:pPr>
      <w:r>
        <w:rPr>
          <w:rStyle w:val="FootnoteReference"/>
        </w:rPr>
        <w:footnoteRef/>
      </w:r>
      <w:r>
        <w:t xml:space="preserve"> </w:t>
      </w:r>
      <w:r>
        <w:t xml:space="preserve">Kitáb-i-Aqdas #150</w:t>
      </w:r>
    </w:p>
  </w:footnote>
  <w:footnote w:id="222">
    <w:p>
      <w:pPr>
        <w:pStyle w:val="FootnoteText"/>
      </w:pPr>
      <w:r>
        <w:rPr>
          <w:rStyle w:val="FootnoteReference"/>
        </w:rPr>
        <w:footnoteRef/>
      </w:r>
      <w:r>
        <w:t xml:space="preserve"> </w:t>
      </w:r>
      <w:r>
        <w:t xml:space="preserve">Kitáb-i-Aqdas #5</w:t>
      </w:r>
    </w:p>
  </w:footnote>
  <w:footnote w:id="223">
    <w:p>
      <w:pPr>
        <w:pStyle w:val="FootnoteText"/>
      </w:pPr>
      <w:r>
        <w:rPr>
          <w:rStyle w:val="FootnoteReference"/>
        </w:rPr>
        <w:footnoteRef/>
      </w:r>
      <w:r>
        <w:t xml:space="preserve"> </w:t>
      </w:r>
      <w:r>
        <w:t xml:space="preserve">Kitáb-i-Aqdas #173</w:t>
      </w:r>
    </w:p>
  </w:footnote>
  <w:footnote w:id="224">
    <w:p>
      <w:pPr>
        <w:pStyle w:val="FootnoteText"/>
      </w:pPr>
      <w:r>
        <w:rPr>
          <w:rStyle w:val="FootnoteReference"/>
        </w:rPr>
        <w:footnoteRef/>
      </w:r>
      <w:r>
        <w:t xml:space="preserve"> </w:t>
      </w:r>
      <w:r>
        <w:t xml:space="preserve">The Persian Bayán Váḥid 5, Gate 14</w:t>
      </w:r>
    </w:p>
  </w:footnote>
  <w:footnote w:id="225">
    <w:p>
      <w:pPr>
        <w:pStyle w:val="FootnoteText"/>
      </w:pPr>
      <w:r>
        <w:rPr>
          <w:rStyle w:val="FootnoteReference"/>
        </w:rPr>
        <w:footnoteRef/>
      </w:r>
      <w:r>
        <w:t xml:space="preserve"> </w:t>
      </w:r>
      <w:r>
        <w:t xml:space="preserve">Kitáb-i-Aqdas #73</w:t>
      </w:r>
    </w:p>
  </w:footnote>
  <w:footnote w:id="226">
    <w:p>
      <w:pPr>
        <w:pStyle w:val="FootnoteText"/>
      </w:pPr>
      <w:r>
        <w:rPr>
          <w:rStyle w:val="FootnoteReference"/>
        </w:rPr>
        <w:footnoteRef/>
      </w:r>
      <w:r>
        <w:t xml:space="preserve"> </w:t>
      </w:r>
      <w:r>
        <w:t xml:space="preserve">Kitáb-i-Aqdas #50</w:t>
      </w:r>
    </w:p>
  </w:footnote>
  <w:footnote w:id="227">
    <w:p>
      <w:pPr>
        <w:pStyle w:val="FootnoteText"/>
      </w:pPr>
      <w:r>
        <w:rPr>
          <w:rStyle w:val="FootnoteReference"/>
        </w:rPr>
        <w:footnoteRef/>
      </w:r>
      <w:r>
        <w:t xml:space="preserve"> </w:t>
      </w:r>
      <w:r>
        <w:t xml:space="preserve">Kitáb-i-Aqdas #55</w:t>
      </w:r>
    </w:p>
  </w:footnote>
  <w:footnote w:id="228">
    <w:p>
      <w:pPr>
        <w:pStyle w:val="FootnoteText"/>
      </w:pPr>
      <w:r>
        <w:rPr>
          <w:rStyle w:val="FootnoteReference"/>
        </w:rPr>
        <w:footnoteRef/>
      </w:r>
      <w:r>
        <w:t xml:space="preserve"> </w:t>
      </w:r>
      <w:r>
        <w:t xml:space="preserve">Kitáb-i-Aqdas #180</w:t>
      </w:r>
    </w:p>
  </w:footnote>
  <w:footnote w:id="229">
    <w:p>
      <w:pPr>
        <w:pStyle w:val="FootnoteText"/>
      </w:pPr>
      <w:r>
        <w:rPr>
          <w:rStyle w:val="FootnoteReference"/>
        </w:rPr>
        <w:footnoteRef/>
      </w:r>
      <w:r>
        <w:t xml:space="preserve"> </w:t>
      </w:r>
      <w:r>
        <w:t xml:space="preserve">Kitáb-i-Aqdas #45</w:t>
      </w:r>
    </w:p>
  </w:footnote>
  <w:footnote w:id="230">
    <w:p>
      <w:pPr>
        <w:pStyle w:val="FootnoteText"/>
      </w:pPr>
      <w:r>
        <w:rPr>
          <w:rStyle w:val="FootnoteReference"/>
        </w:rPr>
        <w:footnoteRef/>
      </w:r>
      <w:r>
        <w:t xml:space="preserve"> </w:t>
      </w:r>
      <w:r>
        <w:t xml:space="preserve">Kitáb-i-Aqdas #4</w:t>
      </w:r>
    </w:p>
  </w:footnote>
  <w:footnote w:id="232">
    <w:p>
      <w:pPr>
        <w:pStyle w:val="FootnoteText"/>
      </w:pPr>
      <w:r>
        <w:rPr>
          <w:rStyle w:val="FootnoteReference"/>
        </w:rPr>
        <w:footnoteRef/>
      </w:r>
      <w:r>
        <w:t xml:space="preserve"> </w:t>
      </w:r>
      <w:r>
        <w:t xml:space="preserve">Kitáb-i-Aqdas #148</w:t>
      </w:r>
    </w:p>
  </w:footnote>
  <w:footnote w:id="233">
    <w:p>
      <w:pPr>
        <w:pStyle w:val="FootnoteText"/>
      </w:pPr>
      <w:r>
        <w:rPr>
          <w:rStyle w:val="FootnoteReference"/>
        </w:rPr>
        <w:footnoteRef/>
      </w:r>
      <w:r>
        <w:t xml:space="preserve"> </w:t>
      </w:r>
      <w:r>
        <w:t xml:space="preserve">Kitáb-i-Aqdas #125</w:t>
      </w:r>
    </w:p>
  </w:footnote>
  <w:footnote w:id="234">
    <w:p>
      <w:pPr>
        <w:pStyle w:val="FootnoteText"/>
      </w:pPr>
      <w:r>
        <w:rPr>
          <w:rStyle w:val="FootnoteReference"/>
        </w:rPr>
        <w:footnoteRef/>
      </w:r>
      <w:r>
        <w:t xml:space="preserve"> </w:t>
      </w:r>
      <w:r>
        <w:t xml:space="preserve">Kitáb-i-Aqdas #3</w:t>
      </w:r>
    </w:p>
  </w:footnote>
  <w:footnote w:id="235">
    <w:p>
      <w:pPr>
        <w:pStyle w:val="FootnoteText"/>
      </w:pPr>
      <w:r>
        <w:rPr>
          <w:rStyle w:val="FootnoteReference"/>
        </w:rPr>
        <w:footnoteRef/>
      </w:r>
      <w:r>
        <w:t xml:space="preserve"> </w:t>
      </w:r>
      <w:r>
        <w:t xml:space="preserve">Kitáb-i-Aqdas #3</w:t>
      </w:r>
    </w:p>
  </w:footnote>
  <w:footnote w:id="236">
    <w:p>
      <w:pPr>
        <w:pStyle w:val="FootnoteText"/>
      </w:pPr>
      <w:r>
        <w:rPr>
          <w:rStyle w:val="FootnoteReference"/>
        </w:rPr>
        <w:footnoteRef/>
      </w:r>
      <w:r>
        <w:t xml:space="preserve"> </w:t>
      </w:r>
      <w:r>
        <w:t xml:space="preserve">Kitáb-i-Aqdas #143</w:t>
      </w:r>
    </w:p>
  </w:footnote>
  <w:footnote w:id="240">
    <w:p>
      <w:pPr>
        <w:pStyle w:val="FootnoteText"/>
      </w:pPr>
      <w:r>
        <w:rPr>
          <w:rStyle w:val="FootnoteReference"/>
        </w:rPr>
        <w:footnoteRef/>
      </w:r>
      <w:r>
        <w:t xml:space="preserve"> </w:t>
      </w:r>
      <w:r>
        <w:t xml:space="preserve">Kitáb-i-Aqdas #81</w:t>
      </w:r>
    </w:p>
  </w:footnote>
  <w:footnote w:id="241">
    <w:p>
      <w:pPr>
        <w:pStyle w:val="FootnoteText"/>
      </w:pPr>
      <w:r>
        <w:rPr>
          <w:rStyle w:val="FootnoteReference"/>
        </w:rPr>
        <w:footnoteRef/>
      </w:r>
      <w:r>
        <w:t xml:space="preserve"> </w:t>
      </w:r>
      <w:r>
        <w:t xml:space="preserve">Kitáb-i-Aqdas #82</w:t>
      </w:r>
    </w:p>
  </w:footnote>
  <w:footnote w:id="242">
    <w:p>
      <w:pPr>
        <w:pStyle w:val="FootnoteText"/>
      </w:pPr>
      <w:r>
        <w:rPr>
          <w:rStyle w:val="FootnoteReference"/>
        </w:rPr>
        <w:footnoteRef/>
      </w:r>
      <w:r>
        <w:t xml:space="preserve"> </w:t>
      </w:r>
      <w:r>
        <w:t xml:space="preserve">Kitáb-i-Aqdas #131</w:t>
      </w:r>
    </w:p>
  </w:footnote>
  <w:footnote w:id="244">
    <w:p>
      <w:pPr>
        <w:pStyle w:val="FootnoteText"/>
      </w:pPr>
      <w:r>
        <w:rPr>
          <w:rStyle w:val="FootnoteReference"/>
        </w:rPr>
        <w:footnoteRef/>
      </w:r>
      <w:r>
        <w:t xml:space="preserve"> </w:t>
      </w:r>
      <w:r>
        <w:t xml:space="preserve">Persian Bayán Vahid 3 Gate 13</w:t>
      </w:r>
    </w:p>
  </w:footnote>
  <w:footnote w:id="248">
    <w:p>
      <w:pPr>
        <w:pStyle w:val="FootnoteText"/>
      </w:pPr>
      <w:r>
        <w:rPr>
          <w:rStyle w:val="FootnoteReference"/>
        </w:rPr>
        <w:footnoteRef/>
      </w:r>
      <w:r>
        <w:t xml:space="preserve"> </w:t>
      </w:r>
      <w:r>
        <w:t xml:space="preserve">Kitáb-i-Aqdas #80</w:t>
      </w:r>
    </w:p>
  </w:footnote>
  <w:footnote w:id="249">
    <w:p>
      <w:pPr>
        <w:pStyle w:val="FootnoteText"/>
      </w:pPr>
      <w:r>
        <w:rPr>
          <w:rStyle w:val="FootnoteReference"/>
        </w:rPr>
        <w:footnoteRef/>
      </w:r>
      <w:r>
        <w:t xml:space="preserve"> </w:t>
      </w:r>
      <w:r>
        <w:t xml:space="preserve">The Súríy-i-Ra’ís (Súrah to the Chief)</w:t>
      </w:r>
    </w:p>
  </w:footnote>
  <w:footnote w:id="250">
    <w:p>
      <w:pPr>
        <w:pStyle w:val="FootnoteText"/>
      </w:pPr>
      <w:r>
        <w:rPr>
          <w:rStyle w:val="FootnoteReference"/>
        </w:rPr>
        <w:footnoteRef/>
      </w:r>
      <w:r>
        <w:t xml:space="preserve"> </w:t>
      </w:r>
      <w:r>
        <w:t xml:space="preserve">The Testament of the Báb to Subh-i-Azal</w:t>
      </w:r>
    </w:p>
  </w:footnote>
  <w:footnote w:id="251">
    <w:p>
      <w:pPr>
        <w:pStyle w:val="FootnoteText"/>
      </w:pPr>
      <w:r>
        <w:rPr>
          <w:rStyle w:val="FootnoteReference"/>
        </w:rPr>
        <w:footnoteRef/>
      </w:r>
      <w:r>
        <w:t xml:space="preserve"> </w:t>
      </w:r>
      <w:r>
        <w:t xml:space="preserve">Kitáb-i-Aqdas #137</w:t>
      </w:r>
    </w:p>
  </w:footnote>
  <w:footnote w:id="252">
    <w:p>
      <w:pPr>
        <w:pStyle w:val="FootnoteText"/>
      </w:pPr>
      <w:r>
        <w:rPr>
          <w:rStyle w:val="FootnoteReference"/>
        </w:rPr>
        <w:footnoteRef/>
      </w:r>
      <w:r>
        <w:t xml:space="preserve"> </w:t>
      </w:r>
      <w:r>
        <w:t xml:space="preserve">Kitáb-i-Aqdas #37</w:t>
      </w:r>
    </w:p>
  </w:footnote>
  <w:footnote w:id="253">
    <w:p>
      <w:pPr>
        <w:pStyle w:val="FootnoteText"/>
      </w:pPr>
      <w:r>
        <w:rPr>
          <w:rStyle w:val="FootnoteReference"/>
        </w:rPr>
        <w:footnoteRef/>
      </w:r>
      <w:r>
        <w:t xml:space="preserve"> </w:t>
      </w:r>
      <w:r>
        <w:t xml:space="preserve">Kitáb-i-Aqdas #51</w:t>
      </w:r>
    </w:p>
  </w:footnote>
  <w:footnote w:id="254">
    <w:p>
      <w:pPr>
        <w:pStyle w:val="FootnoteText"/>
      </w:pPr>
      <w:r>
        <w:rPr>
          <w:rStyle w:val="FootnoteReference"/>
        </w:rPr>
        <w:footnoteRef/>
      </w:r>
      <w:r>
        <w:t xml:space="preserve"> </w:t>
      </w:r>
      <w:r>
        <w:t xml:space="preserve">Kitáb-i-Aqdas #127</w:t>
      </w:r>
    </w:p>
  </w:footnote>
  <w:footnote w:id="255">
    <w:p>
      <w:pPr>
        <w:pStyle w:val="FootnoteText"/>
      </w:pPr>
      <w:r>
        <w:rPr>
          <w:rStyle w:val="FootnoteReference"/>
        </w:rPr>
        <w:footnoteRef/>
      </w:r>
      <w:r>
        <w:t xml:space="preserve"> </w:t>
      </w:r>
      <w:r>
        <w:t xml:space="preserve">Kitáb-i-Aqdas #104</w:t>
      </w:r>
    </w:p>
  </w:footnote>
  <w:footnote w:id="256">
    <w:p>
      <w:pPr>
        <w:pStyle w:val="FootnoteText"/>
      </w:pPr>
      <w:r>
        <w:rPr>
          <w:rStyle w:val="FootnoteReference"/>
        </w:rPr>
        <w:footnoteRef/>
      </w:r>
      <w:r>
        <w:t xml:space="preserve"> </w:t>
      </w:r>
      <w:r>
        <w:t xml:space="preserve">Kitáb-i-Aqdas #101</w:t>
      </w:r>
    </w:p>
  </w:footnote>
  <w:footnote w:id="257">
    <w:p>
      <w:pPr>
        <w:pStyle w:val="FootnoteText"/>
      </w:pPr>
      <w:r>
        <w:rPr>
          <w:rStyle w:val="FootnoteReference"/>
        </w:rPr>
        <w:footnoteRef/>
      </w:r>
      <w:r>
        <w:t xml:space="preserve"> </w:t>
      </w:r>
      <w:r>
        <w:t xml:space="preserve">Kitáb-i-Aqdas #175 and #176</w:t>
      </w:r>
    </w:p>
  </w:footnote>
  <w:footnote w:id="258">
    <w:p>
      <w:pPr>
        <w:pStyle w:val="FootnoteText"/>
      </w:pPr>
      <w:r>
        <w:rPr>
          <w:rStyle w:val="FootnoteReference"/>
        </w:rPr>
        <w:footnoteRef/>
      </w:r>
      <w:r>
        <w:t xml:space="preserve"> </w:t>
      </w:r>
      <w:r>
        <w:t xml:space="preserve">Kitáb-i-Aqdas #75</w:t>
      </w:r>
    </w:p>
  </w:footnote>
  <w:footnote w:id="259">
    <w:p>
      <w:pPr>
        <w:pStyle w:val="FootnoteText"/>
      </w:pPr>
      <w:r>
        <w:rPr>
          <w:rStyle w:val="FootnoteReference"/>
        </w:rPr>
        <w:footnoteRef/>
      </w:r>
      <w:r>
        <w:t xml:space="preserve"> </w:t>
      </w:r>
      <w:r>
        <w:t xml:space="preserve">Kitáb-i-Aqdas #132</w:t>
      </w:r>
    </w:p>
  </w:footnote>
  <w:footnote w:id="260">
    <w:p>
      <w:pPr>
        <w:pStyle w:val="FootnoteText"/>
      </w:pPr>
      <w:r>
        <w:rPr>
          <w:rStyle w:val="FootnoteReference"/>
        </w:rPr>
        <w:footnoteRef/>
      </w:r>
      <w:r>
        <w:t xml:space="preserve"> </w:t>
      </w:r>
      <w:r>
        <w:t xml:space="preserve">Kitáb-i-Aqdas #132</w:t>
      </w:r>
    </w:p>
  </w:footnote>
  <w:footnote w:id="261">
    <w:p>
      <w:pPr>
        <w:pStyle w:val="FootnoteText"/>
      </w:pPr>
      <w:r>
        <w:rPr>
          <w:rStyle w:val="FootnoteReference"/>
        </w:rPr>
        <w:footnoteRef/>
      </w:r>
      <w:r>
        <w:t xml:space="preserve"> </w:t>
      </w:r>
      <w:r>
        <w:t xml:space="preserve">The Lawh-i-Aqdas (Most Holy Tablet)</w:t>
      </w:r>
    </w:p>
  </w:footnote>
  <w:footnote w:id="268">
    <w:p>
      <w:pPr>
        <w:pStyle w:val="FootnoteText"/>
      </w:pPr>
      <w:r>
        <w:rPr>
          <w:rStyle w:val="FootnoteReference"/>
        </w:rPr>
        <w:footnoteRef/>
      </w:r>
      <w:r>
        <w:t xml:space="preserve"> </w:t>
      </w:r>
      <w:r>
        <w:t xml:space="preserve">Kitáb-i-Aqdas #120</w:t>
      </w:r>
    </w:p>
  </w:footnote>
  <w:footnote w:id="270">
    <w:p>
      <w:pPr>
        <w:pStyle w:val="FootnoteText"/>
      </w:pPr>
      <w:r>
        <w:rPr>
          <w:rStyle w:val="FootnoteReference"/>
        </w:rPr>
        <w:footnoteRef/>
      </w:r>
      <w:r>
        <w:t xml:space="preserve"> </w:t>
      </w:r>
      <w:r>
        <w:t xml:space="preserve">Kitáb-i-Aqdas #120</w:t>
      </w:r>
    </w:p>
  </w:footnote>
  <w:footnote w:id="272">
    <w:p>
      <w:pPr>
        <w:pStyle w:val="FootnoteText"/>
      </w:pPr>
      <w:r>
        <w:rPr>
          <w:rStyle w:val="FootnoteReference"/>
        </w:rPr>
        <w:footnoteRef/>
      </w:r>
      <w:r>
        <w:t xml:space="preserve"> </w:t>
      </w:r>
      <w:r>
        <w:t xml:space="preserve">Kitáb-i-Aqdas #123</w:t>
      </w:r>
    </w:p>
  </w:footnote>
  <w:footnote w:id="274">
    <w:p>
      <w:pPr>
        <w:pStyle w:val="FootnoteText"/>
      </w:pPr>
      <w:r>
        <w:rPr>
          <w:rStyle w:val="FootnoteReference"/>
        </w:rPr>
        <w:footnoteRef/>
      </w:r>
      <w:r>
        <w:t xml:space="preserve"> </w:t>
      </w:r>
      <w:r>
        <w:t xml:space="preserve">Lawḥ-i-Siráj</w:t>
      </w:r>
    </w:p>
  </w:footnote>
  <w:footnote w:id="275">
    <w:p>
      <w:pPr>
        <w:pStyle w:val="FootnoteText"/>
      </w:pPr>
      <w:r>
        <w:rPr>
          <w:rStyle w:val="FootnoteReference"/>
        </w:rPr>
        <w:footnoteRef/>
      </w:r>
      <w:r>
        <w:t xml:space="preserve"> </w:t>
      </w:r>
      <w:r>
        <w:t xml:space="preserve">Kitáb-i-Aqdas #120</w:t>
      </w:r>
    </w:p>
  </w:footnote>
  <w:footnote w:id="277">
    <w:p>
      <w:pPr>
        <w:pStyle w:val="FootnoteText"/>
      </w:pPr>
      <w:r>
        <w:rPr>
          <w:rStyle w:val="FootnoteReference"/>
        </w:rPr>
        <w:footnoteRef/>
      </w:r>
      <w:r>
        <w:t xml:space="preserve"> </w:t>
      </w:r>
      <w:r>
        <w:t xml:space="preserve">Kitáb-i-Aqdas #52</w:t>
      </w:r>
    </w:p>
  </w:footnote>
  <w:footnote w:id="278">
    <w:p>
      <w:pPr>
        <w:pStyle w:val="FootnoteText"/>
      </w:pPr>
      <w:r>
        <w:rPr>
          <w:rStyle w:val="FootnoteReference"/>
        </w:rPr>
        <w:footnoteRef/>
      </w:r>
      <w:r>
        <w:t xml:space="preserve"> </w:t>
      </w:r>
      <w:r>
        <w:t xml:space="preserve">Kitáb-i-Aqdas #69</w:t>
      </w:r>
    </w:p>
  </w:footnote>
  <w:footnote w:id="279">
    <w:p>
      <w:pPr>
        <w:pStyle w:val="FootnoteText"/>
      </w:pPr>
      <w:r>
        <w:rPr>
          <w:rStyle w:val="FootnoteReference"/>
        </w:rPr>
        <w:footnoteRef/>
      </w:r>
      <w:r>
        <w:t xml:space="preserve"> </w:t>
      </w:r>
      <w:r>
        <w:t xml:space="preserve">Words of Paradise</w:t>
      </w:r>
    </w:p>
  </w:footnote>
  <w:footnote w:id="280">
    <w:p>
      <w:pPr>
        <w:pStyle w:val="FootnoteText"/>
      </w:pPr>
      <w:r>
        <w:rPr>
          <w:rStyle w:val="FootnoteReference"/>
        </w:rPr>
        <w:footnoteRef/>
      </w:r>
      <w:r>
        <w:t xml:space="preserve"> </w:t>
      </w:r>
      <w:r>
        <w:t xml:space="preserve">Kitáb-i-Aqdas #134</w:t>
      </w:r>
    </w:p>
  </w:footnote>
  <w:footnote w:id="281">
    <w:p>
      <w:pPr>
        <w:pStyle w:val="FootnoteText"/>
      </w:pPr>
      <w:r>
        <w:rPr>
          <w:rStyle w:val="FootnoteReference"/>
        </w:rPr>
        <w:footnoteRef/>
      </w:r>
      <w:r>
        <w:t xml:space="preserve"> </w:t>
      </w:r>
      <w:r>
        <w:t xml:space="preserve">Lawḥ-i-Dunyá</w:t>
      </w:r>
    </w:p>
  </w:footnote>
  <w:footnote w:id="285">
    <w:p>
      <w:pPr>
        <w:pStyle w:val="FootnoteText"/>
      </w:pPr>
      <w:r>
        <w:rPr>
          <w:rStyle w:val="FootnoteReference"/>
        </w:rPr>
        <w:footnoteRef/>
      </w:r>
      <w:r>
        <w:t xml:space="preserve"> </w:t>
      </w:r>
      <w:r>
        <w:t xml:space="preserve">The Words of Paradise, Ninth Leaf</w:t>
      </w:r>
    </w:p>
  </w:footnote>
  <w:footnote w:id="287">
    <w:p>
      <w:pPr>
        <w:pStyle w:val="FootnoteText"/>
      </w:pPr>
      <w:r>
        <w:rPr>
          <w:rStyle w:val="FootnoteReference"/>
        </w:rPr>
        <w:footnoteRef/>
      </w:r>
      <w:r>
        <w:t xml:space="preserve"> </w:t>
      </w:r>
      <w:r>
        <w:t xml:space="preserve">Kitáb-i-Aqdas #40</w:t>
      </w:r>
    </w:p>
  </w:footnote>
  <w:footnote w:id="288">
    <w:p>
      <w:pPr>
        <w:pStyle w:val="FootnoteText"/>
      </w:pPr>
      <w:r>
        <w:rPr>
          <w:rStyle w:val="FootnoteReference"/>
        </w:rPr>
        <w:footnoteRef/>
      </w:r>
      <w:r>
        <w:t xml:space="preserve"> </w:t>
      </w:r>
      <w:r>
        <w:t xml:space="preserve">Kitáb-i-Aqdas #148</w:t>
      </w:r>
    </w:p>
  </w:footnote>
  <w:footnote w:id="289">
    <w:p>
      <w:pPr>
        <w:pStyle w:val="FootnoteText"/>
      </w:pPr>
      <w:r>
        <w:rPr>
          <w:rStyle w:val="FootnoteReference"/>
        </w:rPr>
        <w:footnoteRef/>
      </w:r>
      <w:r>
        <w:t xml:space="preserve"> </w:t>
      </w:r>
      <w:r>
        <w:t xml:space="preserve">Kitáb-i-Badí‘</w:t>
      </w:r>
    </w:p>
  </w:footnote>
  <w:footnote w:id="290">
    <w:p>
      <w:pPr>
        <w:pStyle w:val="FootnoteText"/>
      </w:pPr>
      <w:r>
        <w:rPr>
          <w:rStyle w:val="FootnoteReference"/>
        </w:rPr>
        <w:footnoteRef/>
      </w:r>
      <w:r>
        <w:t xml:space="preserve"> </w:t>
      </w:r>
      <w:r>
        <w:t xml:space="preserve">Hidden Words in Arabic #5</w:t>
      </w:r>
    </w:p>
  </w:footnote>
  <w:footnote w:id="300">
    <w:p>
      <w:pPr>
        <w:pStyle w:val="FootnoteText"/>
      </w:pPr>
      <w:r>
        <w:rPr>
          <w:rStyle w:val="FootnoteReference"/>
        </w:rPr>
        <w:footnoteRef/>
      </w:r>
      <w:r>
        <w:t xml:space="preserve"> </w:t>
      </w:r>
      <w:r>
        <w:t xml:space="preserve">Kitáb-i-Aqdas #10</w:t>
      </w:r>
    </w:p>
  </w:footnote>
  <w:footnote w:id="301">
    <w:p>
      <w:pPr>
        <w:pStyle w:val="FootnoteText"/>
      </w:pPr>
      <w:r>
        <w:rPr>
          <w:rStyle w:val="FootnoteReference"/>
        </w:rPr>
        <w:footnoteRef/>
      </w:r>
      <w:r>
        <w:t xml:space="preserve"> </w:t>
      </w:r>
      <w:r>
        <w:t xml:space="preserve">BB00083</w:t>
      </w:r>
    </w:p>
  </w:footnote>
  <w:footnote w:id="302">
    <w:p>
      <w:pPr>
        <w:pStyle w:val="FootnoteText"/>
      </w:pPr>
      <w:r>
        <w:rPr>
          <w:rStyle w:val="FootnoteReference"/>
        </w:rPr>
        <w:footnoteRef/>
      </w:r>
      <w:r>
        <w:t xml:space="preserve"> </w:t>
      </w:r>
      <w:r>
        <w:t xml:space="preserve">Kitáb-i-Aqdas #13</w:t>
      </w:r>
    </w:p>
  </w:footnote>
  <w:footnote w:id="304">
    <w:p>
      <w:pPr>
        <w:pStyle w:val="FootnoteText"/>
      </w:pPr>
      <w:r>
        <w:rPr>
          <w:rStyle w:val="FootnoteReference"/>
        </w:rPr>
        <w:footnoteRef/>
      </w:r>
      <w:r>
        <w:t xml:space="preserve"> </w:t>
      </w:r>
      <w:r>
        <w:t xml:space="preserve">Kitáb-i-Aqdas #18</w:t>
      </w:r>
    </w:p>
  </w:footnote>
  <w:footnote w:id="305">
    <w:p>
      <w:pPr>
        <w:pStyle w:val="FootnoteText"/>
      </w:pPr>
      <w:r>
        <w:rPr>
          <w:rStyle w:val="FootnoteReference"/>
        </w:rPr>
        <w:footnoteRef/>
      </w:r>
      <w:r>
        <w:t xml:space="preserve"> </w:t>
      </w:r>
      <w:r>
        <w:t xml:space="preserve">Kitáb-i-Aqdas #12</w:t>
      </w:r>
    </w:p>
  </w:footnote>
  <w:footnote w:id="308">
    <w:p>
      <w:pPr>
        <w:pStyle w:val="FootnoteText"/>
      </w:pPr>
      <w:r>
        <w:rPr>
          <w:rStyle w:val="FootnoteReference"/>
        </w:rPr>
        <w:footnoteRef/>
      </w:r>
      <w:r>
        <w:t xml:space="preserve"> </w:t>
      </w:r>
      <w:r>
        <w:t xml:space="preserve">Kitáb-i-Aqdas #10</w:t>
      </w:r>
    </w:p>
  </w:footnote>
  <w:footnote w:id="310">
    <w:p>
      <w:pPr>
        <w:pStyle w:val="FootnoteText"/>
      </w:pPr>
      <w:r>
        <w:rPr>
          <w:rStyle w:val="FootnoteReference"/>
        </w:rPr>
        <w:footnoteRef/>
      </w:r>
      <w:r>
        <w:t xml:space="preserve"> </w:t>
      </w:r>
      <w:r>
        <w:t xml:space="preserve">The Persian Bayán, Váḥid 9 Gate 19</w:t>
      </w:r>
    </w:p>
  </w:footnote>
  <w:footnote w:id="312">
    <w:p>
      <w:pPr>
        <w:pStyle w:val="FootnoteText"/>
      </w:pPr>
      <w:r>
        <w:rPr>
          <w:rStyle w:val="FootnoteReference"/>
        </w:rPr>
        <w:footnoteRef/>
      </w:r>
      <w:r>
        <w:t xml:space="preserve"> </w:t>
      </w:r>
      <w:r>
        <w:t xml:space="preserve">The Persian Bayán Váḥid 9, Gate 9</w:t>
      </w:r>
    </w:p>
  </w:footnote>
  <w:footnote w:id="313">
    <w:p>
      <w:pPr>
        <w:pStyle w:val="FootnoteText"/>
      </w:pPr>
      <w:r>
        <w:rPr>
          <w:rStyle w:val="FootnoteReference"/>
        </w:rPr>
        <w:footnoteRef/>
      </w:r>
      <w:r>
        <w:t xml:space="preserve"> </w:t>
      </w:r>
      <w:r>
        <w:t xml:space="preserve">Kitáb-i-Aqdas #12</w:t>
      </w:r>
    </w:p>
  </w:footnote>
  <w:footnote w:id="316">
    <w:p>
      <w:pPr>
        <w:pStyle w:val="FootnoteText"/>
      </w:pPr>
      <w:r>
        <w:rPr>
          <w:rStyle w:val="FootnoteReference"/>
        </w:rPr>
        <w:footnoteRef/>
      </w:r>
      <w:r>
        <w:t xml:space="preserve"> </w:t>
      </w:r>
      <w:r>
        <w:t xml:space="preserve">Kitáb-i-Aqdas #9</w:t>
      </w:r>
    </w:p>
  </w:footnote>
  <w:footnote w:id="317">
    <w:p>
      <w:pPr>
        <w:pStyle w:val="FootnoteText"/>
      </w:pPr>
      <w:r>
        <w:rPr>
          <w:rStyle w:val="FootnoteReference"/>
        </w:rPr>
        <w:footnoteRef/>
      </w:r>
      <w:r>
        <w:t xml:space="preserve"> </w:t>
      </w:r>
      <w:r>
        <w:t xml:space="preserve">BH00010: Letters to Tehran Through Ali-Akbar</w:t>
      </w:r>
    </w:p>
  </w:footnote>
  <w:footnote w:id="333">
    <w:p>
      <w:pPr>
        <w:pStyle w:val="FootnoteText"/>
      </w:pPr>
      <w:r>
        <w:rPr>
          <w:rStyle w:val="FootnoteReference"/>
        </w:rPr>
        <w:footnoteRef/>
      </w:r>
      <w:r>
        <w:t xml:space="preserve"> </w:t>
      </w:r>
      <w:r>
        <w:t xml:space="preserve">Kitáb-i-Aqdas #149</w:t>
      </w:r>
    </w:p>
  </w:footnote>
  <w:footnote w:id="335">
    <w:p>
      <w:pPr>
        <w:pStyle w:val="FootnoteText"/>
      </w:pPr>
      <w:r>
        <w:rPr>
          <w:rStyle w:val="FootnoteReference"/>
        </w:rPr>
        <w:footnoteRef/>
      </w:r>
      <w:r>
        <w:t xml:space="preserve"> </w:t>
      </w:r>
      <w:r>
        <w:t xml:space="preserve">Kitáb-i-Aqdas #138</w:t>
      </w:r>
    </w:p>
  </w:footnote>
  <w:footnote w:id="337">
    <w:p>
      <w:pPr>
        <w:pStyle w:val="FootnoteText"/>
      </w:pPr>
      <w:r>
        <w:rPr>
          <w:rStyle w:val="FootnoteReference"/>
        </w:rPr>
        <w:footnoteRef/>
      </w:r>
      <w:r>
        <w:t xml:space="preserve"> </w:t>
      </w:r>
      <w:r>
        <w:t xml:space="preserve">Kitáb-i-Aqdas #149</w:t>
      </w:r>
    </w:p>
  </w:footnote>
  <w:footnote w:id="338">
    <w:p>
      <w:pPr>
        <w:pStyle w:val="FootnoteText"/>
      </w:pPr>
      <w:r>
        <w:rPr>
          <w:rStyle w:val="FootnoteReference"/>
        </w:rPr>
        <w:footnoteRef/>
      </w:r>
      <w:r>
        <w:t xml:space="preserve"> </w:t>
      </w:r>
      <w:r>
        <w:t xml:space="preserve">Kitáb-i-Aqdas #150</w:t>
      </w:r>
    </w:p>
  </w:footnote>
  <w:footnote w:id="339">
    <w:p>
      <w:pPr>
        <w:pStyle w:val="FootnoteText"/>
      </w:pPr>
      <w:r>
        <w:rPr>
          <w:rStyle w:val="FootnoteReference"/>
        </w:rPr>
        <w:footnoteRef/>
      </w:r>
      <w:r>
        <w:t xml:space="preserve"> </w:t>
      </w:r>
      <w:r>
        <w:t xml:space="preserve">Kitáb-i-Aqdas #116</w:t>
      </w:r>
    </w:p>
  </w:footnote>
  <w:footnote w:id="353">
    <w:p>
      <w:pPr>
        <w:pStyle w:val="FootnoteText"/>
      </w:pPr>
      <w:r>
        <w:rPr>
          <w:rStyle w:val="FootnoteReference"/>
        </w:rPr>
        <w:footnoteRef/>
      </w:r>
      <w:r>
        <w:t xml:space="preserve"> </w:t>
      </w:r>
      <w:r>
        <w:t xml:space="preserve">Kitáb-i-Aqdas #117</w:t>
      </w:r>
    </w:p>
  </w:footnote>
  <w:footnote w:id="354">
    <w:p>
      <w:pPr>
        <w:pStyle w:val="FootnoteText"/>
      </w:pPr>
      <w:r>
        <w:rPr>
          <w:rStyle w:val="FootnoteReference"/>
        </w:rPr>
        <w:footnoteRef/>
      </w:r>
      <w:r>
        <w:t xml:space="preserve"> </w:t>
      </w:r>
      <w:r>
        <w:t xml:space="preserve">Kitáb-i-Aqdas #112</w:t>
      </w:r>
    </w:p>
  </w:footnote>
  <w:footnote w:id="355">
    <w:p>
      <w:pPr>
        <w:pStyle w:val="FootnoteText"/>
      </w:pPr>
      <w:r>
        <w:rPr>
          <w:rStyle w:val="FootnoteReference"/>
        </w:rPr>
        <w:footnoteRef/>
      </w:r>
      <w:r>
        <w:t xml:space="preserve"> </w:t>
      </w:r>
      <w:r>
        <w:t xml:space="preserve">Kitáb-i-Aqdas #14</w:t>
      </w:r>
    </w:p>
  </w:footnote>
  <w:footnote w:id="356">
    <w:p>
      <w:pPr>
        <w:pStyle w:val="FootnoteText"/>
      </w:pPr>
      <w:r>
        <w:rPr>
          <w:rStyle w:val="FootnoteReference"/>
        </w:rPr>
        <w:footnoteRef/>
      </w:r>
      <w:r>
        <w:t xml:space="preserve"> </w:t>
      </w:r>
      <w:r>
        <w:t xml:space="preserve">Kitáb-i-Aqdas #11</w:t>
      </w:r>
    </w:p>
  </w:footnote>
  <w:footnote w:id="357">
    <w:p>
      <w:pPr>
        <w:pStyle w:val="FootnoteText"/>
      </w:pPr>
      <w:r>
        <w:rPr>
          <w:rStyle w:val="FootnoteReference"/>
        </w:rPr>
        <w:footnoteRef/>
      </w:r>
      <w:r>
        <w:t xml:space="preserve"> </w:t>
      </w:r>
      <w:r>
        <w:t xml:space="preserve">Kitáb-i-Aqdas #167</w:t>
      </w:r>
    </w:p>
  </w:footnote>
  <w:footnote w:id="358">
    <w:p>
      <w:pPr>
        <w:pStyle w:val="FootnoteText"/>
      </w:pPr>
      <w:r>
        <w:rPr>
          <w:rStyle w:val="FootnoteReference"/>
        </w:rPr>
        <w:footnoteRef/>
      </w:r>
      <w:r>
        <w:t xml:space="preserve"> </w:t>
      </w:r>
      <w:r>
        <w:t xml:space="preserve">Kitáb-i-Aqdas #50</w:t>
      </w:r>
    </w:p>
  </w:footnote>
  <w:footnote w:id="359">
    <w:p>
      <w:pPr>
        <w:pStyle w:val="FootnoteText"/>
      </w:pPr>
      <w:r>
        <w:rPr>
          <w:rStyle w:val="FootnoteReference"/>
        </w:rPr>
        <w:footnoteRef/>
      </w:r>
      <w:r>
        <w:t xml:space="preserve"> </w:t>
      </w:r>
      <w:r>
        <w:t xml:space="preserve">Kitáb-i-Aqdas #143</w:t>
      </w:r>
    </w:p>
  </w:footnote>
  <w:footnote w:id="360">
    <w:p>
      <w:pPr>
        <w:pStyle w:val="FootnoteText"/>
      </w:pPr>
      <w:r>
        <w:rPr>
          <w:rStyle w:val="FootnoteReference"/>
        </w:rPr>
        <w:footnoteRef/>
      </w:r>
      <w:r>
        <w:t xml:space="preserve"> </w:t>
      </w:r>
      <w:r>
        <w:t xml:space="preserve">Kitáb-i-Aqdas #185</w:t>
      </w:r>
    </w:p>
  </w:footnote>
  <w:footnote w:id="361">
    <w:p>
      <w:pPr>
        <w:pStyle w:val="FootnoteText"/>
      </w:pPr>
      <w:r>
        <w:rPr>
          <w:rStyle w:val="FootnoteReference"/>
        </w:rPr>
        <w:footnoteRef/>
      </w:r>
      <w:r>
        <w:t xml:space="preserve"> </w:t>
      </w:r>
      <w:r>
        <w:t xml:space="preserve">Kitáb-i-Aqdas #172</w:t>
      </w:r>
    </w:p>
  </w:footnote>
  <w:footnote w:id="363">
    <w:p>
      <w:pPr>
        <w:pStyle w:val="FootnoteText"/>
      </w:pPr>
      <w:r>
        <w:rPr>
          <w:rStyle w:val="FootnoteReference"/>
        </w:rPr>
        <w:footnoteRef/>
      </w:r>
      <w:r>
        <w:t xml:space="preserve"> </w:t>
      </w:r>
      <w:r>
        <w:t xml:space="preserve">The Hidden Words in Persian #16</w:t>
      </w:r>
    </w:p>
  </w:footnote>
  <w:footnote w:id="364">
    <w:p>
      <w:pPr>
        <w:pStyle w:val="FootnoteText"/>
      </w:pPr>
      <w:r>
        <w:rPr>
          <w:rStyle w:val="FootnoteReference"/>
        </w:rPr>
        <w:footnoteRef/>
      </w:r>
      <w:r>
        <w:t xml:space="preserve"> </w:t>
      </w:r>
      <w:r>
        <w:t xml:space="preserve">Kitáb-i-Aqdas #31</w:t>
      </w:r>
    </w:p>
  </w:footnote>
  <w:footnote w:id="367">
    <w:p>
      <w:pPr>
        <w:pStyle w:val="FootnoteText"/>
      </w:pPr>
      <w:r>
        <w:rPr>
          <w:rStyle w:val="FootnoteReference"/>
        </w:rPr>
        <w:footnoteRef/>
      </w:r>
      <w:r>
        <w:t xml:space="preserve"> </w:t>
      </w:r>
      <w:r>
        <w:t xml:space="preserve">Kitáb-i-Aqdas #16</w:t>
      </w:r>
    </w:p>
  </w:footnote>
  <w:footnote w:id="368">
    <w:p>
      <w:pPr>
        <w:pStyle w:val="FootnoteText"/>
      </w:pPr>
      <w:r>
        <w:rPr>
          <w:rStyle w:val="FootnoteReference"/>
        </w:rPr>
        <w:footnoteRef/>
      </w:r>
      <w:r>
        <w:t xml:space="preserve"> </w:t>
      </w:r>
      <w:r>
        <w:t xml:space="preserve">Kitáb-i-Aqdas #74</w:t>
      </w:r>
    </w:p>
  </w:footnote>
  <w:footnote w:id="369">
    <w:p>
      <w:pPr>
        <w:pStyle w:val="FootnoteText"/>
      </w:pPr>
      <w:r>
        <w:rPr>
          <w:rStyle w:val="FootnoteReference"/>
        </w:rPr>
        <w:footnoteRef/>
      </w:r>
      <w:r>
        <w:t xml:space="preserve"> </w:t>
      </w:r>
      <w:r>
        <w:t xml:space="preserve">Kitáb-i-Aqdas #51</w:t>
      </w:r>
    </w:p>
  </w:footnote>
  <w:footnote w:id="370">
    <w:p>
      <w:pPr>
        <w:pStyle w:val="FootnoteText"/>
      </w:pPr>
      <w:r>
        <w:rPr>
          <w:rStyle w:val="FootnoteReference"/>
        </w:rPr>
        <w:footnoteRef/>
      </w:r>
      <w:r>
        <w:t xml:space="preserve"> </w:t>
      </w:r>
      <w:r>
        <w:t xml:space="preserve">Kitáb-i-Aqdas #51</w:t>
      </w:r>
    </w:p>
  </w:footnote>
  <w:footnote w:id="371">
    <w:p>
      <w:pPr>
        <w:pStyle w:val="FootnoteText"/>
      </w:pPr>
      <w:r>
        <w:rPr>
          <w:rStyle w:val="FootnoteReference"/>
        </w:rPr>
        <w:footnoteRef/>
      </w:r>
      <w:r>
        <w:t xml:space="preserve"> </w:t>
      </w:r>
      <w:r>
        <w:t xml:space="preserve">Kitáb-i-Aqdas #108</w:t>
      </w:r>
    </w:p>
  </w:footnote>
  <w:footnote w:id="374">
    <w:p>
      <w:pPr>
        <w:pStyle w:val="FootnoteText"/>
      </w:pPr>
      <w:r>
        <w:rPr>
          <w:rStyle w:val="FootnoteReference"/>
        </w:rPr>
        <w:footnoteRef/>
      </w:r>
      <w:r>
        <w:t xml:space="preserve"> </w:t>
      </w:r>
      <w:r>
        <w:t xml:space="preserve">Kitáb-i-Aqdas #18</w:t>
      </w:r>
    </w:p>
  </w:footnote>
  <w:footnote w:id="385">
    <w:p>
      <w:pPr>
        <w:pStyle w:val="FootnoteText"/>
      </w:pPr>
      <w:r>
        <w:rPr>
          <w:rStyle w:val="FootnoteReference"/>
        </w:rPr>
        <w:footnoteRef/>
      </w:r>
      <w:r>
        <w:t xml:space="preserve"> </w:t>
      </w:r>
      <w:r>
        <w:t xml:space="preserve">Suríy-i-Haykal (Súrah of the Temple)</w:t>
      </w:r>
    </w:p>
  </w:footnote>
  <w:footnote w:id="388">
    <w:p>
      <w:pPr>
        <w:pStyle w:val="FootnoteText"/>
      </w:pPr>
      <w:r>
        <w:rPr>
          <w:rStyle w:val="FootnoteReference"/>
        </w:rPr>
        <w:footnoteRef/>
      </w:r>
      <w:r>
        <w:t xml:space="preserve"> </w:t>
      </w:r>
      <w:r>
        <w:t xml:space="preserve">The Hidden Words of Arabic #31</w:t>
      </w:r>
    </w:p>
  </w:footnote>
  <w:footnote w:id="389">
    <w:p>
      <w:pPr>
        <w:pStyle w:val="FootnoteText"/>
      </w:pPr>
      <w:r>
        <w:rPr>
          <w:rStyle w:val="FootnoteReference"/>
        </w:rPr>
        <w:footnoteRef/>
      </w:r>
      <w:r>
        <w:t xml:space="preserve"> </w:t>
      </w:r>
      <w:r>
        <w:t xml:space="preserve">Kitáb-i-Aqdas #5</w:t>
      </w:r>
    </w:p>
  </w:footnote>
  <w:footnote w:id="390">
    <w:p>
      <w:pPr>
        <w:pStyle w:val="FootnoteText"/>
      </w:pPr>
      <w:r>
        <w:rPr>
          <w:rStyle w:val="FootnoteReference"/>
        </w:rPr>
        <w:footnoteRef/>
      </w:r>
      <w:r>
        <w:t xml:space="preserve"> </w:t>
      </w:r>
      <w:r>
        <w:t xml:space="preserve">Kitáb-i-Aqdas #136</w:t>
      </w:r>
    </w:p>
  </w:footnote>
  <w:footnote w:id="391">
    <w:p>
      <w:pPr>
        <w:pStyle w:val="FootnoteText"/>
      </w:pPr>
      <w:r>
        <w:rPr>
          <w:rStyle w:val="FootnoteReference"/>
        </w:rPr>
        <w:footnoteRef/>
      </w:r>
      <w:r>
        <w:t xml:space="preserve"> </w:t>
      </w:r>
      <w:r>
        <w:t xml:space="preserve">Kitáb-i-Aqdas #137</w:t>
      </w:r>
    </w:p>
  </w:footnote>
  <w:footnote w:id="393">
    <w:p>
      <w:pPr>
        <w:pStyle w:val="FootnoteText"/>
      </w:pPr>
      <w:r>
        <w:rPr>
          <w:rStyle w:val="FootnoteReference"/>
        </w:rPr>
        <w:footnoteRef/>
      </w:r>
      <w:r>
        <w:t xml:space="preserve"> </w:t>
      </w:r>
      <w:r>
        <w:t xml:space="preserve">Kitáb-i-Aqdas #136</w:t>
      </w:r>
    </w:p>
  </w:footnote>
  <w:footnote w:id="394">
    <w:p>
      <w:pPr>
        <w:pStyle w:val="FootnoteText"/>
      </w:pPr>
      <w:r>
        <w:rPr>
          <w:rStyle w:val="FootnoteReference"/>
        </w:rPr>
        <w:footnoteRef/>
      </w:r>
      <w:r>
        <w:t xml:space="preserve"> </w:t>
      </w:r>
      <w:r>
        <w:t xml:space="preserve">The Persian Bayán Váḥid 8 Gate 6</w:t>
      </w:r>
    </w:p>
  </w:footnote>
  <w:footnote w:id="396">
    <w:p>
      <w:pPr>
        <w:pStyle w:val="FootnoteText"/>
      </w:pPr>
      <w:r>
        <w:rPr>
          <w:rStyle w:val="FootnoteReference"/>
        </w:rPr>
        <w:footnoteRef/>
      </w:r>
      <w:r>
        <w:t xml:space="preserve"> </w:t>
      </w:r>
      <w:r>
        <w:t xml:space="preserve">Kitáb-i-Aqdas #137</w:t>
      </w:r>
    </w:p>
  </w:footnote>
  <w:footnote w:id="398">
    <w:p>
      <w:pPr>
        <w:pStyle w:val="FootnoteText"/>
      </w:pPr>
      <w:r>
        <w:rPr>
          <w:rStyle w:val="FootnoteReference"/>
        </w:rPr>
        <w:footnoteRef/>
      </w:r>
      <w:r>
        <w:t xml:space="preserve"> </w:t>
      </w:r>
      <w:r>
        <w:t xml:space="preserve">Kitáb-i-Aqdas #33</w:t>
      </w:r>
    </w:p>
  </w:footnote>
  <w:footnote w:id="400">
    <w:p>
      <w:pPr>
        <w:pStyle w:val="FootnoteText"/>
      </w:pPr>
      <w:r>
        <w:rPr>
          <w:rStyle w:val="FootnoteReference"/>
        </w:rPr>
        <w:footnoteRef/>
      </w:r>
      <w:r>
        <w:t xml:space="preserve"> </w:t>
      </w:r>
      <w:r>
        <w:t xml:space="preserve">The Suríy-i-Haykal (To the King of Paris)</w:t>
      </w:r>
    </w:p>
  </w:footnote>
  <w:footnote w:id="401">
    <w:p>
      <w:pPr>
        <w:pStyle w:val="FootnoteText"/>
      </w:pPr>
      <w:r>
        <w:rPr>
          <w:rStyle w:val="FootnoteReference"/>
        </w:rPr>
        <w:footnoteRef/>
      </w:r>
      <w:r>
        <w:t xml:space="preserve"> </w:t>
      </w:r>
      <w:r>
        <w:t xml:space="preserve">Kitáb-i-Aqdas #148</w:t>
      </w:r>
    </w:p>
  </w:footnote>
  <w:footnote w:id="402">
    <w:p>
      <w:pPr>
        <w:pStyle w:val="FootnoteText"/>
      </w:pPr>
      <w:r>
        <w:rPr>
          <w:rStyle w:val="FootnoteReference"/>
        </w:rPr>
        <w:footnoteRef/>
      </w:r>
      <w:r>
        <w:t xml:space="preserve"> </w:t>
      </w:r>
      <w:r>
        <w:t xml:space="preserve">Kitáb-i-Aqdas #40</w:t>
      </w:r>
    </w:p>
  </w:footnote>
  <w:footnote w:id="404">
    <w:p>
      <w:pPr>
        <w:pStyle w:val="FootnoteText"/>
      </w:pPr>
      <w:r>
        <w:rPr>
          <w:rStyle w:val="FootnoteReference"/>
        </w:rPr>
        <w:footnoteRef/>
      </w:r>
      <w:r>
        <w:t xml:space="preserve"> </w:t>
      </w:r>
      <w:r>
        <w:t xml:space="preserve">The Suríy-i-Haykal (To the King of Paris)</w:t>
      </w:r>
    </w:p>
  </w:footnote>
  <w:footnote w:id="407">
    <w:p>
      <w:pPr>
        <w:pStyle w:val="FootnoteText"/>
      </w:pPr>
      <w:r>
        <w:rPr>
          <w:rStyle w:val="FootnoteReference"/>
        </w:rPr>
        <w:footnoteRef/>
      </w:r>
      <w:r>
        <w:t xml:space="preserve"> </w:t>
      </w:r>
      <w:r>
        <w:t xml:space="preserve">The Persian Bayán: Váḥid 1 Gate 9</w:t>
      </w:r>
    </w:p>
  </w:footnote>
  <w:footnote w:id="409">
    <w:p>
      <w:pPr>
        <w:pStyle w:val="FootnoteText"/>
      </w:pPr>
      <w:r>
        <w:rPr>
          <w:rStyle w:val="FootnoteReference"/>
        </w:rPr>
        <w:footnoteRef/>
      </w:r>
      <w:r>
        <w:t xml:space="preserve"> </w:t>
      </w:r>
      <w:r>
        <w:t xml:space="preserve">Asl-i-Kullu’l-Khayr (Essence of All Good)</w:t>
      </w:r>
    </w:p>
  </w:footnote>
  <w:footnote w:id="411">
    <w:p>
      <w:pPr>
        <w:pStyle w:val="FootnoteText"/>
      </w:pPr>
      <w:r>
        <w:rPr>
          <w:rStyle w:val="FootnoteReference"/>
        </w:rPr>
        <w:footnoteRef/>
      </w:r>
      <w:r>
        <w:t xml:space="preserve"> </w:t>
      </w:r>
      <w:r>
        <w:t xml:space="preserve">The Hidden Words of Arabic #23</w:t>
      </w:r>
    </w:p>
  </w:footnote>
  <w:footnote w:id="424">
    <w:p>
      <w:pPr>
        <w:pStyle w:val="FootnoteText"/>
      </w:pPr>
      <w:r>
        <w:rPr>
          <w:rStyle w:val="FootnoteReference"/>
        </w:rPr>
        <w:footnoteRef/>
      </w:r>
      <w:r>
        <w:t xml:space="preserve"> </w:t>
      </w:r>
      <w:r>
        <w:t xml:space="preserve">Kitáb-i-Aqdas #4</w:t>
      </w:r>
    </w:p>
  </w:footnote>
  <w:footnote w:id="425">
    <w:p>
      <w:pPr>
        <w:pStyle w:val="FootnoteText"/>
      </w:pPr>
      <w:r>
        <w:rPr>
          <w:rStyle w:val="FootnoteReference"/>
        </w:rPr>
        <w:footnoteRef/>
      </w:r>
      <w:r>
        <w:t xml:space="preserve"> </w:t>
      </w:r>
      <w:r>
        <w:t xml:space="preserve">Kitáb-i-Aqdas #132</w:t>
      </w:r>
    </w:p>
  </w:footnote>
  <w:footnote w:id="426">
    <w:p>
      <w:pPr>
        <w:pStyle w:val="FootnoteText"/>
      </w:pPr>
      <w:r>
        <w:rPr>
          <w:rStyle w:val="FootnoteReference"/>
        </w:rPr>
        <w:footnoteRef/>
      </w:r>
      <w:r>
        <w:t xml:space="preserve"> </w:t>
      </w:r>
      <w:r>
        <w:t xml:space="preserve">Kitáb-i-Aqdas #15</w:t>
      </w:r>
    </w:p>
  </w:footnote>
  <w:footnote w:id="427">
    <w:p>
      <w:pPr>
        <w:pStyle w:val="FootnoteText"/>
      </w:pPr>
      <w:r>
        <w:rPr>
          <w:rStyle w:val="FootnoteReference"/>
        </w:rPr>
        <w:footnoteRef/>
      </w:r>
      <w:r>
        <w:t xml:space="preserve"> </w:t>
      </w:r>
      <w:r>
        <w:t xml:space="preserve">Lawh-i-Madinat’ut-Tawhid (Tablet of the City of Unity)</w:t>
      </w:r>
    </w:p>
  </w:footnote>
  <w:footnote w:id="429">
    <w:p>
      <w:pPr>
        <w:pStyle w:val="FootnoteText"/>
      </w:pPr>
      <w:r>
        <w:rPr>
          <w:rStyle w:val="FootnoteReference"/>
        </w:rPr>
        <w:footnoteRef/>
      </w:r>
      <w:r>
        <w:t xml:space="preserve"> </w:t>
      </w:r>
      <w:r>
        <w:t xml:space="preserve">Kitáb-i-Aqdas #115</w:t>
      </w:r>
    </w:p>
  </w:footnote>
  <w:footnote w:id="430">
    <w:p>
      <w:pPr>
        <w:pStyle w:val="FootnoteText"/>
      </w:pPr>
      <w:r>
        <w:rPr>
          <w:rStyle w:val="FootnoteReference"/>
        </w:rPr>
        <w:footnoteRef/>
      </w:r>
      <w:r>
        <w:t xml:space="preserve"> </w:t>
      </w:r>
      <w:r>
        <w:t xml:space="preserve">Kitáb-i-Aqdas #31</w:t>
      </w:r>
    </w:p>
  </w:footnote>
  <w:footnote w:id="431">
    <w:p>
      <w:pPr>
        <w:pStyle w:val="FootnoteText"/>
      </w:pPr>
      <w:r>
        <w:rPr>
          <w:rStyle w:val="FootnoteReference"/>
        </w:rPr>
        <w:footnoteRef/>
      </w:r>
      <w:r>
        <w:t xml:space="preserve"> </w:t>
      </w:r>
      <w:r>
        <w:t xml:space="preserve">Kitáb-i-Aqdas #150</w:t>
      </w:r>
    </w:p>
  </w:footnote>
  <w:footnote w:id="432">
    <w:p>
      <w:pPr>
        <w:pStyle w:val="FootnoteText"/>
      </w:pPr>
      <w:r>
        <w:rPr>
          <w:rStyle w:val="FootnoteReference"/>
        </w:rPr>
        <w:footnoteRef/>
      </w:r>
      <w:r>
        <w:t xml:space="preserve"> </w:t>
      </w:r>
      <w:r>
        <w:t xml:space="preserve">BH00054</w:t>
      </w:r>
    </w:p>
  </w:footnote>
  <w:footnote w:id="433">
    <w:p>
      <w:pPr>
        <w:pStyle w:val="FootnoteText"/>
      </w:pPr>
      <w:r>
        <w:rPr>
          <w:rStyle w:val="FootnoteReference"/>
        </w:rPr>
        <w:footnoteRef/>
      </w:r>
      <w:r>
        <w:t xml:space="preserve"> </w:t>
      </w:r>
      <w:r>
        <w:t xml:space="preserve">BH00230</w:t>
      </w:r>
    </w:p>
  </w:footnote>
  <w:footnote w:id="435">
    <w:p>
      <w:pPr>
        <w:pStyle w:val="FootnoteText"/>
      </w:pPr>
      <w:r>
        <w:rPr>
          <w:rStyle w:val="FootnoteReference"/>
        </w:rPr>
        <w:footnoteRef/>
      </w:r>
      <w:r>
        <w:t xml:space="preserve"> </w:t>
      </w:r>
      <w:r>
        <w:t xml:space="preserve">Kitáb-i-Aqdas #32</w:t>
      </w:r>
    </w:p>
  </w:footnote>
  <w:footnote w:id="436">
    <w:p>
      <w:pPr>
        <w:pStyle w:val="FootnoteText"/>
      </w:pPr>
      <w:r>
        <w:rPr>
          <w:rStyle w:val="FootnoteReference"/>
        </w:rPr>
        <w:footnoteRef/>
      </w:r>
      <w:r>
        <w:t xml:space="preserve"> </w:t>
      </w:r>
      <w:r>
        <w:t xml:space="preserve">BH00250</w:t>
      </w:r>
    </w:p>
  </w:footnote>
  <w:footnote w:id="439">
    <w:p>
      <w:pPr>
        <w:pStyle w:val="FootnoteText"/>
      </w:pPr>
      <w:r>
        <w:rPr>
          <w:rStyle w:val="FootnoteReference"/>
        </w:rPr>
        <w:footnoteRef/>
      </w:r>
      <w:r>
        <w:t xml:space="preserve"> </w:t>
      </w:r>
      <w:r>
        <w:t xml:space="preserve">Kitáb-i-Aqdas #97</w:t>
      </w:r>
    </w:p>
  </w:footnote>
  <w:footnote w:id="440">
    <w:p>
      <w:pPr>
        <w:pStyle w:val="FootnoteText"/>
      </w:pPr>
      <w:r>
        <w:rPr>
          <w:rStyle w:val="FootnoteReference"/>
        </w:rPr>
        <w:footnoteRef/>
      </w:r>
      <w:r>
        <w:t xml:space="preserve"> </w:t>
      </w:r>
      <w:r>
        <w:t xml:space="preserve">BH00214</w:t>
      </w:r>
    </w:p>
  </w:footnote>
  <w:footnote w:id="441">
    <w:p>
      <w:pPr>
        <w:pStyle w:val="FootnoteText"/>
      </w:pPr>
      <w:r>
        <w:rPr>
          <w:rStyle w:val="FootnoteReference"/>
        </w:rPr>
        <w:footnoteRef/>
      </w:r>
      <w:r>
        <w:t xml:space="preserve"> </w:t>
      </w:r>
      <w:r>
        <w:t xml:space="preserve">BH00077</w:t>
      </w:r>
    </w:p>
  </w:footnote>
  <w:footnote w:id="442">
    <w:p>
      <w:pPr>
        <w:pStyle w:val="FootnoteText"/>
      </w:pPr>
      <w:r>
        <w:rPr>
          <w:rStyle w:val="FootnoteReference"/>
        </w:rPr>
        <w:footnoteRef/>
      </w:r>
      <w:r>
        <w:t xml:space="preserve"> </w:t>
      </w:r>
      <w:r>
        <w:t xml:space="preserve">Kitáb-i-Aqdas #42</w:t>
      </w:r>
    </w:p>
  </w:footnote>
  <w:footnote w:id="443">
    <w:p>
      <w:pPr>
        <w:pStyle w:val="FootnoteText"/>
      </w:pPr>
      <w:r>
        <w:rPr>
          <w:rStyle w:val="FootnoteReference"/>
        </w:rPr>
        <w:footnoteRef/>
      </w:r>
      <w:r>
        <w:t xml:space="preserve"> </w:t>
      </w:r>
      <w:r>
        <w:t xml:space="preserve">BH00234</w:t>
      </w:r>
    </w:p>
  </w:footnote>
  <w:footnote w:id="444">
    <w:p>
      <w:pPr>
        <w:pStyle w:val="FootnoteText"/>
      </w:pPr>
      <w:r>
        <w:rPr>
          <w:rStyle w:val="FootnoteReference"/>
        </w:rPr>
        <w:footnoteRef/>
      </w:r>
      <w:r>
        <w:t xml:space="preserve"> </w:t>
      </w:r>
      <w:r>
        <w:t xml:space="preserve">BH00086</w:t>
      </w:r>
    </w:p>
  </w:footnote>
  <w:footnote w:id="445">
    <w:p>
      <w:pPr>
        <w:pStyle w:val="FootnoteText"/>
      </w:pPr>
      <w:r>
        <w:rPr>
          <w:rStyle w:val="FootnoteReference"/>
        </w:rPr>
        <w:footnoteRef/>
      </w:r>
      <w:r>
        <w:t xml:space="preserve"> </w:t>
      </w:r>
      <w:r>
        <w:t xml:space="preserve">BH00158</w:t>
      </w:r>
    </w:p>
  </w:footnote>
  <w:footnote w:id="446">
    <w:p>
      <w:pPr>
        <w:pStyle w:val="FootnoteText"/>
      </w:pPr>
      <w:r>
        <w:rPr>
          <w:rStyle w:val="FootnoteReference"/>
        </w:rPr>
        <w:footnoteRef/>
      </w:r>
      <w:r>
        <w:t xml:space="preserve"> </w:t>
      </w:r>
      <w:r>
        <w:t xml:space="preserve">BH00261</w:t>
      </w:r>
    </w:p>
  </w:footnote>
  <w:footnote w:id="447">
    <w:p>
      <w:pPr>
        <w:pStyle w:val="FootnoteText"/>
      </w:pPr>
      <w:r>
        <w:rPr>
          <w:rStyle w:val="FootnoteReference"/>
        </w:rPr>
        <w:footnoteRef/>
      </w:r>
      <w:r>
        <w:t xml:space="preserve"> </w:t>
      </w:r>
      <w:r>
        <w:t xml:space="preserve">BH00282</w:t>
      </w:r>
    </w:p>
  </w:footnote>
  <w:footnote w:id="449">
    <w:p>
      <w:pPr>
        <w:pStyle w:val="FootnoteText"/>
      </w:pPr>
      <w:r>
        <w:rPr>
          <w:rStyle w:val="FootnoteReference"/>
        </w:rPr>
        <w:footnoteRef/>
      </w:r>
      <w:r>
        <w:t xml:space="preserve"> </w:t>
      </w:r>
      <w:r>
        <w:t xml:space="preserve">Kitáb-i-Aqdas #33</w:t>
      </w:r>
    </w:p>
  </w:footnote>
  <w:footnote w:id="451">
    <w:p>
      <w:pPr>
        <w:pStyle w:val="FootnoteText"/>
      </w:pPr>
      <w:r>
        <w:rPr>
          <w:rStyle w:val="FootnoteReference"/>
        </w:rPr>
        <w:footnoteRef/>
      </w:r>
      <w:r>
        <w:t xml:space="preserve"> </w:t>
      </w:r>
      <w:r>
        <w:t xml:space="preserve">Kitáb-i-Aqdas #146</w:t>
      </w:r>
    </w:p>
  </w:footnote>
  <w:footnote w:id="452">
    <w:p>
      <w:pPr>
        <w:pStyle w:val="FootnoteText"/>
      </w:pPr>
      <w:r>
        <w:rPr>
          <w:rStyle w:val="FootnoteReference"/>
        </w:rPr>
        <w:footnoteRef/>
      </w:r>
      <w:r>
        <w:t xml:space="preserve"> </w:t>
      </w:r>
      <w:r>
        <w:t xml:space="preserve">BH00069 and BH11399</w:t>
      </w:r>
    </w:p>
  </w:footnote>
  <w:footnote w:id="453">
    <w:p>
      <w:pPr>
        <w:pStyle w:val="FootnoteText"/>
      </w:pPr>
      <w:r>
        <w:rPr>
          <w:rStyle w:val="FootnoteReference"/>
        </w:rPr>
        <w:footnoteRef/>
      </w:r>
      <w:r>
        <w:t xml:space="preserve"> </w:t>
      </w:r>
      <w:r>
        <w:t xml:space="preserve">Surah At-Tawbah (9:60)</w:t>
      </w:r>
    </w:p>
  </w:footnote>
  <w:footnote w:id="454">
    <w:p>
      <w:pPr>
        <w:pStyle w:val="FootnoteText"/>
      </w:pPr>
      <w:r>
        <w:rPr>
          <w:rStyle w:val="FootnoteReference"/>
        </w:rPr>
        <w:footnoteRef/>
      </w:r>
      <w:r>
        <w:t xml:space="preserve"> </w:t>
      </w:r>
      <w:r>
        <w:t xml:space="preserve">Surah al-Muzzammil (73:20)</w:t>
      </w:r>
    </w:p>
  </w:footnote>
  <w:footnote w:id="455">
    <w:p>
      <w:pPr>
        <w:pStyle w:val="FootnoteText"/>
      </w:pPr>
      <w:r>
        <w:rPr>
          <w:rStyle w:val="FootnoteReference"/>
        </w:rPr>
        <w:footnoteRef/>
      </w:r>
      <w:r>
        <w:t xml:space="preserve"> </w:t>
      </w:r>
      <w:r>
        <w:t xml:space="preserve">Surah al-Mu’minun (23:4)</w:t>
      </w:r>
    </w:p>
  </w:footnote>
  <w:footnote w:id="458">
    <w:p>
      <w:pPr>
        <w:pStyle w:val="FootnoteText"/>
      </w:pPr>
      <w:r>
        <w:rPr>
          <w:rStyle w:val="FootnoteReference"/>
        </w:rPr>
        <w:footnoteRef/>
      </w:r>
      <w:r>
        <w:t xml:space="preserve"> </w:t>
      </w:r>
      <w:r>
        <w:t xml:space="preserve">Persian Bayan Vahid 5, Gate 3</w:t>
      </w:r>
    </w:p>
  </w:footnote>
  <w:footnote w:id="459">
    <w:p>
      <w:pPr>
        <w:pStyle w:val="FootnoteText"/>
      </w:pPr>
      <w:r>
        <w:rPr>
          <w:rStyle w:val="FootnoteReference"/>
        </w:rPr>
        <w:footnoteRef/>
      </w:r>
      <w:r>
        <w:t xml:space="preserve"> </w:t>
      </w:r>
      <w:r>
        <w:t xml:space="preserve">The Book of Reckoning</w:t>
      </w:r>
    </w:p>
  </w:footnote>
  <w:footnote w:id="460">
    <w:p>
      <w:pPr>
        <w:pStyle w:val="FootnoteText"/>
      </w:pPr>
      <w:r>
        <w:rPr>
          <w:rStyle w:val="FootnoteReference"/>
        </w:rPr>
        <w:footnoteRef/>
      </w:r>
      <w:r>
        <w:t xml:space="preserve"> </w:t>
      </w:r>
      <w:r>
        <w:t xml:space="preserve">Kitáb-i-Aqdas #16</w:t>
      </w:r>
    </w:p>
  </w:footnote>
  <w:footnote w:id="461">
    <w:p>
      <w:pPr>
        <w:pStyle w:val="FootnoteText"/>
      </w:pPr>
      <w:r>
        <w:rPr>
          <w:rStyle w:val="FootnoteReference"/>
        </w:rPr>
        <w:footnoteRef/>
      </w:r>
      <w:r>
        <w:t xml:space="preserve"> </w:t>
      </w:r>
      <w:r>
        <w:t xml:space="preserve">Kitáb-i-Aqdas #111</w:t>
      </w:r>
    </w:p>
  </w:footnote>
  <w:footnote w:id="462">
    <w:p>
      <w:pPr>
        <w:pStyle w:val="FootnoteText"/>
      </w:pPr>
      <w:r>
        <w:rPr>
          <w:rStyle w:val="FootnoteReference"/>
        </w:rPr>
        <w:footnoteRef/>
      </w:r>
      <w:r>
        <w:t xml:space="preserve"> </w:t>
      </w:r>
      <w:r>
        <w:t xml:space="preserve">Persian Bayan Vahid 6, Gate 14</w:t>
      </w:r>
    </w:p>
  </w:footnote>
  <w:footnote w:id="463">
    <w:p>
      <w:pPr>
        <w:pStyle w:val="FootnoteText"/>
      </w:pPr>
      <w:r>
        <w:rPr>
          <w:rStyle w:val="FootnoteReference"/>
        </w:rPr>
        <w:footnoteRef/>
      </w:r>
      <w:r>
        <w:t xml:space="preserve"> </w:t>
      </w:r>
      <w:r>
        <w:t xml:space="preserve">BH03908</w:t>
      </w:r>
    </w:p>
  </w:footnote>
  <w:footnote w:id="464">
    <w:p>
      <w:pPr>
        <w:pStyle w:val="FootnoteText"/>
      </w:pPr>
      <w:r>
        <w:rPr>
          <w:rStyle w:val="FootnoteReference"/>
        </w:rPr>
        <w:footnoteRef/>
      </w:r>
      <w:r>
        <w:t xml:space="preserve"> </w:t>
      </w:r>
      <w:r>
        <w:t xml:space="preserve">BH00215</w:t>
      </w:r>
    </w:p>
  </w:footnote>
  <w:footnote w:id="466">
    <w:p>
      <w:pPr>
        <w:pStyle w:val="FootnoteText"/>
      </w:pPr>
      <w:r>
        <w:rPr>
          <w:rStyle w:val="FootnoteReference"/>
        </w:rPr>
        <w:footnoteRef/>
      </w:r>
      <w:r>
        <w:t xml:space="preserve"> </w:t>
      </w:r>
      <w:r>
        <w:t xml:space="preserve">BH02278</w:t>
      </w:r>
    </w:p>
  </w:footnote>
  <w:footnote w:id="467">
    <w:p>
      <w:pPr>
        <w:pStyle w:val="FootnoteText"/>
      </w:pPr>
      <w:r>
        <w:rPr>
          <w:rStyle w:val="FootnoteReference"/>
        </w:rPr>
        <w:footnoteRef/>
      </w:r>
      <w:r>
        <w:t xml:space="preserve"> </w:t>
      </w:r>
      <w:r>
        <w:t xml:space="preserve">Kitáb-i-Aqdas #75</w:t>
      </w:r>
    </w:p>
  </w:footnote>
  <w:footnote w:id="468">
    <w:p>
      <w:pPr>
        <w:pStyle w:val="FootnoteText"/>
      </w:pPr>
      <w:r>
        <w:rPr>
          <w:rStyle w:val="FootnoteReference"/>
        </w:rPr>
        <w:footnoteRef/>
      </w:r>
      <w:r>
        <w:t xml:space="preserve"> </w:t>
      </w:r>
      <w:r>
        <w:t xml:space="preserve">BH00856</w:t>
      </w:r>
    </w:p>
  </w:footnote>
  <w:footnote w:id="469">
    <w:p>
      <w:pPr>
        <w:pStyle w:val="FootnoteText"/>
      </w:pPr>
      <w:r>
        <w:rPr>
          <w:rStyle w:val="FootnoteReference"/>
        </w:rPr>
        <w:footnoteRef/>
      </w:r>
      <w:r>
        <w:t xml:space="preserve"> </w:t>
      </w:r>
      <w:r>
        <w:t xml:space="preserve">Kitáb-i-Aqdas #16</w:t>
      </w:r>
    </w:p>
  </w:footnote>
  <w:footnote w:id="470">
    <w:p>
      <w:pPr>
        <w:pStyle w:val="FootnoteText"/>
      </w:pPr>
      <w:r>
        <w:rPr>
          <w:rStyle w:val="FootnoteReference"/>
        </w:rPr>
        <w:footnoteRef/>
      </w:r>
      <w:r>
        <w:t xml:space="preserve"> </w:t>
      </w:r>
      <w:r>
        <w:t xml:space="preserve">BH01228</w:t>
      </w:r>
    </w:p>
  </w:footnote>
  <w:footnote w:id="472">
    <w:p>
      <w:pPr>
        <w:pStyle w:val="FootnoteText"/>
      </w:pPr>
      <w:r>
        <w:rPr>
          <w:rStyle w:val="FootnoteReference"/>
        </w:rPr>
        <w:footnoteRef/>
      </w:r>
      <w:r>
        <w:t xml:space="preserve"> </w:t>
      </w:r>
      <w:r>
        <w:t xml:space="preserve">Kitáb-i-Aqdas #16</w:t>
      </w:r>
    </w:p>
  </w:footnote>
  <w:footnote w:id="473">
    <w:p>
      <w:pPr>
        <w:pStyle w:val="FootnoteText"/>
      </w:pPr>
      <w:r>
        <w:rPr>
          <w:rStyle w:val="FootnoteReference"/>
        </w:rPr>
        <w:footnoteRef/>
      </w:r>
      <w:r>
        <w:t xml:space="preserve"> </w:t>
      </w:r>
      <w:r>
        <w:t xml:space="preserve">Arabic Bayan Vahid 8 Gate 18</w:t>
      </w:r>
    </w:p>
  </w:footnote>
  <w:footnote w:id="474">
    <w:p>
      <w:pPr>
        <w:pStyle w:val="FootnoteText"/>
      </w:pPr>
      <w:r>
        <w:rPr>
          <w:rStyle w:val="FootnoteReference"/>
        </w:rPr>
        <w:footnoteRef/>
      </w:r>
      <w:r>
        <w:t xml:space="preserve"> </w:t>
      </w:r>
      <w:r>
        <w:t xml:space="preserve">BH08745</w:t>
      </w:r>
    </w:p>
  </w:footnote>
  <w:footnote w:id="476">
    <w:p>
      <w:pPr>
        <w:pStyle w:val="FootnoteText"/>
      </w:pPr>
      <w:r>
        <w:rPr>
          <w:rStyle w:val="FootnoteReference"/>
        </w:rPr>
        <w:footnoteRef/>
      </w:r>
      <w:r>
        <w:t xml:space="preserve"> </w:t>
      </w:r>
      <w:r>
        <w:t xml:space="preserve">Kitáb-i-Aqdas #57</w:t>
      </w:r>
    </w:p>
  </w:footnote>
  <w:footnote w:id="491">
    <w:p>
      <w:pPr>
        <w:pStyle w:val="FootnoteText"/>
      </w:pPr>
      <w:r>
        <w:rPr>
          <w:rStyle w:val="FootnoteReference"/>
        </w:rPr>
        <w:footnoteRef/>
      </w:r>
      <w:r>
        <w:t xml:space="preserve"> </w:t>
      </w:r>
      <w:r>
        <w:t xml:space="preserve">The Persian Bayan Vahid 3 Gate 10</w:t>
      </w:r>
    </w:p>
  </w:footnote>
  <w:footnote w:id="493">
    <w:p>
      <w:pPr>
        <w:pStyle w:val="FootnoteText"/>
      </w:pPr>
      <w:r>
        <w:rPr>
          <w:rStyle w:val="FootnoteReference"/>
        </w:rPr>
        <w:footnoteRef/>
      </w:r>
      <w:r>
        <w:t xml:space="preserve"> </w:t>
      </w:r>
      <w:r>
        <w:t xml:space="preserve">BH00103</w:t>
      </w:r>
    </w:p>
  </w:footnote>
  <w:footnote w:id="509">
    <w:p>
      <w:pPr>
        <w:pStyle w:val="FootnoteText"/>
      </w:pPr>
      <w:r>
        <w:rPr>
          <w:rStyle w:val="FootnoteReference"/>
        </w:rPr>
        <w:footnoteRef/>
      </w:r>
      <w:r>
        <w:t xml:space="preserve"> </w:t>
      </w:r>
      <w:r>
        <w:t xml:space="preserve">Kitáb-i-Aqdas #29</w:t>
      </w:r>
    </w:p>
  </w:footnote>
  <w:footnote w:id="510">
    <w:p>
      <w:pPr>
        <w:pStyle w:val="FootnoteText"/>
      </w:pPr>
      <w:r>
        <w:rPr>
          <w:rStyle w:val="FootnoteReference"/>
        </w:rPr>
        <w:footnoteRef/>
      </w:r>
      <w:r>
        <w:t xml:space="preserve"> </w:t>
      </w:r>
      <w:r>
        <w:t xml:space="preserve">Kitáb-i-Aqdas #2</w:t>
      </w:r>
    </w:p>
  </w:footnote>
  <w:footnote w:id="516">
    <w:p>
      <w:pPr>
        <w:pStyle w:val="FootnoteText"/>
      </w:pPr>
      <w:r>
        <w:rPr>
          <w:rStyle w:val="FootnoteReference"/>
        </w:rPr>
        <w:footnoteRef/>
      </w:r>
      <w:r>
        <w:t xml:space="preserve"> </w:t>
      </w:r>
      <w:r>
        <w:t xml:space="preserve">Kitáb-i-Aqdas #48</w:t>
      </w:r>
    </w:p>
  </w:footnote>
  <w:footnote w:id="517">
    <w:p>
      <w:pPr>
        <w:pStyle w:val="FootnoteText"/>
      </w:pPr>
      <w:r>
        <w:rPr>
          <w:rStyle w:val="FootnoteReference"/>
        </w:rPr>
        <w:footnoteRef/>
      </w:r>
      <w:r>
        <w:t xml:space="preserve"> </w:t>
      </w:r>
      <w:r>
        <w:t xml:space="preserve">Kitáb-i-Aqdas #65</w:t>
      </w:r>
    </w:p>
  </w:footnote>
  <w:footnote w:id="519">
    <w:p>
      <w:pPr>
        <w:pStyle w:val="FootnoteText"/>
      </w:pPr>
      <w:r>
        <w:rPr>
          <w:rStyle w:val="FootnoteReference"/>
        </w:rPr>
        <w:footnoteRef/>
      </w:r>
      <w:r>
        <w:t xml:space="preserve"> </w:t>
      </w:r>
      <w:r>
        <w:t xml:space="preserve">Kitáb-i-Aqdas #71</w:t>
      </w:r>
    </w:p>
  </w:footnote>
  <w:footnote w:id="520">
    <w:p>
      <w:pPr>
        <w:pStyle w:val="FootnoteText"/>
      </w:pPr>
      <w:r>
        <w:rPr>
          <w:rStyle w:val="FootnoteReference"/>
        </w:rPr>
        <w:footnoteRef/>
      </w:r>
      <w:r>
        <w:t xml:space="preserve"> </w:t>
      </w:r>
      <w:r>
        <w:t xml:space="preserve">Kitáb-i-Aqdas #64</w:t>
      </w:r>
    </w:p>
  </w:footnote>
  <w:footnote w:id="521">
    <w:p>
      <w:pPr>
        <w:pStyle w:val="FootnoteText"/>
      </w:pPr>
      <w:r>
        <w:rPr>
          <w:rStyle w:val="FootnoteReference"/>
        </w:rPr>
        <w:footnoteRef/>
      </w:r>
      <w:r>
        <w:t xml:space="preserve"> </w:t>
      </w:r>
      <w:r>
        <w:t xml:space="preserve">Kitáb-i-Aqdas #10 &amp; #27</w:t>
      </w:r>
    </w:p>
  </w:footnote>
  <w:footnote w:id="523">
    <w:p>
      <w:pPr>
        <w:pStyle w:val="FootnoteText"/>
      </w:pPr>
      <w:r>
        <w:rPr>
          <w:rStyle w:val="FootnoteReference"/>
        </w:rPr>
        <w:footnoteRef/>
      </w:r>
      <w:r>
        <w:t xml:space="preserve"> </w:t>
      </w:r>
      <w:r>
        <w:t xml:space="preserve">Kitáb-i-Aqdas #74</w:t>
      </w:r>
    </w:p>
  </w:footnote>
  <w:footnote w:id="525">
    <w:p>
      <w:pPr>
        <w:pStyle w:val="FootnoteText"/>
      </w:pPr>
      <w:r>
        <w:rPr>
          <w:rStyle w:val="FootnoteReference"/>
        </w:rPr>
        <w:footnoteRef/>
      </w:r>
      <w:r>
        <w:t xml:space="preserve"> </w:t>
      </w:r>
      <w:r>
        <w:t xml:space="preserve">Kitáb-i-Aqdas #107</w:t>
      </w:r>
    </w:p>
  </w:footnote>
  <w:footnote w:id="527">
    <w:p>
      <w:pPr>
        <w:pStyle w:val="FootnoteText"/>
      </w:pPr>
      <w:r>
        <w:rPr>
          <w:rStyle w:val="FootnoteReference"/>
        </w:rPr>
        <w:footnoteRef/>
      </w:r>
      <w:r>
        <w:t xml:space="preserve"> </w:t>
      </w:r>
      <w:r>
        <w:t xml:space="preserve">Kitáb-i-Aqdas #65</w:t>
      </w:r>
    </w:p>
  </w:footnote>
  <w:footnote w:id="529">
    <w:p>
      <w:pPr>
        <w:pStyle w:val="FootnoteText"/>
      </w:pPr>
      <w:r>
        <w:rPr>
          <w:rStyle w:val="FootnoteReference"/>
        </w:rPr>
        <w:footnoteRef/>
      </w:r>
      <w:r>
        <w:t xml:space="preserve"> </w:t>
      </w:r>
      <w:r>
        <w:t xml:space="preserve">Kitáb-i-Aqdas #148</w:t>
      </w:r>
    </w:p>
  </w:footnote>
  <w:footnote w:id="530">
    <w:p>
      <w:pPr>
        <w:pStyle w:val="FootnoteText"/>
      </w:pPr>
      <w:r>
        <w:rPr>
          <w:rStyle w:val="FootnoteReference"/>
        </w:rPr>
        <w:footnoteRef/>
      </w:r>
      <w:r>
        <w:t xml:space="preserve"> </w:t>
      </w:r>
      <w:r>
        <w:t xml:space="preserve">Kitáb-i-Aqdas #19</w:t>
      </w:r>
    </w:p>
  </w:footnote>
  <w:footnote w:id="535">
    <w:p>
      <w:pPr>
        <w:pStyle w:val="FootnoteText"/>
      </w:pPr>
      <w:r>
        <w:rPr>
          <w:rStyle w:val="FootnoteReference"/>
        </w:rPr>
        <w:footnoteRef/>
      </w:r>
      <w:r>
        <w:t xml:space="preserve"> </w:t>
      </w:r>
      <w:r>
        <w:t xml:space="preserve">Kitáb-i-Aqdas #119</w:t>
      </w:r>
    </w:p>
  </w:footnote>
  <w:footnote w:id="536">
    <w:p>
      <w:pPr>
        <w:pStyle w:val="FootnoteText"/>
      </w:pPr>
      <w:r>
        <w:rPr>
          <w:rStyle w:val="FootnoteReference"/>
        </w:rPr>
        <w:footnoteRef/>
      </w:r>
      <w:r>
        <w:t xml:space="preserve"> </w:t>
      </w:r>
      <w:r>
        <w:t xml:space="preserve">Kitáb-i-Aqdas #155 &amp; #190</w:t>
      </w:r>
    </w:p>
  </w:footnote>
  <w:footnote w:id="538">
    <w:p>
      <w:pPr>
        <w:pStyle w:val="FootnoteText"/>
      </w:pPr>
      <w:r>
        <w:rPr>
          <w:rStyle w:val="FootnoteReference"/>
        </w:rPr>
        <w:footnoteRef/>
      </w:r>
      <w:r>
        <w:t xml:space="preserve"> </w:t>
      </w:r>
      <w:r>
        <w:t xml:space="preserve">Kitáb-i-Aqdas #70</w:t>
      </w:r>
    </w:p>
  </w:footnote>
  <w:footnote w:id="542">
    <w:p>
      <w:pPr>
        <w:pStyle w:val="FootnoteText"/>
      </w:pPr>
      <w:r>
        <w:rPr>
          <w:rStyle w:val="FootnoteReference"/>
        </w:rPr>
        <w:footnoteRef/>
      </w:r>
      <w:r>
        <w:t xml:space="preserve"> </w:t>
      </w:r>
      <w:r>
        <w:t xml:space="preserve">Kitáb-i-Aqdas #113</w:t>
      </w:r>
    </w:p>
  </w:footnote>
  <w:footnote w:id="544">
    <w:p>
      <w:pPr>
        <w:pStyle w:val="FootnoteText"/>
      </w:pPr>
      <w:r>
        <w:rPr>
          <w:rStyle w:val="FootnoteReference"/>
        </w:rPr>
        <w:footnoteRef/>
      </w:r>
      <w:r>
        <w:t xml:space="preserve"> </w:t>
      </w:r>
      <w:r>
        <w:t xml:space="preserve">Kitáb-i-Aqdas #20 and #109</w:t>
      </w:r>
    </w:p>
  </w:footnote>
  <w:footnote w:id="547">
    <w:p>
      <w:pPr>
        <w:pStyle w:val="FootnoteText"/>
      </w:pPr>
      <w:r>
        <w:rPr>
          <w:rStyle w:val="FootnoteReference"/>
        </w:rPr>
        <w:footnoteRef/>
      </w:r>
      <w:r>
        <w:t xml:space="preserve"> </w:t>
      </w:r>
      <w:r>
        <w:t xml:space="preserve">Kitáb-i-Aqdas #48</w:t>
      </w:r>
    </w:p>
  </w:footnote>
  <w:footnote w:id="548">
    <w:p>
      <w:pPr>
        <w:pStyle w:val="FootnoteText"/>
      </w:pPr>
      <w:r>
        <w:rPr>
          <w:rStyle w:val="FootnoteReference"/>
        </w:rPr>
        <w:footnoteRef/>
      </w:r>
      <w:r>
        <w:t xml:space="preserve"> </w:t>
      </w:r>
      <w:r>
        <w:t xml:space="preserve">Kitáb-i-Aqdas #118</w:t>
      </w:r>
    </w:p>
  </w:footnote>
  <w:footnote w:id="549">
    <w:p>
      <w:pPr>
        <w:pStyle w:val="FootnoteText"/>
      </w:pPr>
      <w:r>
        <w:rPr>
          <w:rStyle w:val="FootnoteReference"/>
        </w:rPr>
        <w:footnoteRef/>
      </w:r>
      <w:r>
        <w:t xml:space="preserve"> </w:t>
      </w:r>
      <w:r>
        <w:t xml:space="preserve">Kitáb-i-Aqdas #77</w:t>
      </w:r>
    </w:p>
  </w:footnote>
  <w:footnote w:id="550">
    <w:p>
      <w:pPr>
        <w:pStyle w:val="FootnoteText"/>
      </w:pPr>
      <w:r>
        <w:rPr>
          <w:rStyle w:val="FootnoteReference"/>
        </w:rPr>
        <w:footnoteRef/>
      </w:r>
      <w:r>
        <w:t xml:space="preserve"> </w:t>
      </w:r>
      <w:r>
        <w:t xml:space="preserve">Kitáb-i-Aqdas #33</w:t>
      </w:r>
    </w:p>
  </w:footnote>
  <w:footnote w:id="551">
    <w:p>
      <w:pPr>
        <w:pStyle w:val="FootnoteText"/>
      </w:pPr>
      <w:r>
        <w:rPr>
          <w:rStyle w:val="FootnoteReference"/>
        </w:rPr>
        <w:footnoteRef/>
      </w:r>
      <w:r>
        <w:t xml:space="preserve"> </w:t>
      </w:r>
      <w:r>
        <w:t xml:space="preserve">Kitáb-i-Aqdas #150</w:t>
      </w:r>
    </w:p>
  </w:footnote>
  <w:footnote w:id="556">
    <w:p>
      <w:pPr>
        <w:pStyle w:val="FootnoteText"/>
      </w:pPr>
      <w:r>
        <w:rPr>
          <w:rStyle w:val="FootnoteReference"/>
        </w:rPr>
        <w:footnoteRef/>
      </w:r>
      <w:r>
        <w:t xml:space="preserve"> </w:t>
      </w:r>
      <w:r>
        <w:rPr>
          <w:iCs/>
          <w:i/>
          <w:bCs/>
          <w:b/>
        </w:rPr>
        <w:t xml:space="preserve">Kitáb-i-Aqdas #95</w:t>
      </w:r>
    </w:p>
  </w:footnote>
  <w:footnote w:id="558">
    <w:p>
      <w:pPr>
        <w:pStyle w:val="FootnoteText"/>
      </w:pPr>
      <w:r>
        <w:rPr>
          <w:rStyle w:val="FootnoteReference"/>
        </w:rPr>
        <w:footnoteRef/>
      </w:r>
      <w:r>
        <w:t xml:space="preserve"> </w:t>
      </w:r>
      <w:r>
        <w:t xml:space="preserve">Kitáb-i-Aqdas #10</w:t>
      </w:r>
    </w:p>
  </w:footnote>
  <w:footnote w:id="559">
    <w:p>
      <w:pPr>
        <w:pStyle w:val="FootnoteText"/>
      </w:pPr>
      <w:r>
        <w:rPr>
          <w:rStyle w:val="FootnoteReference"/>
        </w:rPr>
        <w:footnoteRef/>
      </w:r>
      <w:r>
        <w:t xml:space="preserve"> </w:t>
      </w:r>
      <w:r>
        <w:t xml:space="preserve">Kitáb-i-Aqdas #27</w:t>
      </w:r>
    </w:p>
  </w:footnote>
  <w:footnote w:id="561">
    <w:p>
      <w:pPr>
        <w:pStyle w:val="FootnoteText"/>
      </w:pPr>
      <w:r>
        <w:rPr>
          <w:rStyle w:val="FootnoteReference"/>
        </w:rPr>
        <w:footnoteRef/>
      </w:r>
      <w:r>
        <w:t xml:space="preserve"> </w:t>
      </w:r>
      <w:r>
        <w:t xml:space="preserve">The Persian Bayan Vahid 8, Gate 18</w:t>
      </w:r>
    </w:p>
  </w:footnote>
  <w:footnote w:id="562">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63">
    <w:p>
      <w:pPr>
        <w:pStyle w:val="FootnoteText"/>
      </w:pPr>
      <w:r>
        <w:rPr>
          <w:rStyle w:val="FootnoteReference"/>
        </w:rPr>
        <w:footnoteRef/>
      </w:r>
      <w:r>
        <w:t xml:space="preserve"> </w:t>
      </w:r>
      <w:r>
        <w:t xml:space="preserve">The Book of the Five Modes (BB00005)</w:t>
      </w:r>
    </w:p>
  </w:footnote>
  <w:footnote w:id="565">
    <w:p>
      <w:pPr>
        <w:pStyle w:val="FootnoteText"/>
      </w:pPr>
      <w:r>
        <w:rPr>
          <w:rStyle w:val="FootnoteReference"/>
        </w:rPr>
        <w:footnoteRef/>
      </w:r>
      <w:r>
        <w:t xml:space="preserve"> </w:t>
      </w:r>
      <w:r>
        <w:t xml:space="preserve">BB00083</w:t>
      </w:r>
    </w:p>
  </w:footnote>
  <w:footnote w:id="567">
    <w:p>
      <w:pPr>
        <w:pStyle w:val="FootnoteText"/>
      </w:pPr>
      <w:r>
        <w:rPr>
          <w:rStyle w:val="FootnoteReference"/>
        </w:rPr>
        <w:footnoteRef/>
      </w:r>
      <w:r>
        <w:t xml:space="preserve"> </w:t>
      </w:r>
      <w:r>
        <w:t xml:space="preserve">The Arabic Bayan Vahid 10, Gate 14</w:t>
      </w:r>
    </w:p>
  </w:footnote>
  <w:footnote w:id="568">
    <w:p>
      <w:pPr>
        <w:pStyle w:val="FootnoteText"/>
      </w:pPr>
      <w:r>
        <w:rPr>
          <w:rStyle w:val="FootnoteReference"/>
        </w:rPr>
        <w:footnoteRef/>
      </w:r>
      <w:r>
        <w:t xml:space="preserve"> </w:t>
      </w:r>
      <w:r>
        <w:t xml:space="preserve">The Book of Names</w:t>
      </w:r>
    </w:p>
  </w:footnote>
  <w:footnote w:id="569">
    <w:p>
      <w:pPr>
        <w:pStyle w:val="FootnoteText"/>
      </w:pPr>
      <w:r>
        <w:rPr>
          <w:rStyle w:val="FootnoteReference"/>
        </w:rPr>
        <w:footnoteRef/>
      </w:r>
      <w:r>
        <w:t xml:space="preserve"> </w:t>
      </w:r>
      <w:r>
        <w:t xml:space="preserve">The Persian Bayan Vahid 5, Gate 4</w:t>
      </w:r>
    </w:p>
  </w:footnote>
  <w:footnote w:id="571">
    <w:p>
      <w:pPr>
        <w:pStyle w:val="FootnoteText"/>
      </w:pPr>
      <w:r>
        <w:rPr>
          <w:rStyle w:val="FootnoteReference"/>
        </w:rPr>
        <w:footnoteRef/>
      </w:r>
      <w:r>
        <w:t xml:space="preserve"> </w:t>
      </w:r>
      <w:r>
        <w:t xml:space="preserve">BB00083</w:t>
      </w:r>
    </w:p>
  </w:footnote>
  <w:footnote w:id="575">
    <w:p>
      <w:pPr>
        <w:pStyle w:val="FootnoteText"/>
      </w:pPr>
      <w:r>
        <w:rPr>
          <w:rStyle w:val="FootnoteReference"/>
        </w:rPr>
        <w:footnoteRef/>
      </w:r>
      <w:r>
        <w:t xml:space="preserve"> </w:t>
      </w:r>
      <w:r>
        <w:t xml:space="preserve">BH00601</w:t>
      </w:r>
    </w:p>
  </w:footnote>
  <w:footnote w:id="582">
    <w:p>
      <w:pPr>
        <w:pStyle w:val="FootnoteText"/>
      </w:pPr>
      <w:r>
        <w:rPr>
          <w:rStyle w:val="FootnoteReference"/>
        </w:rPr>
        <w:footnoteRef/>
      </w:r>
      <w:r>
        <w:t xml:space="preserve"> </w:t>
      </w:r>
      <w:r>
        <w:rPr>
          <w:iCs/>
          <w:i/>
          <w:bCs/>
          <w:b/>
        </w:rPr>
        <w:t xml:space="preserve">Lawḥ-i-Siráj</w:t>
      </w:r>
    </w:p>
  </w:footnote>
  <w:footnote w:id="583">
    <w:p>
      <w:pPr>
        <w:pStyle w:val="FootnoteText"/>
      </w:pPr>
      <w:r>
        <w:rPr>
          <w:rStyle w:val="FootnoteReference"/>
        </w:rPr>
        <w:footnoteRef/>
      </w:r>
      <w:r>
        <w:t xml:space="preserve"> </w:t>
      </w:r>
      <w:r>
        <w:rPr>
          <w:iCs/>
          <w:i/>
          <w:bCs/>
          <w:b/>
        </w:rPr>
        <w:t xml:space="preserve">Kitáb-i-Badí‘</w:t>
      </w:r>
    </w:p>
  </w:footnote>
  <w:footnote w:id="584">
    <w:p>
      <w:pPr>
        <w:pStyle w:val="FootnoteText"/>
      </w:pPr>
      <w:r>
        <w:rPr>
          <w:rStyle w:val="FootnoteReference"/>
        </w:rPr>
        <w:footnoteRef/>
      </w:r>
      <w:r>
        <w:t xml:space="preserve"> </w:t>
      </w:r>
      <w:r>
        <w:t xml:space="preserve">BH00302</w:t>
      </w:r>
    </w:p>
  </w:footnote>
  <w:footnote w:id="585">
    <w:p>
      <w:pPr>
        <w:pStyle w:val="FootnoteText"/>
      </w:pPr>
      <w:r>
        <w:rPr>
          <w:rStyle w:val="FootnoteReference"/>
        </w:rPr>
        <w:footnoteRef/>
      </w:r>
      <w:r>
        <w:t xml:space="preserve"> </w:t>
      </w:r>
      <w:r>
        <w:t xml:space="preserve">Words of Paradise</w:t>
      </w:r>
    </w:p>
  </w:footnote>
  <w:footnote w:id="587">
    <w:p>
      <w:pPr>
        <w:pStyle w:val="FootnoteText"/>
      </w:pPr>
      <w:r>
        <w:rPr>
          <w:rStyle w:val="FootnoteReference"/>
        </w:rPr>
        <w:footnoteRef/>
      </w:r>
      <w:r>
        <w:t xml:space="preserve"> </w:t>
      </w:r>
      <w:r>
        <w:rPr>
          <w:iCs/>
          <w:i/>
          <w:bCs/>
          <w:b/>
        </w:rPr>
        <w:t xml:space="preserve">Kitáb-i-Badí‘</w:t>
      </w:r>
    </w:p>
  </w:footnote>
  <w:footnote w:id="588">
    <w:p>
      <w:pPr>
        <w:pStyle w:val="FootnoteText"/>
      </w:pPr>
      <w:r>
        <w:rPr>
          <w:rStyle w:val="FootnoteReference"/>
        </w:rPr>
        <w:footnoteRef/>
      </w:r>
      <w:r>
        <w:t xml:space="preserve"> </w:t>
      </w:r>
      <w:r>
        <w:t xml:space="preserve">BH00035</w:t>
      </w:r>
    </w:p>
  </w:footnote>
  <w:footnote w:id="589">
    <w:p>
      <w:pPr>
        <w:pStyle w:val="FootnoteText"/>
      </w:pPr>
      <w:r>
        <w:rPr>
          <w:rStyle w:val="FootnoteReference"/>
        </w:rPr>
        <w:footnoteRef/>
      </w:r>
      <w:r>
        <w:t xml:space="preserve"> </w:t>
      </w:r>
      <w:r>
        <w:t xml:space="preserve">BH00123</w:t>
      </w:r>
    </w:p>
  </w:footnote>
  <w:footnote w:id="594">
    <w:p>
      <w:pPr>
        <w:pStyle w:val="FootnoteText"/>
      </w:pPr>
      <w:r>
        <w:rPr>
          <w:rStyle w:val="FootnoteReference"/>
        </w:rPr>
        <w:footnoteRef/>
      </w:r>
      <w:r>
        <w:t xml:space="preserve"> </w:t>
      </w:r>
      <w:r>
        <w:t xml:space="preserve">Kitáb-i-Aqdas #38</w:t>
      </w:r>
    </w:p>
  </w:footnote>
  <w:footnote w:id="595">
    <w:p>
      <w:pPr>
        <w:pStyle w:val="FootnoteText"/>
      </w:pPr>
      <w:r>
        <w:rPr>
          <w:rStyle w:val="FootnoteReference"/>
        </w:rPr>
        <w:footnoteRef/>
      </w:r>
      <w:r>
        <w:t xml:space="preserve"> </w:t>
      </w:r>
      <w:r>
        <w:t xml:space="preserve">Kitáb-i-Aqdas #168</w:t>
      </w:r>
    </w:p>
  </w:footnote>
  <w:footnote w:id="597">
    <w:p>
      <w:pPr>
        <w:pStyle w:val="FootnoteText"/>
      </w:pPr>
      <w:r>
        <w:rPr>
          <w:rStyle w:val="FootnoteReference"/>
        </w:rPr>
        <w:footnoteRef/>
      </w:r>
      <w:r>
        <w:t xml:space="preserve"> </w:t>
      </w:r>
      <w:r>
        <w:t xml:space="preserve">Kitáb-i-Aqdas #75</w:t>
      </w:r>
    </w:p>
  </w:footnote>
  <w:footnote w:id="599">
    <w:p>
      <w:pPr>
        <w:pStyle w:val="FootnoteText"/>
      </w:pPr>
      <w:r>
        <w:rPr>
          <w:rStyle w:val="FootnoteReference"/>
        </w:rPr>
        <w:footnoteRef/>
      </w:r>
      <w:r>
        <w:t xml:space="preserve"> </w:t>
      </w:r>
      <w:r>
        <w:t xml:space="preserve">Kitáb-i-Aqdas #144</w:t>
      </w:r>
    </w:p>
  </w:footnote>
  <w:footnote w:id="600">
    <w:p>
      <w:pPr>
        <w:pStyle w:val="FootnoteText"/>
      </w:pPr>
      <w:r>
        <w:rPr>
          <w:rStyle w:val="FootnoteReference"/>
        </w:rPr>
        <w:footnoteRef/>
      </w:r>
      <w:r>
        <w:t xml:space="preserve"> </w:t>
      </w:r>
      <w:r>
        <w:t xml:space="preserve">Kitáb-i-Aqdas #75</w:t>
      </w:r>
    </w:p>
  </w:footnote>
  <w:footnote w:id="601">
    <w:p>
      <w:pPr>
        <w:pStyle w:val="FootnoteText"/>
      </w:pPr>
      <w:r>
        <w:rPr>
          <w:rStyle w:val="FootnoteReference"/>
        </w:rPr>
        <w:footnoteRef/>
      </w:r>
      <w:r>
        <w:t xml:space="preserve"> </w:t>
      </w:r>
      <w:r>
        <w:t xml:space="preserve">Kitáb-i-Aqdas #38</w:t>
      </w:r>
    </w:p>
  </w:footnote>
  <w:footnote w:id="602">
    <w:p>
      <w:pPr>
        <w:pStyle w:val="FootnoteText"/>
      </w:pPr>
      <w:r>
        <w:rPr>
          <w:rStyle w:val="FootnoteReference"/>
        </w:rPr>
        <w:footnoteRef/>
      </w:r>
      <w:r>
        <w:t xml:space="preserve"> </w:t>
      </w:r>
      <w:r>
        <w:t xml:space="preserve">Kitáb-i-Aqdas #118</w:t>
      </w:r>
    </w:p>
  </w:footnote>
  <w:footnote w:id="603">
    <w:p>
      <w:pPr>
        <w:pStyle w:val="FootnoteText"/>
      </w:pPr>
      <w:r>
        <w:rPr>
          <w:rStyle w:val="FootnoteReference"/>
        </w:rPr>
        <w:footnoteRef/>
      </w:r>
      <w:r>
        <w:t xml:space="preserve"> </w:t>
      </w:r>
      <w:r>
        <w:t xml:space="preserve">Kitáb-i-Aqdas #74</w:t>
      </w:r>
    </w:p>
  </w:footnote>
  <w:footnote w:id="605">
    <w:p>
      <w:pPr>
        <w:pStyle w:val="FootnoteText"/>
      </w:pPr>
      <w:r>
        <w:rPr>
          <w:rStyle w:val="FootnoteReference"/>
        </w:rPr>
        <w:footnoteRef/>
      </w:r>
      <w:r>
        <w:t xml:space="preserve"> </w:t>
      </w:r>
      <w:r>
        <w:t xml:space="preserve">Kitáb-i-Aqdas #132</w:t>
      </w:r>
    </w:p>
  </w:footnote>
  <w:footnote w:id="606">
    <w:p>
      <w:pPr>
        <w:pStyle w:val="FootnoteText"/>
      </w:pPr>
      <w:r>
        <w:rPr>
          <w:rStyle w:val="FootnoteReference"/>
        </w:rPr>
        <w:footnoteRef/>
      </w:r>
      <w:r>
        <w:t xml:space="preserve"> </w:t>
      </w:r>
      <w:r>
        <w:t xml:space="preserve">Kitáb-i-Aqdas #35</w:t>
      </w:r>
    </w:p>
  </w:footnote>
  <w:footnote w:id="609">
    <w:p>
      <w:pPr>
        <w:pStyle w:val="FootnoteText"/>
      </w:pPr>
      <w:r>
        <w:rPr>
          <w:rStyle w:val="FootnoteReference"/>
        </w:rPr>
        <w:footnoteRef/>
      </w:r>
      <w:r>
        <w:t xml:space="preserve"> </w:t>
      </w:r>
      <w:r>
        <w:t xml:space="preserve">Kitáb-i-Aqdas #177</w:t>
      </w:r>
    </w:p>
  </w:footnote>
  <w:footnote w:id="610">
    <w:p>
      <w:pPr>
        <w:pStyle w:val="FootnoteText"/>
      </w:pPr>
      <w:r>
        <w:rPr>
          <w:rStyle w:val="FootnoteReference"/>
        </w:rPr>
        <w:footnoteRef/>
      </w:r>
      <w:r>
        <w:t xml:space="preserve"> </w:t>
      </w:r>
      <w:r>
        <w:t xml:space="preserve">Kitáb-i-Aqdas #132</w:t>
      </w:r>
    </w:p>
  </w:footnote>
  <w:footnote w:id="611">
    <w:p>
      <w:pPr>
        <w:pStyle w:val="FootnoteText"/>
      </w:pPr>
      <w:r>
        <w:rPr>
          <w:rStyle w:val="FootnoteReference"/>
        </w:rPr>
        <w:footnoteRef/>
      </w:r>
      <w:r>
        <w:t xml:space="preserve"> </w:t>
      </w:r>
      <w:r>
        <w:t xml:space="preserve">Kitáb-i-Aqdas #117</w:t>
      </w:r>
    </w:p>
  </w:footnote>
  <w:footnote w:id="612">
    <w:p>
      <w:pPr>
        <w:pStyle w:val="FootnoteText"/>
      </w:pPr>
      <w:r>
        <w:rPr>
          <w:rStyle w:val="FootnoteReference"/>
        </w:rPr>
        <w:footnoteRef/>
      </w:r>
      <w:r>
        <w:t xml:space="preserve"> </w:t>
      </w:r>
      <w:r>
        <w:t xml:space="preserve">Kitáb-i-Aqdas #160</w:t>
      </w:r>
    </w:p>
  </w:footnote>
  <w:footnote w:id="613">
    <w:p>
      <w:pPr>
        <w:pStyle w:val="FootnoteText"/>
      </w:pPr>
      <w:r>
        <w:rPr>
          <w:rStyle w:val="FootnoteReference"/>
        </w:rPr>
        <w:footnoteRef/>
      </w:r>
      <w:r>
        <w:t xml:space="preserve"> </w:t>
      </w:r>
      <w:r>
        <w:t xml:space="preserve">Kitáb-i-Aqdas #31</w:t>
      </w:r>
    </w:p>
  </w:footnote>
  <w:footnote w:id="614">
    <w:p>
      <w:pPr>
        <w:pStyle w:val="FootnoteText"/>
      </w:pPr>
      <w:r>
        <w:rPr>
          <w:rStyle w:val="FootnoteReference"/>
        </w:rPr>
        <w:footnoteRef/>
      </w:r>
      <w:r>
        <w:t xml:space="preserve"> </w:t>
      </w:r>
      <w:r>
        <w:t xml:space="preserve">Kitáb-i-Aqdas #151</w:t>
      </w:r>
    </w:p>
  </w:footnote>
  <w:footnote w:id="615">
    <w:p>
      <w:pPr>
        <w:pStyle w:val="FootnoteText"/>
      </w:pPr>
      <w:r>
        <w:rPr>
          <w:rStyle w:val="FootnoteReference"/>
        </w:rPr>
        <w:footnoteRef/>
      </w:r>
      <w:r>
        <w:t xml:space="preserve"> </w:t>
      </w:r>
      <w:r>
        <w:t xml:space="preserve">Kitáb-i-Aqdas #30</w:t>
      </w:r>
    </w:p>
  </w:footnote>
  <w:footnote w:id="617">
    <w:p>
      <w:pPr>
        <w:pStyle w:val="FootnoteText"/>
      </w:pPr>
      <w:r>
        <w:rPr>
          <w:rStyle w:val="FootnoteReference"/>
        </w:rPr>
        <w:footnoteRef/>
      </w:r>
      <w:r>
        <w:t xml:space="preserve"> </w:t>
      </w:r>
      <w:r>
        <w:t xml:space="preserve">Kitáb-i-Aqdas #30</w:t>
      </w:r>
    </w:p>
  </w:footnote>
  <w:footnote w:id="618">
    <w:p>
      <w:pPr>
        <w:pStyle w:val="FootnoteText"/>
      </w:pPr>
      <w:r>
        <w:rPr>
          <w:rStyle w:val="FootnoteReference"/>
        </w:rPr>
        <w:footnoteRef/>
      </w:r>
      <w:r>
        <w:t xml:space="preserve"> </w:t>
      </w:r>
      <w:r>
        <w:t xml:space="preserve">Lawḥ-i-Bi shárát 13</w:t>
      </w:r>
    </w:p>
  </w:footnote>
  <w:footnote w:id="620">
    <w:p>
      <w:pPr>
        <w:pStyle w:val="FootnoteText"/>
      </w:pPr>
      <w:r>
        <w:rPr>
          <w:rStyle w:val="FootnoteReference"/>
        </w:rPr>
        <w:footnoteRef/>
      </w:r>
      <w:r>
        <w:t xml:space="preserve"> </w:t>
      </w:r>
      <w:r>
        <w:t xml:space="preserve">Kitáb-i-Aqdas #73</w:t>
      </w:r>
    </w:p>
  </w:footnote>
  <w:footnote w:id="621">
    <w:p>
      <w:pPr>
        <w:pStyle w:val="FootnoteText"/>
      </w:pPr>
      <w:r>
        <w:rPr>
          <w:rStyle w:val="FootnoteReference"/>
        </w:rPr>
        <w:footnoteRef/>
      </w:r>
      <w:r>
        <w:t xml:space="preserve"> </w:t>
      </w:r>
      <w:r>
        <w:t xml:space="preserve">Kitáb-i-Aqdas #33</w:t>
      </w:r>
    </w:p>
  </w:footnote>
  <w:footnote w:id="622">
    <w:p>
      <w:pPr>
        <w:pStyle w:val="FootnoteText"/>
      </w:pPr>
      <w:r>
        <w:rPr>
          <w:rStyle w:val="FootnoteReference"/>
        </w:rPr>
        <w:footnoteRef/>
      </w:r>
      <w:r>
        <w:t xml:space="preserve"> </w:t>
      </w:r>
      <w:r>
        <w:t xml:space="preserve">Kitáb-i-Aqdas #16</w:t>
      </w:r>
    </w:p>
  </w:footnote>
  <w:footnote w:id="624">
    <w:p>
      <w:pPr>
        <w:pStyle w:val="FootnoteText"/>
      </w:pPr>
      <w:r>
        <w:rPr>
          <w:rStyle w:val="FootnoteReference"/>
        </w:rPr>
        <w:footnoteRef/>
      </w:r>
      <w:r>
        <w:t xml:space="preserve"> </w:t>
      </w:r>
      <w:r>
        <w:t xml:space="preserve">Kitáb-i-Aqdas #57</w:t>
      </w:r>
    </w:p>
  </w:footnote>
  <w:footnote w:id="625">
    <w:p>
      <w:pPr>
        <w:pStyle w:val="FootnoteText"/>
      </w:pPr>
      <w:r>
        <w:rPr>
          <w:rStyle w:val="FootnoteReference"/>
        </w:rPr>
        <w:footnoteRef/>
      </w:r>
      <w:r>
        <w:t xml:space="preserve"> </w:t>
      </w:r>
      <w:r>
        <w:t xml:space="preserve">Kitáb-i-Aqdas #156</w:t>
      </w:r>
    </w:p>
  </w:footnote>
  <w:footnote w:id="626">
    <w:p>
      <w:pPr>
        <w:pStyle w:val="FootnoteText"/>
      </w:pPr>
      <w:r>
        <w:rPr>
          <w:rStyle w:val="FootnoteReference"/>
        </w:rPr>
        <w:footnoteRef/>
      </w:r>
      <w:r>
        <w:t xml:space="preserve"> </w:t>
      </w:r>
      <w:r>
        <w:t xml:space="preserve">Kitáb-i-Aqdas #74</w:t>
      </w:r>
    </w:p>
  </w:footnote>
  <w:footnote w:id="627">
    <w:p>
      <w:pPr>
        <w:pStyle w:val="FootnoteText"/>
      </w:pPr>
      <w:r>
        <w:rPr>
          <w:rStyle w:val="FootnoteReference"/>
        </w:rPr>
        <w:footnoteRef/>
      </w:r>
      <w:r>
        <w:t xml:space="preserve"> </w:t>
      </w:r>
      <w:r>
        <w:t xml:space="preserve">Kitáb-i-Aqdas #156</w:t>
      </w:r>
    </w:p>
  </w:footnote>
  <w:footnote w:id="628">
    <w:p>
      <w:pPr>
        <w:pStyle w:val="FootnoteText"/>
      </w:pPr>
      <w:r>
        <w:rPr>
          <w:rStyle w:val="FootnoteReference"/>
        </w:rPr>
        <w:footnoteRef/>
      </w:r>
      <w:r>
        <w:t xml:space="preserve"> </w:t>
      </w:r>
      <w:r>
        <w:t xml:space="preserve">Kitáb-i-Aqdas #159</w:t>
      </w:r>
    </w:p>
  </w:footnote>
  <w:footnote w:id="629">
    <w:p>
      <w:pPr>
        <w:pStyle w:val="FootnoteText"/>
      </w:pPr>
      <w:r>
        <w:rPr>
          <w:rStyle w:val="FootnoteReference"/>
        </w:rPr>
        <w:footnoteRef/>
      </w:r>
      <w:r>
        <w:t xml:space="preserve"> </w:t>
      </w:r>
      <w:r>
        <w:t xml:space="preserve">Kitáb-i-Aqdas #102</w:t>
      </w:r>
    </w:p>
  </w:footnote>
  <w:footnote w:id="630">
    <w:p>
      <w:pPr>
        <w:pStyle w:val="FootnoteText"/>
      </w:pPr>
      <w:r>
        <w:rPr>
          <w:rStyle w:val="FootnoteReference"/>
        </w:rPr>
        <w:footnoteRef/>
      </w:r>
      <w:r>
        <w:t xml:space="preserve"> </w:t>
      </w:r>
      <w:r>
        <w:t xml:space="preserve">Kitáb-i-Aqdas #77</w:t>
      </w:r>
    </w:p>
  </w:footnote>
  <w:footnote w:id="634">
    <w:p>
      <w:pPr>
        <w:pStyle w:val="FootnoteText"/>
      </w:pPr>
      <w:r>
        <w:rPr>
          <w:rStyle w:val="FootnoteReference"/>
        </w:rPr>
        <w:footnoteRef/>
      </w:r>
      <w:r>
        <w:t xml:space="preserve"> </w:t>
      </w:r>
      <w:r>
        <w:t xml:space="preserve">Kitáb-i-Aqdas #153</w:t>
      </w:r>
    </w:p>
  </w:footnote>
  <w:footnote w:id="637">
    <w:p>
      <w:pPr>
        <w:pStyle w:val="FootnoteText"/>
      </w:pPr>
      <w:r>
        <w:rPr>
          <w:rStyle w:val="FootnoteReference"/>
        </w:rPr>
        <w:footnoteRef/>
      </w:r>
      <w:r>
        <w:t xml:space="preserve"> </w:t>
      </w:r>
      <w:r>
        <w:t xml:space="preserve">Kitáb-i-Aqdas #38</w:t>
      </w:r>
    </w:p>
  </w:footnote>
  <w:footnote w:id="638">
    <w:p>
      <w:pPr>
        <w:pStyle w:val="FootnoteText"/>
      </w:pPr>
      <w:r>
        <w:rPr>
          <w:rStyle w:val="FootnoteReference"/>
        </w:rPr>
        <w:footnoteRef/>
      </w:r>
      <w:r>
        <w:t xml:space="preserve"> </w:t>
      </w:r>
      <w:r>
        <w:t xml:space="preserve">Kitáb-i-Aqdas #168</w:t>
      </w:r>
    </w:p>
  </w:footnote>
  <w:footnote w:id="639">
    <w:p>
      <w:pPr>
        <w:pStyle w:val="FootnoteText"/>
      </w:pPr>
      <w:r>
        <w:rPr>
          <w:rStyle w:val="FootnoteReference"/>
        </w:rPr>
        <w:footnoteRef/>
      </w:r>
      <w:r>
        <w:t xml:space="preserve"> </w:t>
      </w:r>
      <w:r>
        <w:t xml:space="preserve">Kitáb-i-Aqdas #75</w:t>
      </w:r>
    </w:p>
  </w:footnote>
  <w:footnote w:id="640">
    <w:p>
      <w:pPr>
        <w:pStyle w:val="FootnoteText"/>
      </w:pPr>
      <w:r>
        <w:rPr>
          <w:rStyle w:val="FootnoteReference"/>
        </w:rPr>
        <w:footnoteRef/>
      </w:r>
      <w:r>
        <w:t xml:space="preserve"> </w:t>
      </w:r>
      <w:r>
        <w:t xml:space="preserve">Kitáb-i-Aqdas #144</w:t>
      </w:r>
    </w:p>
  </w:footnote>
  <w:footnote w:id="641">
    <w:p>
      <w:pPr>
        <w:pStyle w:val="FootnoteText"/>
      </w:pPr>
      <w:r>
        <w:rPr>
          <w:rStyle w:val="FootnoteReference"/>
        </w:rPr>
        <w:footnoteRef/>
      </w:r>
      <w:r>
        <w:t xml:space="preserve"> </w:t>
      </w:r>
      <w:r>
        <w:t xml:space="preserve">Kitáb-i-Aqdas #75</w:t>
      </w:r>
    </w:p>
  </w:footnote>
  <w:footnote w:id="642">
    <w:p>
      <w:pPr>
        <w:pStyle w:val="FootnoteText"/>
      </w:pPr>
      <w:r>
        <w:rPr>
          <w:rStyle w:val="FootnoteReference"/>
        </w:rPr>
        <w:footnoteRef/>
      </w:r>
      <w:r>
        <w:t xml:space="preserve"> </w:t>
      </w:r>
      <w:r>
        <w:t xml:space="preserve">Kitáb-i-Aqdas #38</w:t>
      </w:r>
    </w:p>
  </w:footnote>
  <w:footnote w:id="643">
    <w:p>
      <w:pPr>
        <w:pStyle w:val="FootnoteText"/>
      </w:pPr>
      <w:r>
        <w:rPr>
          <w:rStyle w:val="FootnoteReference"/>
        </w:rPr>
        <w:footnoteRef/>
      </w:r>
      <w:r>
        <w:t xml:space="preserve"> </w:t>
      </w:r>
      <w:r>
        <w:t xml:space="preserve">Kitáb-i-Aqdas #118</w:t>
      </w:r>
    </w:p>
  </w:footnote>
  <w:footnote w:id="644">
    <w:p>
      <w:pPr>
        <w:pStyle w:val="FootnoteText"/>
      </w:pPr>
      <w:r>
        <w:rPr>
          <w:rStyle w:val="FootnoteReference"/>
        </w:rPr>
        <w:footnoteRef/>
      </w:r>
      <w:r>
        <w:t xml:space="preserve"> </w:t>
      </w:r>
      <w:r>
        <w:t xml:space="preserve">Kitáb-i-Aqdas #74</w:t>
      </w:r>
    </w:p>
  </w:footnote>
  <w:footnote w:id="645">
    <w:p>
      <w:pPr>
        <w:pStyle w:val="FootnoteText"/>
      </w:pPr>
      <w:r>
        <w:rPr>
          <w:rStyle w:val="FootnoteReference"/>
        </w:rPr>
        <w:footnoteRef/>
      </w:r>
      <w:r>
        <w:t xml:space="preserve"> </w:t>
      </w:r>
      <w:r>
        <w:t xml:space="preserve">Kitáb-i-Aqdas #132</w:t>
      </w:r>
    </w:p>
  </w:footnote>
  <w:footnote w:id="646">
    <w:p>
      <w:pPr>
        <w:pStyle w:val="FootnoteText"/>
      </w:pPr>
      <w:r>
        <w:rPr>
          <w:rStyle w:val="FootnoteReference"/>
        </w:rPr>
        <w:footnoteRef/>
      </w:r>
      <w:r>
        <w:t xml:space="preserve"> </w:t>
      </w:r>
      <w:r>
        <w:t xml:space="preserve">Kitáb-i-Aqdas #35</w:t>
      </w:r>
    </w:p>
  </w:footnote>
  <w:footnote w:id="647">
    <w:p>
      <w:pPr>
        <w:pStyle w:val="FootnoteText"/>
      </w:pPr>
      <w:r>
        <w:rPr>
          <w:rStyle w:val="FootnoteReference"/>
        </w:rPr>
        <w:footnoteRef/>
      </w:r>
      <w:r>
        <w:t xml:space="preserve"> </w:t>
      </w:r>
      <w:r>
        <w:t xml:space="preserve">Kitáb-i-Aqdas #177</w:t>
      </w:r>
    </w:p>
  </w:footnote>
  <w:footnote w:id="648">
    <w:p>
      <w:pPr>
        <w:pStyle w:val="FootnoteText"/>
      </w:pPr>
      <w:r>
        <w:rPr>
          <w:rStyle w:val="FootnoteReference"/>
        </w:rPr>
        <w:footnoteRef/>
      </w:r>
      <w:r>
        <w:t xml:space="preserve"> </w:t>
      </w:r>
      <w:r>
        <w:t xml:space="preserve">Kitáb-i-Aqdas #132</w:t>
      </w:r>
    </w:p>
  </w:footnote>
  <w:footnote w:id="649">
    <w:p>
      <w:pPr>
        <w:pStyle w:val="FootnoteText"/>
      </w:pPr>
      <w:r>
        <w:rPr>
          <w:rStyle w:val="FootnoteReference"/>
        </w:rPr>
        <w:footnoteRef/>
      </w:r>
      <w:r>
        <w:t xml:space="preserve"> </w:t>
      </w:r>
      <w:r>
        <w:t xml:space="preserve">Kitáb-i-Aqdas #117</w:t>
      </w:r>
    </w:p>
  </w:footnote>
  <w:footnote w:id="651">
    <w:p>
      <w:pPr>
        <w:pStyle w:val="FootnoteText"/>
      </w:pPr>
      <w:r>
        <w:rPr>
          <w:rStyle w:val="FootnoteReference"/>
        </w:rPr>
        <w:footnoteRef/>
      </w:r>
      <w:r>
        <w:t xml:space="preserve"> </w:t>
      </w:r>
      <w:r>
        <w:t xml:space="preserve">Kitáb-i-Aqdas #160</w:t>
      </w:r>
    </w:p>
  </w:footnote>
  <w:footnote w:id="652">
    <w:p>
      <w:pPr>
        <w:pStyle w:val="FootnoteText"/>
      </w:pPr>
      <w:r>
        <w:rPr>
          <w:rStyle w:val="FootnoteReference"/>
        </w:rPr>
        <w:footnoteRef/>
      </w:r>
      <w:r>
        <w:t xml:space="preserve"> </w:t>
      </w:r>
      <w:r>
        <w:t xml:space="preserve">Kitáb-i-Aqdas #31</w:t>
      </w:r>
    </w:p>
  </w:footnote>
  <w:footnote w:id="653">
    <w:p>
      <w:pPr>
        <w:pStyle w:val="FootnoteText"/>
      </w:pPr>
      <w:r>
        <w:rPr>
          <w:rStyle w:val="FootnoteReference"/>
        </w:rPr>
        <w:footnoteRef/>
      </w:r>
      <w:r>
        <w:t xml:space="preserve"> </w:t>
      </w:r>
      <w:r>
        <w:t xml:space="preserve">Kitáb-i-Aqdas #151</w:t>
      </w:r>
    </w:p>
  </w:footnote>
  <w:footnote w:id="654">
    <w:p>
      <w:pPr>
        <w:pStyle w:val="FootnoteText"/>
      </w:pPr>
      <w:r>
        <w:rPr>
          <w:rStyle w:val="FootnoteReference"/>
        </w:rPr>
        <w:footnoteRef/>
      </w:r>
      <w:r>
        <w:t xml:space="preserve"> </w:t>
      </w:r>
      <w:r>
        <w:t xml:space="preserve">Kitáb-i-Aqdas #30</w:t>
      </w:r>
    </w:p>
  </w:footnote>
  <w:footnote w:id="655">
    <w:p>
      <w:pPr>
        <w:pStyle w:val="FootnoteText"/>
      </w:pPr>
      <w:r>
        <w:rPr>
          <w:rStyle w:val="FootnoteReference"/>
        </w:rPr>
        <w:footnoteRef/>
      </w:r>
      <w:r>
        <w:t xml:space="preserve"> </w:t>
      </w:r>
      <w:r>
        <w:t xml:space="preserve">Kitáb-i-Aqdas #30</w:t>
      </w:r>
    </w:p>
  </w:footnote>
  <w:footnote w:id="656">
    <w:p>
      <w:pPr>
        <w:pStyle w:val="FootnoteText"/>
      </w:pPr>
      <w:r>
        <w:rPr>
          <w:rStyle w:val="FootnoteReference"/>
        </w:rPr>
        <w:footnoteRef/>
      </w:r>
      <w:r>
        <w:t xml:space="preserve"> </w:t>
      </w:r>
      <w:r>
        <w:t xml:space="preserve">Lawḥ-i-Bi shárát 13</w:t>
      </w:r>
    </w:p>
  </w:footnote>
  <w:footnote w:id="658">
    <w:p>
      <w:pPr>
        <w:pStyle w:val="FootnoteText"/>
      </w:pPr>
      <w:r>
        <w:rPr>
          <w:rStyle w:val="FootnoteReference"/>
        </w:rPr>
        <w:footnoteRef/>
      </w:r>
      <w:r>
        <w:t xml:space="preserve"> </w:t>
      </w:r>
      <w:r>
        <w:t xml:space="preserve">Kitáb-i-Aqdas #73</w:t>
      </w:r>
    </w:p>
  </w:footnote>
  <w:footnote w:id="659">
    <w:p>
      <w:pPr>
        <w:pStyle w:val="FootnoteText"/>
      </w:pPr>
      <w:r>
        <w:rPr>
          <w:rStyle w:val="FootnoteReference"/>
        </w:rPr>
        <w:footnoteRef/>
      </w:r>
      <w:r>
        <w:t xml:space="preserve"> </w:t>
      </w:r>
      <w:r>
        <w:t xml:space="preserve">Kitáb-i-Aqdas #33</w:t>
      </w:r>
    </w:p>
  </w:footnote>
  <w:footnote w:id="660">
    <w:p>
      <w:pPr>
        <w:pStyle w:val="FootnoteText"/>
      </w:pPr>
      <w:r>
        <w:rPr>
          <w:rStyle w:val="FootnoteReference"/>
        </w:rPr>
        <w:footnoteRef/>
      </w:r>
      <w:r>
        <w:t xml:space="preserve"> </w:t>
      </w:r>
      <w:r>
        <w:t xml:space="preserve">Kitáb-i-Aqdas #16</w:t>
      </w:r>
    </w:p>
  </w:footnote>
  <w:footnote w:id="661">
    <w:p>
      <w:pPr>
        <w:pStyle w:val="FootnoteText"/>
      </w:pPr>
      <w:r>
        <w:rPr>
          <w:rStyle w:val="FootnoteReference"/>
        </w:rPr>
        <w:footnoteRef/>
      </w:r>
      <w:r>
        <w:t xml:space="preserve"> </w:t>
      </w:r>
      <w:r>
        <w:t xml:space="preserve">Kitáb-i-Aqdas #57</w:t>
      </w:r>
    </w:p>
  </w:footnote>
  <w:footnote w:id="662">
    <w:p>
      <w:pPr>
        <w:pStyle w:val="FootnoteText"/>
      </w:pPr>
      <w:r>
        <w:rPr>
          <w:rStyle w:val="FootnoteReference"/>
        </w:rPr>
        <w:footnoteRef/>
      </w:r>
      <w:r>
        <w:t xml:space="preserve"> </w:t>
      </w:r>
      <w:r>
        <w:t xml:space="preserve">Kitáb-i-Aqdas #156</w:t>
      </w:r>
    </w:p>
  </w:footnote>
  <w:footnote w:id="663">
    <w:p>
      <w:pPr>
        <w:pStyle w:val="FootnoteText"/>
      </w:pPr>
      <w:r>
        <w:rPr>
          <w:rStyle w:val="FootnoteReference"/>
        </w:rPr>
        <w:footnoteRef/>
      </w:r>
      <w:r>
        <w:t xml:space="preserve"> </w:t>
      </w:r>
      <w:r>
        <w:t xml:space="preserve">Kitáb-i-Aqdas #74</w:t>
      </w:r>
    </w:p>
  </w:footnote>
  <w:footnote w:id="664">
    <w:p>
      <w:pPr>
        <w:pStyle w:val="FootnoteText"/>
      </w:pPr>
      <w:r>
        <w:rPr>
          <w:rStyle w:val="FootnoteReference"/>
        </w:rPr>
        <w:footnoteRef/>
      </w:r>
      <w:r>
        <w:t xml:space="preserve"> </w:t>
      </w:r>
      <w:r>
        <w:t xml:space="preserve">Kitáb-i-Aqdas #156</w:t>
      </w:r>
    </w:p>
  </w:footnote>
  <w:footnote w:id="665">
    <w:p>
      <w:pPr>
        <w:pStyle w:val="FootnoteText"/>
      </w:pPr>
      <w:r>
        <w:rPr>
          <w:rStyle w:val="FootnoteReference"/>
        </w:rPr>
        <w:footnoteRef/>
      </w:r>
      <w:r>
        <w:t xml:space="preserve"> </w:t>
      </w:r>
      <w:r>
        <w:t xml:space="preserve">Kitáb-i-Aqdas #159</w:t>
      </w:r>
    </w:p>
  </w:footnote>
  <w:footnote w:id="666">
    <w:p>
      <w:pPr>
        <w:pStyle w:val="FootnoteText"/>
      </w:pPr>
      <w:r>
        <w:rPr>
          <w:rStyle w:val="FootnoteReference"/>
        </w:rPr>
        <w:footnoteRef/>
      </w:r>
      <w:r>
        <w:t xml:space="preserve"> </w:t>
      </w:r>
      <w:r>
        <w:t xml:space="preserve">Kitáb-i-Aqdas #102</w:t>
      </w:r>
    </w:p>
  </w:footnote>
  <w:footnote w:id="667">
    <w:p>
      <w:pPr>
        <w:pStyle w:val="FootnoteText"/>
      </w:pPr>
      <w:r>
        <w:rPr>
          <w:rStyle w:val="FootnoteReference"/>
        </w:rPr>
        <w:footnoteRef/>
      </w:r>
      <w:r>
        <w:t xml:space="preserve"> </w:t>
      </w:r>
      <w:r>
        <w:t xml:space="preserve">Kitáb-i-Aqdas #77</w:t>
      </w:r>
    </w:p>
  </w:footnote>
  <w:footnote w:id="668">
    <w:p>
      <w:pPr>
        <w:pStyle w:val="FootnoteText"/>
      </w:pPr>
      <w:r>
        <w:rPr>
          <w:rStyle w:val="FootnoteReference"/>
        </w:rPr>
        <w:footnoteRef/>
      </w:r>
      <w:r>
        <w:t xml:space="preserve"> </w:t>
      </w:r>
      <w:r>
        <w:t xml:space="preserve">Kitáb-i-Aqdas #153</w:t>
      </w:r>
    </w:p>
  </w:footnote>
  <w:footnote w:id="669">
    <w:p>
      <w:pPr>
        <w:pStyle w:val="FootnoteText"/>
      </w:pPr>
      <w:r>
        <w:rPr>
          <w:rStyle w:val="FootnoteReference"/>
        </w:rPr>
        <w:footnoteRef/>
      </w:r>
      <w:r>
        <w:t xml:space="preserve"> </w:t>
      </w:r>
      <w:r>
        <w:t xml:space="preserve">Súrih-i-Haykal 150 &amp; 151</w:t>
      </w:r>
    </w:p>
  </w:footnote>
  <w:footnote w:id="672">
    <w:p>
      <w:pPr>
        <w:pStyle w:val="FootnoteText"/>
      </w:pPr>
      <w:r>
        <w:rPr>
          <w:rStyle w:val="FootnoteReference"/>
        </w:rPr>
        <w:footnoteRef/>
      </w:r>
      <w:r>
        <w:t xml:space="preserve"> </w:t>
      </w:r>
      <w:r>
        <w:t xml:space="preserve">Kitáb-i-Aqdas #37</w:t>
      </w:r>
    </w:p>
  </w:footnote>
  <w:footnote w:id="673">
    <w:p>
      <w:pPr>
        <w:pStyle w:val="FootnoteText"/>
      </w:pPr>
      <w:r>
        <w:rPr>
          <w:rStyle w:val="FootnoteReference"/>
        </w:rPr>
        <w:footnoteRef/>
      </w:r>
      <w:r>
        <w:t xml:space="preserve"> </w:t>
      </w:r>
      <w:r>
        <w:t xml:space="preserve">Kitáb-i-Aqdas #105</w:t>
      </w:r>
    </w:p>
  </w:footnote>
  <w:footnote w:id="674">
    <w:p>
      <w:pPr>
        <w:pStyle w:val="FootnoteText"/>
      </w:pPr>
      <w:r>
        <w:rPr>
          <w:rStyle w:val="FootnoteReference"/>
        </w:rPr>
        <w:footnoteRef/>
      </w:r>
      <w:r>
        <w:t xml:space="preserve"> </w:t>
      </w:r>
      <w:r>
        <w:t xml:space="preserve">Tafsír on the Súrah of the Sun</w:t>
      </w:r>
    </w:p>
  </w:footnote>
  <w:footnote w:id="675">
    <w:p>
      <w:pPr>
        <w:pStyle w:val="FootnoteText"/>
      </w:pPr>
      <w:r>
        <w:rPr>
          <w:rStyle w:val="FootnoteReference"/>
        </w:rPr>
        <w:footnoteRef/>
      </w:r>
      <w:r>
        <w:t xml:space="preserve"> </w:t>
      </w:r>
      <w:r>
        <w:t xml:space="preserve">Kitáb-i-Aqdas #53</w:t>
      </w:r>
    </w:p>
  </w:footnote>
  <w:footnote w:id="677">
    <w:p>
      <w:pPr>
        <w:pStyle w:val="FootnoteText"/>
      </w:pPr>
      <w:r>
        <w:rPr>
          <w:rStyle w:val="FootnoteReference"/>
        </w:rPr>
        <w:footnoteRef/>
      </w:r>
      <w:r>
        <w:t xml:space="preserve"> </w:t>
      </w:r>
      <w:r>
        <w:t xml:space="preserve">Kitáb-i-Aqdas #47</w:t>
      </w:r>
    </w:p>
  </w:footnote>
  <w:footnote w:id="679">
    <w:p>
      <w:pPr>
        <w:pStyle w:val="FootnoteText"/>
      </w:pPr>
      <w:r>
        <w:rPr>
          <w:rStyle w:val="FootnoteReference"/>
        </w:rPr>
        <w:footnoteRef/>
      </w:r>
      <w:r>
        <w:t xml:space="preserve"> </w:t>
      </w:r>
      <w:r>
        <w:t xml:space="preserve">Kitáb-i-Aqdas #34</w:t>
      </w:r>
    </w:p>
  </w:footnote>
  <w:footnote w:id="680">
    <w:p>
      <w:pPr>
        <w:pStyle w:val="FootnoteText"/>
      </w:pPr>
      <w:r>
        <w:rPr>
          <w:rStyle w:val="FootnoteReference"/>
        </w:rPr>
        <w:footnoteRef/>
      </w:r>
      <w:r>
        <w:t xml:space="preserve"> </w:t>
      </w:r>
      <w:r>
        <w:t xml:space="preserve">Kitáb-i-Aqdas #154</w:t>
      </w:r>
    </w:p>
  </w:footnote>
  <w:footnote w:id="681">
    <w:p>
      <w:pPr>
        <w:pStyle w:val="FootnoteText"/>
      </w:pPr>
      <w:r>
        <w:rPr>
          <w:rStyle w:val="FootnoteReference"/>
        </w:rPr>
        <w:footnoteRef/>
      </w:r>
      <w:r>
        <w:t xml:space="preserve"> </w:t>
      </w:r>
      <w:r>
        <w:t xml:space="preserve">Kitáb-i-Aqdas #34</w:t>
      </w:r>
    </w:p>
  </w:footnote>
  <w:footnote w:id="683">
    <w:p>
      <w:pPr>
        <w:pStyle w:val="FootnoteText"/>
      </w:pPr>
      <w:r>
        <w:rPr>
          <w:rStyle w:val="FootnoteReference"/>
        </w:rPr>
        <w:footnoteRef/>
      </w:r>
      <w:r>
        <w:t xml:space="preserve"> </w:t>
      </w:r>
      <w:r>
        <w:t xml:space="preserve">Kitáb-i-Aqdas #147</w:t>
      </w:r>
    </w:p>
  </w:footnote>
  <w:footnote w:id="685">
    <w:p>
      <w:pPr>
        <w:pStyle w:val="FootnoteText"/>
      </w:pPr>
      <w:r>
        <w:rPr>
          <w:rStyle w:val="FootnoteReference"/>
        </w:rPr>
        <w:footnoteRef/>
      </w:r>
      <w:r>
        <w:t xml:space="preserve"> </w:t>
      </w:r>
      <w:r>
        <w:t xml:space="preserve">Kitáb-i-Aqdas #72</w:t>
      </w:r>
    </w:p>
  </w:footnote>
  <w:footnote w:id="686">
    <w:p>
      <w:pPr>
        <w:pStyle w:val="FootnoteText"/>
      </w:pPr>
      <w:r>
        <w:rPr>
          <w:rStyle w:val="FootnoteReference"/>
        </w:rPr>
        <w:footnoteRef/>
      </w:r>
      <w:r>
        <w:t xml:space="preserve"> </w:t>
      </w:r>
      <w:r>
        <w:t xml:space="preserve">Kitáb-i-Aqdas #148</w:t>
      </w:r>
    </w:p>
  </w:footnote>
  <w:footnote w:id="690">
    <w:p>
      <w:pPr>
        <w:pStyle w:val="FootnoteText"/>
      </w:pPr>
      <w:r>
        <w:rPr>
          <w:rStyle w:val="FootnoteReference"/>
        </w:rPr>
        <w:footnoteRef/>
      </w:r>
      <w:r>
        <w:t xml:space="preserve"> </w:t>
      </w:r>
      <w:r>
        <w:t xml:space="preserve">Kitáb-i-Aqdas #19</w:t>
      </w:r>
    </w:p>
  </w:footnote>
  <w:footnote w:id="692">
    <w:p>
      <w:pPr>
        <w:pStyle w:val="FootnoteText"/>
      </w:pPr>
      <w:r>
        <w:rPr>
          <w:rStyle w:val="FootnoteReference"/>
        </w:rPr>
        <w:footnoteRef/>
      </w:r>
      <w:r>
        <w:t xml:space="preserve"> </w:t>
      </w:r>
      <w:r>
        <w:t xml:space="preserve">Kitáb-i-Aqdas #19</w:t>
      </w:r>
    </w:p>
  </w:footnote>
  <w:footnote w:id="694">
    <w:p>
      <w:pPr>
        <w:pStyle w:val="FootnoteText"/>
      </w:pPr>
      <w:r>
        <w:rPr>
          <w:rStyle w:val="FootnoteReference"/>
        </w:rPr>
        <w:footnoteRef/>
      </w:r>
      <w:r>
        <w:t xml:space="preserve"> </w:t>
      </w:r>
      <w:r>
        <w:t xml:space="preserve">Kitáb-i-Aqdas #148</w:t>
      </w:r>
    </w:p>
  </w:footnote>
  <w:footnote w:id="695">
    <w:p>
      <w:pPr>
        <w:pStyle w:val="FootnoteText"/>
      </w:pPr>
      <w:r>
        <w:rPr>
          <w:rStyle w:val="FootnoteReference"/>
        </w:rPr>
        <w:footnoteRef/>
      </w:r>
      <w:r>
        <w:t xml:space="preserve"> </w:t>
      </w:r>
      <w:r>
        <w:t xml:space="preserve">Kitáb-i-Aqdas #53</w:t>
      </w:r>
    </w:p>
  </w:footnote>
  <w:footnote w:id="697">
    <w:p>
      <w:pPr>
        <w:pStyle w:val="FootnoteText"/>
      </w:pPr>
      <w:r>
        <w:rPr>
          <w:rStyle w:val="FootnoteReference"/>
        </w:rPr>
        <w:footnoteRef/>
      </w:r>
      <w:r>
        <w:t xml:space="preserve"> </w:t>
      </w:r>
      <w:r>
        <w:t xml:space="preserve">Kitáb-i-Aqdas #73</w:t>
      </w:r>
    </w:p>
  </w:footnote>
  <w:footnote w:id="699">
    <w:p>
      <w:pPr>
        <w:pStyle w:val="FootnoteText"/>
      </w:pPr>
      <w:r>
        <w:rPr>
          <w:rStyle w:val="FootnoteReference"/>
        </w:rPr>
        <w:footnoteRef/>
      </w:r>
      <w:r>
        <w:t xml:space="preserve"> </w:t>
      </w:r>
      <w:r>
        <w:t xml:space="preserve">Kitáb-i-Aqdas #108</w:t>
      </w:r>
    </w:p>
  </w:footnote>
  <w:footnote w:id="701">
    <w:p>
      <w:pPr>
        <w:pStyle w:val="FootnoteText"/>
      </w:pPr>
      <w:r>
        <w:rPr>
          <w:rStyle w:val="FootnoteReference"/>
        </w:rPr>
        <w:footnoteRef/>
      </w:r>
      <w:r>
        <w:t xml:space="preserve"> </w:t>
      </w:r>
      <w:r>
        <w:t xml:space="preserve">Kitáb-i-Aqdas #77</w:t>
      </w:r>
    </w:p>
  </w:footnote>
  <w:footnote w:id="702">
    <w:p>
      <w:pPr>
        <w:pStyle w:val="FootnoteText"/>
      </w:pPr>
      <w:r>
        <w:rPr>
          <w:rStyle w:val="FootnoteReference"/>
        </w:rPr>
        <w:footnoteRef/>
      </w:r>
      <w:r>
        <w:t xml:space="preserve"> </w:t>
      </w:r>
      <w:r>
        <w:t xml:space="preserve">Kitáb-i-Aqdas #77</w:t>
      </w:r>
    </w:p>
  </w:footnote>
  <w:footnote w:id="706">
    <w:p>
      <w:pPr>
        <w:pStyle w:val="FootnoteText"/>
      </w:pPr>
      <w:r>
        <w:rPr>
          <w:rStyle w:val="FootnoteReference"/>
        </w:rPr>
        <w:footnoteRef/>
      </w:r>
      <w:r>
        <w:t xml:space="preserve"> </w:t>
      </w:r>
      <w:r>
        <w:t xml:space="preserve">Kitáb-i-Aqdas #159</w:t>
      </w:r>
    </w:p>
  </w:footnote>
  <w:footnote w:id="707">
    <w:p>
      <w:pPr>
        <w:pStyle w:val="FootnoteText"/>
      </w:pPr>
      <w:r>
        <w:rPr>
          <w:rStyle w:val="FootnoteReference"/>
        </w:rPr>
        <w:footnoteRef/>
      </w:r>
      <w:r>
        <w:t xml:space="preserve"> </w:t>
      </w:r>
      <w:r>
        <w:t xml:space="preserve">Kitáb-i-Aqdas #148</w:t>
      </w:r>
    </w:p>
  </w:footnote>
  <w:footnote w:id="708">
    <w:p>
      <w:pPr>
        <w:pStyle w:val="FootnoteText"/>
      </w:pPr>
      <w:r>
        <w:rPr>
          <w:rStyle w:val="FootnoteReference"/>
        </w:rPr>
        <w:footnoteRef/>
      </w:r>
      <w:r>
        <w:t xml:space="preserve"> </w:t>
      </w:r>
      <w:r>
        <w:t xml:space="preserve">Kitáb-i-Aqdas #56</w:t>
      </w:r>
    </w:p>
  </w:footnote>
  <w:footnote w:id="709">
    <w:p>
      <w:pPr>
        <w:pStyle w:val="FootnoteText"/>
      </w:pPr>
      <w:r>
        <w:rPr>
          <w:rStyle w:val="FootnoteReference"/>
        </w:rPr>
        <w:footnoteRef/>
      </w:r>
      <w:r>
        <w:t xml:space="preserve"> </w:t>
      </w:r>
      <w:r>
        <w:t xml:space="preserve">Kitáb-i-Aqdas #52</w:t>
      </w:r>
    </w:p>
  </w:footnote>
  <w:footnote w:id="710">
    <w:p>
      <w:pPr>
        <w:pStyle w:val="FootnoteText"/>
      </w:pPr>
      <w:r>
        <w:rPr>
          <w:rStyle w:val="FootnoteReference"/>
        </w:rPr>
        <w:footnoteRef/>
      </w:r>
      <w:r>
        <w:t xml:space="preserve"> </w:t>
      </w:r>
      <w:r>
        <w:t xml:space="preserve">Kitáb-i-Aqdas #188</w:t>
      </w:r>
    </w:p>
  </w:footnote>
  <w:footnote w:id="711">
    <w:p>
      <w:pPr>
        <w:pStyle w:val="FootnoteText"/>
      </w:pPr>
      <w:r>
        <w:rPr>
          <w:rStyle w:val="FootnoteReference"/>
        </w:rPr>
        <w:footnoteRef/>
      </w:r>
      <w:r>
        <w:t xml:space="preserve"> </w:t>
      </w:r>
      <w:r>
        <w:t xml:space="preserve">Kitáb-i-Aqdas #19</w:t>
      </w:r>
    </w:p>
  </w:footnote>
  <w:footnote w:id="712">
    <w:p>
      <w:pPr>
        <w:pStyle w:val="FootnoteText"/>
      </w:pPr>
      <w:r>
        <w:rPr>
          <w:rStyle w:val="FootnoteReference"/>
        </w:rPr>
        <w:footnoteRef/>
      </w:r>
      <w:r>
        <w:t xml:space="preserve"> </w:t>
      </w:r>
      <w:r>
        <w:t xml:space="preserve">Kitáb-i-Aqdas #62</w:t>
      </w:r>
    </w:p>
  </w:footnote>
  <w:footnote w:id="713">
    <w:p>
      <w:pPr>
        <w:pStyle w:val="FootnoteText"/>
      </w:pPr>
      <w:r>
        <w:rPr>
          <w:rStyle w:val="FootnoteReference"/>
        </w:rPr>
        <w:footnoteRef/>
      </w:r>
      <w:r>
        <w:t xml:space="preserve"> </w:t>
      </w:r>
      <w:r>
        <w:t xml:space="preserve">Kitáb-i-Aqdas #145</w:t>
      </w:r>
    </w:p>
  </w:footnote>
  <w:footnote w:id="714">
    <w:p>
      <w:pPr>
        <w:pStyle w:val="FootnoteText"/>
      </w:pPr>
      <w:r>
        <w:rPr>
          <w:rStyle w:val="FootnoteReference"/>
        </w:rPr>
        <w:footnoteRef/>
      </w:r>
      <w:r>
        <w:t xml:space="preserve"> </w:t>
      </w:r>
      <w:r>
        <w:t xml:space="preserve">Kitáb-i-Aqdas #45</w:t>
      </w:r>
    </w:p>
  </w:footnote>
  <w:footnote w:id="715">
    <w:p>
      <w:pPr>
        <w:pStyle w:val="FootnoteText"/>
      </w:pPr>
      <w:r>
        <w:rPr>
          <w:rStyle w:val="FootnoteReference"/>
        </w:rPr>
        <w:footnoteRef/>
      </w:r>
      <w:r>
        <w:t xml:space="preserve"> </w:t>
      </w:r>
      <w:r>
        <w:t xml:space="preserve">Kitáb-i-Aqdas #62</w:t>
      </w:r>
    </w:p>
  </w:footnote>
  <w:footnote w:id="716">
    <w:p>
      <w:pPr>
        <w:pStyle w:val="FootnoteText"/>
      </w:pPr>
      <w:r>
        <w:rPr>
          <w:rStyle w:val="FootnoteReference"/>
        </w:rPr>
        <w:footnoteRef/>
      </w:r>
      <w:r>
        <w:t xml:space="preserve"> </w:t>
      </w:r>
      <w:r>
        <w:t xml:space="preserve">Kitáb-i-Aqdas #72</w:t>
      </w:r>
    </w:p>
  </w:footnote>
  <w:footnote w:id="720">
    <w:p>
      <w:pPr>
        <w:pStyle w:val="FootnoteText"/>
      </w:pPr>
      <w:r>
        <w:rPr>
          <w:rStyle w:val="FootnoteReference"/>
        </w:rPr>
        <w:footnoteRef/>
      </w:r>
      <w:r>
        <w:t xml:space="preserve"> </w:t>
      </w:r>
      <w:r>
        <w:t xml:space="preserve">Kitáb-i-Aqdas #63</w:t>
      </w:r>
    </w:p>
  </w:footnote>
  <w:footnote w:id="721">
    <w:p>
      <w:pPr>
        <w:pStyle w:val="FootnoteText"/>
      </w:pPr>
      <w:r>
        <w:rPr>
          <w:rStyle w:val="FootnoteReference"/>
        </w:rPr>
        <w:footnoteRef/>
      </w:r>
      <w:r>
        <w:t xml:space="preserve"> </w:t>
      </w:r>
      <w:r>
        <w:t xml:space="preserve">Persian Bayán Vahid 8, Gate 15</w:t>
      </w:r>
    </w:p>
  </w:footnote>
  <w:footnote w:id="722">
    <w:p>
      <w:pPr>
        <w:pStyle w:val="FootnoteText"/>
      </w:pPr>
      <w:r>
        <w:rPr>
          <w:rStyle w:val="FootnoteReference"/>
        </w:rPr>
        <w:footnoteRef/>
      </w:r>
      <w:r>
        <w:t xml:space="preserve"> </w:t>
      </w:r>
      <w:r>
        <w:t xml:space="preserve">Súriy-i-Haykal</w:t>
      </w:r>
    </w:p>
  </w:footnote>
  <w:footnote w:id="723">
    <w:p>
      <w:pPr>
        <w:pStyle w:val="FootnoteText"/>
      </w:pPr>
      <w:r>
        <w:rPr>
          <w:rStyle w:val="FootnoteReference"/>
        </w:rPr>
        <w:footnoteRef/>
      </w:r>
      <w:r>
        <w:t xml:space="preserve"> </w:t>
      </w:r>
      <w:r>
        <w:t xml:space="preserve">BH10796</w:t>
      </w:r>
    </w:p>
  </w:footnote>
  <w:footnote w:id="724">
    <w:p>
      <w:pPr>
        <w:pStyle w:val="FootnoteText"/>
      </w:pPr>
      <w:r>
        <w:rPr>
          <w:rStyle w:val="FootnoteReference"/>
        </w:rPr>
        <w:footnoteRef/>
      </w:r>
      <w:r>
        <w:t xml:space="preserve"> </w:t>
      </w:r>
      <w:r>
        <w:t xml:space="preserve">BH03181</w:t>
      </w:r>
    </w:p>
  </w:footnote>
  <w:footnote w:id="727">
    <w:p>
      <w:pPr>
        <w:pStyle w:val="FootnoteText"/>
      </w:pPr>
      <w:r>
        <w:rPr>
          <w:rStyle w:val="FootnoteReference"/>
        </w:rPr>
        <w:footnoteRef/>
      </w:r>
      <w:r>
        <w:t xml:space="preserve"> </w:t>
      </w:r>
      <w:r>
        <w:t xml:space="preserve">Kitáb-i-Aqdas #65</w:t>
      </w:r>
    </w:p>
  </w:footnote>
  <w:footnote w:id="728">
    <w:p>
      <w:pPr>
        <w:pStyle w:val="FootnoteText"/>
      </w:pPr>
      <w:r>
        <w:rPr>
          <w:rStyle w:val="FootnoteReference"/>
        </w:rPr>
        <w:footnoteRef/>
      </w:r>
      <w:r>
        <w:t xml:space="preserve"> </w:t>
      </w:r>
      <w:r>
        <w:t xml:space="preserve">Arabic Bayán, Vahid 8, Gate 15</w:t>
      </w:r>
    </w:p>
  </w:footnote>
  <w:footnote w:id="729">
    <w:p>
      <w:pPr>
        <w:pStyle w:val="FootnoteText"/>
      </w:pPr>
      <w:r>
        <w:rPr>
          <w:rStyle w:val="FootnoteReference"/>
        </w:rPr>
        <w:footnoteRef/>
      </w:r>
      <w:r>
        <w:t xml:space="preserve"> </w:t>
      </w:r>
      <w:r>
        <w:t xml:space="preserve">Persian Bayán Vahid 6, Gate 7</w:t>
      </w:r>
    </w:p>
  </w:footnote>
  <w:footnote w:id="730">
    <w:p>
      <w:pPr>
        <w:pStyle w:val="FootnoteText"/>
      </w:pPr>
      <w:r>
        <w:rPr>
          <w:rStyle w:val="FootnoteReference"/>
        </w:rPr>
        <w:footnoteRef/>
      </w:r>
      <w:r>
        <w:t xml:space="preserve"> </w:t>
      </w:r>
      <w:r>
        <w:t xml:space="preserve">Kitáb-i-Aqdas #65</w:t>
      </w:r>
    </w:p>
  </w:footnote>
  <w:footnote w:id="731">
    <w:p>
      <w:pPr>
        <w:pStyle w:val="FootnoteText"/>
      </w:pPr>
      <w:r>
        <w:rPr>
          <w:rStyle w:val="FootnoteReference"/>
        </w:rPr>
        <w:footnoteRef/>
      </w:r>
      <w:r>
        <w:t xml:space="preserve"> </w:t>
      </w:r>
      <w:r>
        <w:t xml:space="preserve">BH02956</w:t>
      </w:r>
    </w:p>
  </w:footnote>
  <w:footnote w:id="732">
    <w:p>
      <w:pPr>
        <w:pStyle w:val="FootnoteText"/>
      </w:pPr>
      <w:r>
        <w:rPr>
          <w:rStyle w:val="FootnoteReference"/>
        </w:rPr>
        <w:footnoteRef/>
      </w:r>
      <w:r>
        <w:t xml:space="preserve"> </w:t>
      </w:r>
      <w:r>
        <w:t xml:space="preserve">BH00091</w:t>
      </w:r>
    </w:p>
  </w:footnote>
  <w:footnote w:id="733">
    <w:p>
      <w:pPr>
        <w:pStyle w:val="FootnoteText"/>
      </w:pPr>
      <w:r>
        <w:rPr>
          <w:rStyle w:val="FootnoteReference"/>
        </w:rPr>
        <w:footnoteRef/>
      </w:r>
      <w:r>
        <w:t xml:space="preserve"> </w:t>
      </w:r>
      <w:r>
        <w:t xml:space="preserve">BH00093</w:t>
      </w:r>
    </w:p>
  </w:footnote>
  <w:footnote w:id="734">
    <w:p>
      <w:pPr>
        <w:pStyle w:val="FootnoteText"/>
      </w:pPr>
      <w:r>
        <w:rPr>
          <w:rStyle w:val="FootnoteReference"/>
        </w:rPr>
        <w:footnoteRef/>
      </w:r>
      <w:r>
        <w:t xml:space="preserve"> </w:t>
      </w:r>
      <w:r>
        <w:t xml:space="preserve">Kitáb-i-Aqdas #65</w:t>
      </w:r>
    </w:p>
  </w:footnote>
  <w:footnote w:id="736">
    <w:p>
      <w:pPr>
        <w:pStyle w:val="FootnoteText"/>
      </w:pPr>
      <w:r>
        <w:rPr>
          <w:rStyle w:val="FootnoteReference"/>
        </w:rPr>
        <w:footnoteRef/>
      </w:r>
      <w:r>
        <w:t xml:space="preserve"> </w:t>
      </w:r>
      <w:r>
        <w:t xml:space="preserve">BH00726</w:t>
      </w:r>
    </w:p>
  </w:footnote>
  <w:footnote w:id="737">
    <w:p>
      <w:pPr>
        <w:pStyle w:val="FootnoteText"/>
      </w:pPr>
      <w:r>
        <w:rPr>
          <w:rStyle w:val="FootnoteReference"/>
        </w:rPr>
        <w:footnoteRef/>
      </w:r>
      <w:r>
        <w:t xml:space="preserve"> </w:t>
      </w:r>
      <w:r>
        <w:t xml:space="preserve">BH02573</w:t>
      </w:r>
    </w:p>
  </w:footnote>
  <w:footnote w:id="738">
    <w:p>
      <w:pPr>
        <w:pStyle w:val="FootnoteText"/>
      </w:pPr>
      <w:r>
        <w:rPr>
          <w:rStyle w:val="FootnoteReference"/>
        </w:rPr>
        <w:footnoteRef/>
      </w:r>
      <w:r>
        <w:t xml:space="preserve"> </w:t>
      </w:r>
      <w:r>
        <w:t xml:space="preserve">BH02352</w:t>
      </w:r>
    </w:p>
  </w:footnote>
  <w:footnote w:id="739">
    <w:p>
      <w:pPr>
        <w:pStyle w:val="FootnoteText"/>
      </w:pPr>
      <w:r>
        <w:rPr>
          <w:rStyle w:val="FootnoteReference"/>
        </w:rPr>
        <w:footnoteRef/>
      </w:r>
      <w:r>
        <w:t xml:space="preserve"> </w:t>
      </w:r>
      <w:r>
        <w:t xml:space="preserve">BH00357</w:t>
      </w:r>
    </w:p>
  </w:footnote>
  <w:footnote w:id="741">
    <w:p>
      <w:pPr>
        <w:pStyle w:val="FootnoteText"/>
      </w:pPr>
      <w:r>
        <w:rPr>
          <w:rStyle w:val="FootnoteReference"/>
        </w:rPr>
        <w:footnoteRef/>
      </w:r>
      <w:r>
        <w:t xml:space="preserve"> </w:t>
      </w:r>
      <w:r>
        <w:t xml:space="preserve">BH00035</w:t>
      </w:r>
    </w:p>
  </w:footnote>
  <w:footnote w:id="743">
    <w:p>
      <w:pPr>
        <w:pStyle w:val="FootnoteText"/>
      </w:pPr>
      <w:r>
        <w:rPr>
          <w:rStyle w:val="FootnoteReference"/>
        </w:rPr>
        <w:footnoteRef/>
      </w:r>
      <w:r>
        <w:t xml:space="preserve"> </w:t>
      </w:r>
      <w:r>
        <w:t xml:space="preserve">Kitáb-i-Aqdas #68</w:t>
      </w:r>
    </w:p>
  </w:footnote>
  <w:footnote w:id="747">
    <w:p>
      <w:pPr>
        <w:pStyle w:val="FootnoteText"/>
      </w:pPr>
      <w:r>
        <w:rPr>
          <w:rStyle w:val="FootnoteReference"/>
        </w:rPr>
        <w:footnoteRef/>
      </w:r>
      <w:r>
        <w:t xml:space="preserve"> </w:t>
      </w:r>
      <w:r>
        <w:t xml:space="preserve">Kitáb-i-Aqdas #49</w:t>
      </w:r>
    </w:p>
  </w:footnote>
  <w:footnote w:id="750">
    <w:p>
      <w:pPr>
        <w:pStyle w:val="FootnoteText"/>
      </w:pPr>
      <w:r>
        <w:rPr>
          <w:rStyle w:val="FootnoteReference"/>
        </w:rPr>
        <w:footnoteRef/>
      </w:r>
      <w:r>
        <w:t xml:space="preserve"> </w:t>
      </w:r>
      <w:r>
        <w:t xml:space="preserve">Kitáb-i-Aqdas #70</w:t>
      </w:r>
    </w:p>
  </w:footnote>
  <w:footnote w:id="751">
    <w:p>
      <w:pPr>
        <w:pStyle w:val="FootnoteText"/>
      </w:pPr>
      <w:r>
        <w:rPr>
          <w:rStyle w:val="FootnoteReference"/>
        </w:rPr>
        <w:footnoteRef/>
      </w:r>
      <w:r>
        <w:t xml:space="preserve"> </w:t>
      </w:r>
      <w:r>
        <w:t xml:space="preserve">Kitáb-i-Aqdas #148</w:t>
      </w:r>
    </w:p>
  </w:footnote>
  <w:footnote w:id="752">
    <w:p>
      <w:pPr>
        <w:pStyle w:val="FootnoteText"/>
      </w:pPr>
      <w:r>
        <w:rPr>
          <w:rStyle w:val="FootnoteReference"/>
        </w:rPr>
        <w:footnoteRef/>
      </w:r>
      <w:r>
        <w:t xml:space="preserve"> </w:t>
      </w:r>
      <w:r>
        <w:t xml:space="preserve">Kitáb-i-Aqdas #144</w:t>
      </w:r>
    </w:p>
  </w:footnote>
  <w:footnote w:id="753">
    <w:p>
      <w:pPr>
        <w:pStyle w:val="FootnoteText"/>
      </w:pPr>
      <w:r>
        <w:rPr>
          <w:rStyle w:val="FootnoteReference"/>
        </w:rPr>
        <w:footnoteRef/>
      </w:r>
      <w:r>
        <w:t xml:space="preserve"> </w:t>
      </w:r>
      <w:r>
        <w:t xml:space="preserve">Hidden Words, Persian #57</w:t>
      </w:r>
    </w:p>
  </w:footnote>
  <w:footnote w:id="756">
    <w:p>
      <w:pPr>
        <w:pStyle w:val="FootnoteText"/>
      </w:pPr>
      <w:r>
        <w:rPr>
          <w:rStyle w:val="FootnoteReference"/>
        </w:rPr>
        <w:footnoteRef/>
      </w:r>
      <w:r>
        <w:t xml:space="preserve"> </w:t>
      </w:r>
      <w:r>
        <w:t xml:space="preserve">BH00091</w:t>
      </w:r>
    </w:p>
  </w:footnote>
  <w:footnote w:id="757">
    <w:p>
      <w:pPr>
        <w:pStyle w:val="FootnoteText"/>
      </w:pPr>
      <w:r>
        <w:rPr>
          <w:rStyle w:val="FootnoteReference"/>
        </w:rPr>
        <w:footnoteRef/>
      </w:r>
      <w:r>
        <w:t xml:space="preserve"> </w:t>
      </w:r>
      <w:r>
        <w:t xml:space="preserve">Kitáb-i-Aqdas #61</w:t>
      </w:r>
    </w:p>
  </w:footnote>
  <w:footnote w:id="760">
    <w:p>
      <w:pPr>
        <w:pStyle w:val="FootnoteText"/>
      </w:pPr>
      <w:r>
        <w:rPr>
          <w:rStyle w:val="FootnoteReference"/>
        </w:rPr>
        <w:footnoteRef/>
      </w:r>
      <w:r>
        <w:t xml:space="preserve"> </w:t>
      </w:r>
      <w:r>
        <w:t xml:space="preserve">BH03310</w:t>
      </w:r>
    </w:p>
  </w:footnote>
  <w:footnote w:id="761">
    <w:p>
      <w:pPr>
        <w:pStyle w:val="FootnoteText"/>
      </w:pPr>
      <w:r>
        <w:rPr>
          <w:rStyle w:val="FootnoteReference"/>
        </w:rPr>
        <w:footnoteRef/>
      </w:r>
      <w:r>
        <w:t xml:space="preserve"> </w:t>
      </w:r>
      <w:r>
        <w:t xml:space="preserve">BH01039</w:t>
      </w:r>
    </w:p>
  </w:footnote>
  <w:footnote w:id="770">
    <w:p>
      <w:pPr>
        <w:pStyle w:val="FootnoteText"/>
      </w:pPr>
      <w:r>
        <w:rPr>
          <w:rStyle w:val="FootnoteReference"/>
        </w:rPr>
        <w:footnoteRef/>
      </w:r>
      <w:r>
        <w:t xml:space="preserve"> </w:t>
      </w:r>
      <w:r>
        <w:t xml:space="preserve">Kitáb-i-Aqdas #21</w:t>
      </w:r>
    </w:p>
  </w:footnote>
  <w:footnote w:id="771">
    <w:p>
      <w:pPr>
        <w:pStyle w:val="FootnoteText"/>
      </w:pPr>
      <w:r>
        <w:rPr>
          <w:rStyle w:val="FootnoteReference"/>
        </w:rPr>
        <w:footnoteRef/>
      </w:r>
      <w:r>
        <w:t xml:space="preserve"> </w:t>
      </w:r>
      <w:r>
        <w:t xml:space="preserve">Kitáb-i-Aqdas #27</w:t>
      </w:r>
    </w:p>
  </w:footnote>
  <w:footnote w:id="772">
    <w:p>
      <w:pPr>
        <w:pStyle w:val="FootnoteText"/>
      </w:pPr>
      <w:r>
        <w:rPr>
          <w:rStyle w:val="FootnoteReference"/>
        </w:rPr>
        <w:footnoteRef/>
      </w:r>
      <w:r>
        <w:t xml:space="preserve"> </w:t>
      </w:r>
      <w:r>
        <w:t xml:space="preserve">Kitáb-i-Aqdas #147</w:t>
      </w:r>
    </w:p>
  </w:footnote>
  <w:footnote w:id="773">
    <w:p>
      <w:pPr>
        <w:pStyle w:val="FootnoteText"/>
      </w:pPr>
      <w:r>
        <w:rPr>
          <w:rStyle w:val="FootnoteReference"/>
        </w:rPr>
        <w:footnoteRef/>
      </w:r>
      <w:r>
        <w:t xml:space="preserve"> </w:t>
      </w:r>
      <w:r>
        <w:t xml:space="preserve">Kitáb-i-Aqdas #172</w:t>
      </w:r>
    </w:p>
  </w:footnote>
  <w:footnote w:id="776">
    <w:p>
      <w:pPr>
        <w:pStyle w:val="FootnoteText"/>
      </w:pPr>
      <w:r>
        <w:rPr>
          <w:rStyle w:val="FootnoteReference"/>
        </w:rPr>
        <w:footnoteRef/>
      </w:r>
      <w:r>
        <w:t xml:space="preserve"> </w:t>
      </w:r>
      <w:r>
        <w:t xml:space="preserve">Kitáb-i-Aqdas #48</w:t>
      </w:r>
    </w:p>
  </w:footnote>
  <w:footnote w:id="777">
    <w:p>
      <w:pPr>
        <w:pStyle w:val="FootnoteText"/>
      </w:pPr>
      <w:r>
        <w:rPr>
          <w:rStyle w:val="FootnoteReference"/>
        </w:rPr>
        <w:footnoteRef/>
      </w:r>
      <w:r>
        <w:t xml:space="preserve"> </w:t>
      </w:r>
      <w:r>
        <w:t xml:space="preserve">BH09698</w:t>
      </w:r>
    </w:p>
  </w:footnote>
  <w:footnote w:id="778">
    <w:p>
      <w:pPr>
        <w:pStyle w:val="FootnoteText"/>
      </w:pPr>
      <w:r>
        <w:rPr>
          <w:rStyle w:val="FootnoteReference"/>
        </w:rPr>
        <w:footnoteRef/>
      </w:r>
      <w:r>
        <w:t xml:space="preserve"> </w:t>
      </w:r>
      <w:r>
        <w:t xml:space="preserve">Arabic Bayán Vahid 10, Gate 14</w:t>
      </w:r>
    </w:p>
  </w:footnote>
  <w:footnote w:id="780">
    <w:p>
      <w:pPr>
        <w:pStyle w:val="FootnoteText"/>
      </w:pPr>
      <w:r>
        <w:rPr>
          <w:rStyle w:val="FootnoteReference"/>
        </w:rPr>
        <w:footnoteRef/>
      </w:r>
      <w:r>
        <w:t xml:space="preserve"> </w:t>
      </w:r>
      <w:r>
        <w:t xml:space="preserve">Kitáb-i-Aqdas #21</w:t>
      </w:r>
    </w:p>
  </w:footnote>
  <w:footnote w:id="781">
    <w:p>
      <w:pPr>
        <w:pStyle w:val="FootnoteText"/>
      </w:pPr>
      <w:r>
        <w:rPr>
          <w:rStyle w:val="FootnoteReference"/>
        </w:rPr>
        <w:footnoteRef/>
      </w:r>
      <w:r>
        <w:t xml:space="preserve"> </w:t>
      </w:r>
      <w:r>
        <w:t xml:space="preserve">BH00332</w:t>
      </w:r>
    </w:p>
  </w:footnote>
  <w:footnote w:id="784">
    <w:p>
      <w:pPr>
        <w:pStyle w:val="FootnoteText"/>
      </w:pPr>
      <w:r>
        <w:rPr>
          <w:rStyle w:val="FootnoteReference"/>
        </w:rPr>
        <w:footnoteRef/>
      </w:r>
      <w:r>
        <w:t xml:space="preserve"> </w:t>
      </w:r>
      <w:r>
        <w:t xml:space="preserve">BH02374</w:t>
      </w:r>
    </w:p>
  </w:footnote>
  <w:footnote w:id="785">
    <w:p>
      <w:pPr>
        <w:pStyle w:val="FootnoteText"/>
      </w:pPr>
      <w:r>
        <w:rPr>
          <w:rStyle w:val="FootnoteReference"/>
        </w:rPr>
        <w:footnoteRef/>
      </w:r>
      <w:r>
        <w:t xml:space="preserve"> </w:t>
      </w:r>
      <w:r>
        <w:t xml:space="preserve">Arabic Bayán Vahid 10, Gate 14</w:t>
      </w:r>
    </w:p>
  </w:footnote>
  <w:footnote w:id="786">
    <w:p>
      <w:pPr>
        <w:pStyle w:val="FootnoteText"/>
      </w:pPr>
      <w:r>
        <w:rPr>
          <w:rStyle w:val="FootnoteReference"/>
        </w:rPr>
        <w:footnoteRef/>
      </w:r>
      <w:r>
        <w:t xml:space="preserve"> </w:t>
      </w:r>
      <w:r>
        <w:t xml:space="preserve">BH00035</w:t>
      </w:r>
    </w:p>
  </w:footnote>
  <w:footnote w:id="787">
    <w:p>
      <w:pPr>
        <w:pStyle w:val="FootnoteText"/>
      </w:pPr>
      <w:r>
        <w:rPr>
          <w:rStyle w:val="FootnoteReference"/>
        </w:rPr>
        <w:footnoteRef/>
      </w:r>
      <w:r>
        <w:t xml:space="preserve"> </w:t>
      </w:r>
      <w:r>
        <w:t xml:space="preserve">Kitáb-i-Aqdas #113</w:t>
      </w:r>
    </w:p>
  </w:footnote>
  <w:footnote w:id="788">
    <w:p>
      <w:pPr>
        <w:pStyle w:val="FootnoteText"/>
      </w:pPr>
      <w:r>
        <w:rPr>
          <w:rStyle w:val="FootnoteReference"/>
        </w:rPr>
        <w:footnoteRef/>
      </w:r>
      <w:r>
        <w:t xml:space="preserve"> </w:t>
      </w:r>
      <w:r>
        <w:t xml:space="preserve">BH00093</w:t>
      </w:r>
    </w:p>
  </w:footnote>
  <w:footnote w:id="791">
    <w:p>
      <w:pPr>
        <w:pStyle w:val="FootnoteText"/>
      </w:pPr>
      <w:r>
        <w:rPr>
          <w:rStyle w:val="FootnoteReference"/>
        </w:rPr>
        <w:footnoteRef/>
      </w:r>
      <w:r>
        <w:t xml:space="preserve"> </w:t>
      </w:r>
      <w:r>
        <w:t xml:space="preserve">Kitáb-i-Aqdas #147</w:t>
      </w:r>
    </w:p>
  </w:footnote>
  <w:footnote w:id="793">
    <w:p>
      <w:pPr>
        <w:pStyle w:val="FootnoteText"/>
      </w:pPr>
      <w:r>
        <w:rPr>
          <w:rStyle w:val="FootnoteReference"/>
        </w:rPr>
        <w:footnoteRef/>
      </w:r>
      <w:r>
        <w:t xml:space="preserve"> </w:t>
      </w:r>
      <w:r>
        <w:t xml:space="preserve">Kitáb-i-Aqdas #54</w:t>
      </w:r>
    </w:p>
  </w:footnote>
  <w:footnote w:id="794">
    <w:p>
      <w:pPr>
        <w:pStyle w:val="FootnoteText"/>
      </w:pPr>
      <w:r>
        <w:rPr>
          <w:rStyle w:val="FootnoteReference"/>
        </w:rPr>
        <w:footnoteRef/>
      </w:r>
      <w:r>
        <w:t xml:space="preserve"> </w:t>
      </w:r>
      <w:r>
        <w:t xml:space="preserve">Kitáb-i-Aqdas #64</w:t>
      </w:r>
    </w:p>
  </w:footnote>
  <w:footnote w:id="795">
    <w:p>
      <w:pPr>
        <w:pStyle w:val="FootnoteText"/>
      </w:pPr>
      <w:r>
        <w:rPr>
          <w:rStyle w:val="FootnoteReference"/>
        </w:rPr>
        <w:footnoteRef/>
      </w:r>
      <w:r>
        <w:t xml:space="preserve"> </w:t>
      </w:r>
      <w:r>
        <w:t xml:space="preserve">Persian Bayán Vahid 5 Gate 14</w:t>
      </w:r>
    </w:p>
  </w:footnote>
  <w:footnote w:id="796">
    <w:p>
      <w:pPr>
        <w:pStyle w:val="FootnoteText"/>
      </w:pPr>
      <w:r>
        <w:rPr>
          <w:rStyle w:val="FootnoteReference"/>
        </w:rPr>
        <w:footnoteRef/>
      </w:r>
      <w:r>
        <w:t xml:space="preserve"> </w:t>
      </w:r>
      <w:r>
        <w:t xml:space="preserve">Persian Bayán Vahid 5 Gate 3</w:t>
      </w:r>
    </w:p>
  </w:footnote>
  <w:footnote w:id="797">
    <w:p>
      <w:pPr>
        <w:pStyle w:val="FootnoteText"/>
      </w:pPr>
      <w:r>
        <w:rPr>
          <w:rStyle w:val="FootnoteReference"/>
        </w:rPr>
        <w:footnoteRef/>
      </w:r>
      <w:r>
        <w:t xml:space="preserve"> </w:t>
      </w:r>
      <w:r>
        <w:t xml:space="preserve">The Lawḥ-i-Aqdas (Most Holy Tablet)</w:t>
      </w:r>
    </w:p>
  </w:footnote>
  <w:footnote w:id="798">
    <w:p>
      <w:pPr>
        <w:pStyle w:val="FootnoteText"/>
      </w:pPr>
      <w:r>
        <w:rPr>
          <w:rStyle w:val="FootnoteReference"/>
        </w:rPr>
        <w:footnoteRef/>
      </w:r>
      <w:r>
        <w:t xml:space="preserve"> </w:t>
      </w:r>
      <w:r>
        <w:t xml:space="preserve">Kitáb-i-Aqdas #91</w:t>
      </w:r>
    </w:p>
  </w:footnote>
  <w:footnote w:id="799">
    <w:p>
      <w:pPr>
        <w:pStyle w:val="FootnoteText"/>
      </w:pPr>
      <w:r>
        <w:rPr>
          <w:rStyle w:val="FootnoteReference"/>
        </w:rPr>
        <w:footnoteRef/>
      </w:r>
      <w:r>
        <w:t xml:space="preserve"> </w:t>
      </w:r>
      <w:r>
        <w:t xml:space="preserve">Lawḥ-i-Arḍ-i-Bá (Tablet of the Land of Bá)</w:t>
      </w:r>
    </w:p>
  </w:footnote>
  <w:footnote w:id="800">
    <w:p>
      <w:pPr>
        <w:pStyle w:val="FootnoteText"/>
      </w:pPr>
      <w:r>
        <w:rPr>
          <w:rStyle w:val="FootnoteReference"/>
        </w:rPr>
        <w:footnoteRef/>
      </w:r>
      <w:r>
        <w:t xml:space="preserve"> </w:t>
      </w:r>
      <w:r>
        <w:t xml:space="preserve">BH00010</w:t>
      </w:r>
    </w:p>
  </w:footnote>
  <w:footnote w:id="801">
    <w:p>
      <w:pPr>
        <w:pStyle w:val="FootnoteText"/>
      </w:pPr>
      <w:r>
        <w:rPr>
          <w:rStyle w:val="FootnoteReference"/>
        </w:rPr>
        <w:footnoteRef/>
      </w:r>
      <w:r>
        <w:t xml:space="preserve"> </w:t>
      </w:r>
      <w:r>
        <w:t xml:space="preserve">The Hidden Words, Persian #2</w:t>
      </w:r>
    </w:p>
  </w:footnote>
  <w:footnote w:id="802">
    <w:p>
      <w:pPr>
        <w:pStyle w:val="FootnoteText"/>
      </w:pPr>
      <w:r>
        <w:rPr>
          <w:rStyle w:val="FootnoteReference"/>
        </w:rPr>
        <w:footnoteRef/>
      </w:r>
      <w:r>
        <w:t xml:space="preserve"> </w:t>
      </w:r>
      <w:r>
        <w:t xml:space="preserve">The Arabic Bayán Vahid 9, Gate 10</w:t>
      </w:r>
    </w:p>
  </w:footnote>
  <w:footnote w:id="804">
    <w:p>
      <w:pPr>
        <w:pStyle w:val="FootnoteText"/>
      </w:pPr>
      <w:r>
        <w:rPr>
          <w:rStyle w:val="FootnoteReference"/>
        </w:rPr>
        <w:footnoteRef/>
      </w:r>
      <w:r>
        <w:t xml:space="preserve"> </w:t>
      </w:r>
      <w:r>
        <w:t xml:space="preserve">Kitáb-i-Aqdas #187</w:t>
      </w:r>
    </w:p>
  </w:footnote>
  <w:footnote w:id="805">
    <w:p>
      <w:pPr>
        <w:pStyle w:val="FootnoteText"/>
      </w:pPr>
      <w:r>
        <w:rPr>
          <w:rStyle w:val="FootnoteReference"/>
        </w:rPr>
        <w:footnoteRef/>
      </w:r>
      <w:r>
        <w:t xml:space="preserve"> </w:t>
      </w:r>
      <w:r>
        <w:t xml:space="preserve">Kitáb-i-Aqdas #60</w:t>
      </w:r>
    </w:p>
  </w:footnote>
  <w:footnote w:id="808">
    <w:p>
      <w:pPr>
        <w:pStyle w:val="FootnoteText"/>
      </w:pPr>
      <w:r>
        <w:rPr>
          <w:rStyle w:val="FootnoteReference"/>
        </w:rPr>
        <w:footnoteRef/>
      </w:r>
      <w:r>
        <w:t xml:space="preserve"> </w:t>
      </w:r>
      <w:r>
        <w:t xml:space="preserve">Kitáb-i-Aqdas #109</w:t>
      </w:r>
    </w:p>
  </w:footnote>
  <w:footnote w:id="809">
    <w:p>
      <w:pPr>
        <w:pStyle w:val="FootnoteText"/>
      </w:pPr>
      <w:r>
        <w:rPr>
          <w:rStyle w:val="FootnoteReference"/>
        </w:rPr>
        <w:footnoteRef/>
      </w:r>
      <w:r>
        <w:t xml:space="preserve"> </w:t>
      </w:r>
      <w:r>
        <w:t xml:space="preserve">BH00984</w:t>
      </w:r>
    </w:p>
  </w:footnote>
  <w:footnote w:id="810">
    <w:p>
      <w:pPr>
        <w:pStyle w:val="FootnoteText"/>
      </w:pPr>
      <w:r>
        <w:rPr>
          <w:rStyle w:val="FootnoteReference"/>
        </w:rPr>
        <w:footnoteRef/>
      </w:r>
      <w:r>
        <w:t xml:space="preserve"> </w:t>
      </w:r>
      <w:r>
        <w:t xml:space="preserve">Arabic Bayán Vahid 10, Gate 14</w:t>
      </w:r>
    </w:p>
  </w:footnote>
  <w:footnote w:id="812">
    <w:p>
      <w:pPr>
        <w:pStyle w:val="FootnoteText"/>
      </w:pPr>
      <w:r>
        <w:rPr>
          <w:rStyle w:val="FootnoteReference"/>
        </w:rPr>
        <w:footnoteRef/>
      </w:r>
      <w:r>
        <w:t xml:space="preserve"> </w:t>
      </w:r>
      <w:r>
        <w:t xml:space="preserve">Kitáb-i-Aqdas #25</w:t>
      </w:r>
    </w:p>
  </w:footnote>
  <w:footnote w:id="814">
    <w:p>
      <w:pPr>
        <w:pStyle w:val="FootnoteText"/>
      </w:pPr>
      <w:r>
        <w:rPr>
          <w:rStyle w:val="FootnoteReference"/>
        </w:rPr>
        <w:footnoteRef/>
      </w:r>
      <w:r>
        <w:t xml:space="preserve"> </w:t>
      </w:r>
      <w:r>
        <w:t xml:space="preserve">Kitáb-i-Aqdas #21</w:t>
      </w:r>
    </w:p>
  </w:footnote>
  <w:footnote w:id="815">
    <w:p>
      <w:pPr>
        <w:pStyle w:val="FootnoteText"/>
      </w:pPr>
      <w:r>
        <w:rPr>
          <w:rStyle w:val="FootnoteReference"/>
        </w:rPr>
        <w:footnoteRef/>
      </w:r>
      <w:r>
        <w:t xml:space="preserve"> </w:t>
      </w:r>
      <w:r>
        <w:t xml:space="preserve">Kitáb-i-Aqdas #22</w:t>
      </w:r>
    </w:p>
  </w:footnote>
  <w:footnote w:id="816">
    <w:p>
      <w:pPr>
        <w:pStyle w:val="FootnoteText"/>
      </w:pPr>
      <w:r>
        <w:rPr>
          <w:rStyle w:val="FootnoteReference"/>
        </w:rPr>
        <w:footnoteRef/>
      </w:r>
      <w:r>
        <w:t xml:space="preserve"> </w:t>
      </w:r>
      <w:r>
        <w:t xml:space="preserve">Kitáb-i-Aqdas #23</w:t>
      </w:r>
    </w:p>
  </w:footnote>
  <w:footnote w:id="817">
    <w:p>
      <w:pPr>
        <w:pStyle w:val="FootnoteText"/>
      </w:pPr>
      <w:r>
        <w:rPr>
          <w:rStyle w:val="FootnoteReference"/>
        </w:rPr>
        <w:footnoteRef/>
      </w:r>
      <w:r>
        <w:t xml:space="preserve"> </w:t>
      </w:r>
      <w:r>
        <w:t xml:space="preserve">Kitáb-i-Aqdas #24</w:t>
      </w:r>
    </w:p>
  </w:footnote>
  <w:footnote w:id="830">
    <w:p>
      <w:pPr>
        <w:pStyle w:val="FootnoteText"/>
      </w:pPr>
      <w:r>
        <w:rPr>
          <w:rStyle w:val="FootnoteReference"/>
        </w:rPr>
        <w:footnoteRef/>
      </w:r>
      <w:r>
        <w:t xml:space="preserve"> </w:t>
      </w:r>
      <w:r>
        <w:t xml:space="preserve">Lawh-i-Ishráqát</w:t>
      </w:r>
    </w:p>
  </w:footnote>
  <w:footnote w:id="831">
    <w:p>
      <w:pPr>
        <w:pStyle w:val="FootnoteText"/>
      </w:pPr>
      <w:r>
        <w:rPr>
          <w:rStyle w:val="FootnoteReference"/>
        </w:rPr>
        <w:footnoteRef/>
      </w:r>
      <w:r>
        <w:t xml:space="preserve"> </w:t>
      </w:r>
      <w:r>
        <w:t xml:space="preserve">BH00093</w:t>
      </w:r>
    </w:p>
  </w:footnote>
  <w:footnote w:id="832">
    <w:p>
      <w:pPr>
        <w:pStyle w:val="FootnoteText"/>
      </w:pPr>
      <w:r>
        <w:rPr>
          <w:rStyle w:val="FootnoteReference"/>
        </w:rPr>
        <w:footnoteRef/>
      </w:r>
      <w:r>
        <w:t xml:space="preserve"> </w:t>
      </w:r>
      <w:r>
        <w:t xml:space="preserve">Kitáb-i-Aqdas #30</w:t>
      </w:r>
    </w:p>
  </w:footnote>
  <w:footnote w:id="833">
    <w:p>
      <w:pPr>
        <w:pStyle w:val="FootnoteText"/>
      </w:pPr>
      <w:r>
        <w:rPr>
          <w:rStyle w:val="FootnoteReference"/>
        </w:rPr>
        <w:footnoteRef/>
      </w:r>
      <w:r>
        <w:t xml:space="preserve"> </w:t>
      </w:r>
      <w:r>
        <w:t xml:space="preserve">BH00046</w:t>
      </w:r>
    </w:p>
  </w:footnote>
  <w:footnote w:id="834">
    <w:p>
      <w:pPr>
        <w:pStyle w:val="FootnoteText"/>
      </w:pPr>
      <w:r>
        <w:rPr>
          <w:rStyle w:val="FootnoteReference"/>
        </w:rPr>
        <w:footnoteRef/>
      </w:r>
      <w:r>
        <w:t xml:space="preserve"> </w:t>
      </w:r>
      <w:r>
        <w:t xml:space="preserve">BH00083</w:t>
      </w:r>
    </w:p>
  </w:footnote>
  <w:footnote w:id="835">
    <w:p>
      <w:pPr>
        <w:pStyle w:val="FootnoteText"/>
      </w:pPr>
      <w:r>
        <w:rPr>
          <w:rStyle w:val="FootnoteReference"/>
        </w:rPr>
        <w:footnoteRef/>
      </w:r>
      <w:r>
        <w:t xml:space="preserve"> </w:t>
      </w:r>
      <w:r>
        <w:t xml:space="preserve">BH00083</w:t>
      </w:r>
    </w:p>
  </w:footnote>
  <w:footnote w:id="836">
    <w:p>
      <w:pPr>
        <w:pStyle w:val="FootnoteText"/>
      </w:pPr>
      <w:r>
        <w:rPr>
          <w:rStyle w:val="FootnoteReference"/>
        </w:rPr>
        <w:footnoteRef/>
      </w:r>
      <w:r>
        <w:t xml:space="preserve"> </w:t>
      </w:r>
      <w:r>
        <w:t xml:space="preserve">BH00123</w:t>
      </w:r>
    </w:p>
  </w:footnote>
  <w:footnote w:id="837">
    <w:p>
      <w:pPr>
        <w:pStyle w:val="FootnoteText"/>
      </w:pPr>
      <w:r>
        <w:rPr>
          <w:rStyle w:val="FootnoteReference"/>
        </w:rPr>
        <w:footnoteRef/>
      </w:r>
      <w:r>
        <w:t xml:space="preserve"> </w:t>
      </w:r>
      <w:r>
        <w:t xml:space="preserve">BH00083</w:t>
      </w:r>
    </w:p>
  </w:footnote>
  <w:footnote w:id="838">
    <w:p>
      <w:pPr>
        <w:pStyle w:val="FootnoteText"/>
      </w:pPr>
      <w:r>
        <w:rPr>
          <w:rStyle w:val="FootnoteReference"/>
        </w:rPr>
        <w:footnoteRef/>
      </w:r>
      <w:r>
        <w:t xml:space="preserve"> </w:t>
      </w:r>
      <w:r>
        <w:t xml:space="preserve">BH00040</w:t>
      </w:r>
    </w:p>
  </w:footnote>
  <w:footnote w:id="839">
    <w:p>
      <w:pPr>
        <w:pStyle w:val="FootnoteText"/>
      </w:pPr>
      <w:r>
        <w:rPr>
          <w:rStyle w:val="FootnoteReference"/>
        </w:rPr>
        <w:footnoteRef/>
      </w:r>
      <w:r>
        <w:t xml:space="preserve"> </w:t>
      </w:r>
      <w:r>
        <w:t xml:space="preserve">BH00093</w:t>
      </w:r>
    </w:p>
  </w:footnote>
  <w:footnote w:id="841">
    <w:p>
      <w:pPr>
        <w:pStyle w:val="FootnoteText"/>
      </w:pPr>
      <w:r>
        <w:rPr>
          <w:rStyle w:val="FootnoteReference"/>
        </w:rPr>
        <w:footnoteRef/>
      </w:r>
      <w:r>
        <w:t xml:space="preserve"> </w:t>
      </w:r>
      <w:r>
        <w:t xml:space="preserve">BH00059</w:t>
      </w:r>
    </w:p>
  </w:footnote>
  <w:footnote w:id="850">
    <w:p>
      <w:pPr>
        <w:pStyle w:val="FootnoteText"/>
      </w:pPr>
      <w:r>
        <w:rPr>
          <w:rStyle w:val="FootnoteReference"/>
        </w:rPr>
        <w:footnoteRef/>
      </w:r>
      <w:r>
        <w:t xml:space="preserve"> </w:t>
      </w:r>
      <w:r>
        <w:t xml:space="preserve">BH06839</w:t>
      </w:r>
    </w:p>
  </w:footnote>
  <w:footnote w:id="851">
    <w:p>
      <w:pPr>
        <w:pStyle w:val="FootnoteText"/>
      </w:pPr>
      <w:r>
        <w:rPr>
          <w:rStyle w:val="FootnoteReference"/>
        </w:rPr>
        <w:footnoteRef/>
      </w:r>
      <w:r>
        <w:t xml:space="preserve"> </w:t>
      </w:r>
      <w:r>
        <w:t xml:space="preserve">BH04495</w:t>
      </w:r>
    </w:p>
  </w:footnote>
  <w:footnote w:id="852">
    <w:p>
      <w:pPr>
        <w:pStyle w:val="FootnoteText"/>
      </w:pPr>
      <w:r>
        <w:rPr>
          <w:rStyle w:val="FootnoteReference"/>
        </w:rPr>
        <w:footnoteRef/>
      </w:r>
      <w:r>
        <w:t xml:space="preserve"> </w:t>
      </w:r>
      <w:r>
        <w:t xml:space="preserve">BH06839</w:t>
      </w:r>
    </w:p>
  </w:footnote>
  <w:footnote w:id="853">
    <w:p>
      <w:pPr>
        <w:pStyle w:val="FootnoteText"/>
      </w:pPr>
      <w:r>
        <w:rPr>
          <w:rStyle w:val="FootnoteReference"/>
        </w:rPr>
        <w:footnoteRef/>
      </w:r>
      <w:r>
        <w:t xml:space="preserve"> </w:t>
      </w:r>
      <w:r>
        <w:t xml:space="preserve">BH04495</w:t>
      </w:r>
    </w:p>
  </w:footnote>
  <w:footnote w:id="857">
    <w:p>
      <w:pPr>
        <w:pStyle w:val="FootnoteText"/>
      </w:pPr>
      <w:r>
        <w:rPr>
          <w:rStyle w:val="FootnoteReference"/>
        </w:rPr>
        <w:footnoteRef/>
      </w:r>
      <w:r>
        <w:t xml:space="preserve"> </w:t>
      </w:r>
      <w:r>
        <w:t xml:space="preserve">Kitáb-i-Aqdas #21</w:t>
      </w:r>
    </w:p>
  </w:footnote>
  <w:footnote w:id="858">
    <w:p>
      <w:pPr>
        <w:pStyle w:val="FootnoteText"/>
      </w:pPr>
      <w:r>
        <w:rPr>
          <w:rStyle w:val="FootnoteReference"/>
        </w:rPr>
        <w:footnoteRef/>
      </w:r>
      <w:r>
        <w:t xml:space="preserve"> </w:t>
      </w:r>
      <w:r>
        <w:t xml:space="preserve">Kitáb-i-Aqdas #30</w:t>
      </w:r>
    </w:p>
  </w:footnote>
  <w:footnote w:id="859">
    <w:p>
      <w:pPr>
        <w:pStyle w:val="FootnoteText"/>
      </w:pPr>
      <w:r>
        <w:rPr>
          <w:rStyle w:val="FootnoteReference"/>
        </w:rPr>
        <w:footnoteRef/>
      </w:r>
      <w:r>
        <w:t xml:space="preserve"> </w:t>
      </w:r>
      <w:r>
        <w:t xml:space="preserve">Kitáb-i-Aqdas #52</w:t>
      </w:r>
    </w:p>
  </w:footnote>
  <w:footnote w:id="860">
    <w:p>
      <w:pPr>
        <w:pStyle w:val="FootnoteText"/>
      </w:pPr>
      <w:r>
        <w:rPr>
          <w:rStyle w:val="FootnoteReference"/>
        </w:rPr>
        <w:footnoteRef/>
      </w:r>
      <w:r>
        <w:t xml:space="preserve"> </w:t>
      </w:r>
      <w:r>
        <w:t xml:space="preserve">Tablet of Splendors, 8th Illumination</w:t>
      </w:r>
    </w:p>
  </w:footnote>
  <w:footnote w:id="861">
    <w:p>
      <w:pPr>
        <w:pStyle w:val="FootnoteText"/>
      </w:pPr>
      <w:r>
        <w:rPr>
          <w:rStyle w:val="FootnoteReference"/>
        </w:rPr>
        <w:footnoteRef/>
      </w:r>
      <w:r>
        <w:t xml:space="preserve"> </w:t>
      </w:r>
      <w:r>
        <w:t xml:space="preserve">Tablet of Splendors, 8th Illumination</w:t>
      </w:r>
    </w:p>
  </w:footnote>
  <w:footnote w:id="862">
    <w:p>
      <w:pPr>
        <w:pStyle w:val="FootnoteText"/>
      </w:pPr>
      <w:r>
        <w:rPr>
          <w:rStyle w:val="FootnoteReference"/>
        </w:rPr>
        <w:footnoteRef/>
      </w:r>
      <w:r>
        <w:t xml:space="preserve"> </w:t>
      </w:r>
      <w:r>
        <w:t xml:space="preserve">Kitáb-i-Aqdas #30</w:t>
      </w:r>
    </w:p>
  </w:footnote>
  <w:footnote w:id="863">
    <w:p>
      <w:pPr>
        <w:pStyle w:val="FootnoteText"/>
      </w:pPr>
      <w:r>
        <w:rPr>
          <w:rStyle w:val="FootnoteReference"/>
        </w:rPr>
        <w:footnoteRef/>
      </w:r>
      <w:r>
        <w:t xml:space="preserve"> </w:t>
      </w:r>
      <w:r>
        <w:t xml:space="preserve">Kitáb-i-Aqdas #42</w:t>
      </w:r>
    </w:p>
  </w:footnote>
  <w:footnote w:id="871">
    <w:p>
      <w:pPr>
        <w:pStyle w:val="FootnoteText"/>
      </w:pPr>
      <w:r>
        <w:rPr>
          <w:rStyle w:val="FootnoteReference"/>
        </w:rPr>
        <w:footnoteRef/>
      </w:r>
      <w:r>
        <w:t xml:space="preserve"> </w:t>
      </w:r>
      <w:r>
        <w:rPr>
          <w:iCs/>
          <w:i/>
          <w:bCs/>
          <w:b/>
        </w:rPr>
        <w:t xml:space="preserve">Lawḥ-i-Bishárát</w:t>
      </w:r>
    </w:p>
  </w:footnote>
  <w:footnote w:id="873">
    <w:p>
      <w:pPr>
        <w:pStyle w:val="FootnoteText"/>
      </w:pPr>
      <w:r>
        <w:rPr>
          <w:rStyle w:val="FootnoteReference"/>
        </w:rPr>
        <w:footnoteRef/>
      </w:r>
      <w:r>
        <w:t xml:space="preserve"> </w:t>
      </w:r>
      <w:r>
        <w:t xml:space="preserve">Lawḥ-i-Ishráqát</w:t>
      </w:r>
    </w:p>
  </w:footnote>
  <w:footnote w:id="874">
    <w:p>
      <w:pPr>
        <w:pStyle w:val="FootnoteText"/>
      </w:pPr>
      <w:r>
        <w:rPr>
          <w:rStyle w:val="FootnoteReference"/>
        </w:rPr>
        <w:footnoteRef/>
      </w:r>
      <w:r>
        <w:t xml:space="preserve"> </w:t>
      </w:r>
      <w:r>
        <w:t xml:space="preserve">Lawḥ-i-Dunyá (Tablet of the World)</w:t>
      </w:r>
    </w:p>
  </w:footnote>
  <w:footnote w:id="875">
    <w:p>
      <w:pPr>
        <w:pStyle w:val="FootnoteText"/>
      </w:pPr>
      <w:r>
        <w:rPr>
          <w:rStyle w:val="FootnoteReference"/>
        </w:rPr>
        <w:footnoteRef/>
      </w:r>
      <w:r>
        <w:t xml:space="preserve"> </w:t>
      </w:r>
      <w:r>
        <w:t xml:space="preserve">Kalimát-i-Firdawsíyyih (Words of Paradise)</w:t>
      </w:r>
    </w:p>
  </w:footnote>
  <w:footnote w:id="880">
    <w:p>
      <w:pPr>
        <w:pStyle w:val="FootnoteText"/>
      </w:pPr>
      <w:r>
        <w:rPr>
          <w:rStyle w:val="FootnoteReference"/>
        </w:rPr>
        <w:footnoteRef/>
      </w:r>
      <w:r>
        <w:t xml:space="preserve"> </w:t>
      </w:r>
      <w:r>
        <w:t xml:space="preserve">Lawḥ-i-Dunyá (Tablet of the World)</w:t>
      </w:r>
    </w:p>
  </w:footnote>
  <w:footnote w:id="882">
    <w:p>
      <w:pPr>
        <w:pStyle w:val="FootnoteText"/>
      </w:pPr>
      <w:r>
        <w:rPr>
          <w:rStyle w:val="FootnoteReference"/>
        </w:rPr>
        <w:footnoteRef/>
      </w:r>
      <w:r>
        <w:t xml:space="preserve"> </w:t>
      </w:r>
      <w:r>
        <w:t xml:space="preserve">Kitáb-i-Aqdas #85</w:t>
      </w:r>
    </w:p>
  </w:footnote>
  <w:footnote w:id="884">
    <w:p>
      <w:pPr>
        <w:pStyle w:val="FootnoteText"/>
      </w:pPr>
      <w:r>
        <w:rPr>
          <w:rStyle w:val="FootnoteReference"/>
        </w:rPr>
        <w:footnoteRef/>
      </w:r>
      <w:r>
        <w:t xml:space="preserve"> </w:t>
      </w:r>
      <w:r>
        <w:t xml:space="preserve">Kitáb-i-Aqdas #86</w:t>
      </w:r>
    </w:p>
  </w:footnote>
  <w:footnote w:id="887">
    <w:p>
      <w:pPr>
        <w:pStyle w:val="FootnoteText"/>
      </w:pPr>
      <w:r>
        <w:rPr>
          <w:rStyle w:val="FootnoteReference"/>
        </w:rPr>
        <w:footnoteRef/>
      </w:r>
      <w:r>
        <w:t xml:space="preserve"> </w:t>
      </w:r>
      <w:r>
        <w:t xml:space="preserve">Kitáb-i-Aqdas #88</w:t>
      </w:r>
    </w:p>
  </w:footnote>
  <w:footnote w:id="891">
    <w:p>
      <w:pPr>
        <w:pStyle w:val="FootnoteText"/>
      </w:pPr>
      <w:r>
        <w:rPr>
          <w:rStyle w:val="FootnoteReference"/>
        </w:rPr>
        <w:footnoteRef/>
      </w:r>
      <w:r>
        <w:t xml:space="preserve"> </w:t>
      </w:r>
      <w:r>
        <w:t xml:space="preserve">Kitáb-i-Aqdas #79</w:t>
      </w:r>
    </w:p>
  </w:footnote>
  <w:footnote w:id="892">
    <w:p>
      <w:pPr>
        <w:pStyle w:val="FootnoteText"/>
      </w:pPr>
      <w:r>
        <w:rPr>
          <w:rStyle w:val="FootnoteReference"/>
        </w:rPr>
        <w:footnoteRef/>
      </w:r>
      <w:r>
        <w:t xml:space="preserve"> </w:t>
      </w:r>
      <w:r>
        <w:t xml:space="preserve">Súríy-i-Mulúk #21</w:t>
      </w:r>
    </w:p>
  </w:footnote>
  <w:footnote w:id="893">
    <w:p>
      <w:pPr>
        <w:pStyle w:val="FootnoteText"/>
      </w:pPr>
      <w:r>
        <w:rPr>
          <w:rStyle w:val="FootnoteReference"/>
        </w:rPr>
        <w:footnoteRef/>
      </w:r>
      <w:r>
        <w:t xml:space="preserve"> </w:t>
      </w:r>
      <w:r>
        <w:t xml:space="preserve">Súríy-i-Mulúk #62</w:t>
      </w:r>
    </w:p>
  </w:footnote>
  <w:footnote w:id="894">
    <w:p>
      <w:pPr>
        <w:pStyle w:val="FootnoteText"/>
      </w:pPr>
      <w:r>
        <w:rPr>
          <w:rStyle w:val="FootnoteReference"/>
        </w:rPr>
        <w:footnoteRef/>
      </w:r>
      <w:r>
        <w:t xml:space="preserve"> </w:t>
      </w:r>
      <w:r>
        <w:t xml:space="preserve">Kitáb-i-Aqdas #82</w:t>
      </w:r>
    </w:p>
  </w:footnote>
  <w:footnote w:id="895">
    <w:p>
      <w:pPr>
        <w:pStyle w:val="FootnoteText"/>
      </w:pPr>
      <w:r>
        <w:rPr>
          <w:rStyle w:val="FootnoteReference"/>
        </w:rPr>
        <w:footnoteRef/>
      </w:r>
      <w:r>
        <w:t xml:space="preserve"> </w:t>
      </w:r>
      <w:r>
        <w:t xml:space="preserve">Súríy-i-Mulúk #61</w:t>
      </w:r>
    </w:p>
  </w:footnote>
  <w:footnote w:id="896">
    <w:p>
      <w:pPr>
        <w:pStyle w:val="FootnoteText"/>
      </w:pPr>
      <w:r>
        <w:rPr>
          <w:rStyle w:val="FootnoteReference"/>
        </w:rPr>
        <w:footnoteRef/>
      </w:r>
      <w:r>
        <w:t xml:space="preserve"> </w:t>
      </w:r>
      <w:r>
        <w:t xml:space="preserve">Kitáb-i-Aqdas #84</w:t>
      </w:r>
    </w:p>
  </w:footnote>
  <w:footnote w:id="897">
    <w:p>
      <w:pPr>
        <w:pStyle w:val="FootnoteText"/>
      </w:pPr>
      <w:r>
        <w:rPr>
          <w:rStyle w:val="FootnoteReference"/>
        </w:rPr>
        <w:footnoteRef/>
      </w:r>
      <w:r>
        <w:t xml:space="preserve"> </w:t>
      </w:r>
      <w:r>
        <w:t xml:space="preserve">Súríy-i-Mulúk #23</w:t>
      </w:r>
    </w:p>
  </w:footnote>
  <w:footnote w:id="899">
    <w:p>
      <w:pPr>
        <w:pStyle w:val="FootnoteText"/>
      </w:pPr>
      <w:r>
        <w:rPr>
          <w:rStyle w:val="FootnoteReference"/>
        </w:rPr>
        <w:footnoteRef/>
      </w:r>
      <w:r>
        <w:t xml:space="preserve"> </w:t>
      </w:r>
      <w:r>
        <w:t xml:space="preserve">Súríy-i-Mulúk #10</w:t>
      </w:r>
    </w:p>
  </w:footnote>
  <w:footnote w:id="900">
    <w:p>
      <w:pPr>
        <w:pStyle w:val="FootnoteText"/>
      </w:pPr>
      <w:r>
        <w:rPr>
          <w:rStyle w:val="FootnoteReference"/>
        </w:rPr>
        <w:footnoteRef/>
      </w:r>
      <w:r>
        <w:t xml:space="preserve"> </w:t>
      </w:r>
      <w:r>
        <w:t xml:space="preserve">Súríy-i-Mulúk #14</w:t>
      </w:r>
    </w:p>
  </w:footnote>
  <w:footnote w:id="901">
    <w:p>
      <w:pPr>
        <w:pStyle w:val="FootnoteText"/>
      </w:pPr>
      <w:r>
        <w:rPr>
          <w:rStyle w:val="FootnoteReference"/>
        </w:rPr>
        <w:footnoteRef/>
      </w:r>
      <w:r>
        <w:t xml:space="preserve"> </w:t>
      </w:r>
      <w:r>
        <w:t xml:space="preserve">Súríy-i-Mulúk #14</w:t>
      </w:r>
    </w:p>
  </w:footnote>
  <w:footnote w:id="902">
    <w:p>
      <w:pPr>
        <w:pStyle w:val="FootnoteText"/>
      </w:pPr>
      <w:r>
        <w:rPr>
          <w:rStyle w:val="FootnoteReference"/>
        </w:rPr>
        <w:footnoteRef/>
      </w:r>
      <w:r>
        <w:t xml:space="preserve"> </w:t>
      </w:r>
      <w:r>
        <w:t xml:space="preserve">Súríy-i-Mulúk #19</w:t>
      </w:r>
    </w:p>
  </w:footnote>
  <w:footnote w:id="903">
    <w:p>
      <w:pPr>
        <w:pStyle w:val="FootnoteText"/>
      </w:pPr>
      <w:r>
        <w:rPr>
          <w:rStyle w:val="FootnoteReference"/>
        </w:rPr>
        <w:footnoteRef/>
      </w:r>
      <w:r>
        <w:t xml:space="preserve"> </w:t>
      </w:r>
      <w:r>
        <w:t xml:space="preserve">Súríy-i-Mulúk #30</w:t>
      </w:r>
    </w:p>
  </w:footnote>
  <w:footnote w:id="904">
    <w:p>
      <w:pPr>
        <w:pStyle w:val="FootnoteText"/>
      </w:pPr>
      <w:r>
        <w:rPr>
          <w:rStyle w:val="FootnoteReference"/>
        </w:rPr>
        <w:footnoteRef/>
      </w:r>
      <w:r>
        <w:t xml:space="preserve"> </w:t>
      </w:r>
      <w:r>
        <w:t xml:space="preserve">Súríy-i-Mulúk #32</w:t>
      </w:r>
    </w:p>
  </w:footnote>
  <w:footnote w:id="905">
    <w:p>
      <w:pPr>
        <w:pStyle w:val="FootnoteText"/>
      </w:pPr>
      <w:r>
        <w:rPr>
          <w:rStyle w:val="FootnoteReference"/>
        </w:rPr>
        <w:footnoteRef/>
      </w:r>
      <w:r>
        <w:t xml:space="preserve"> </w:t>
      </w:r>
      <w:r>
        <w:t xml:space="preserve">Súríy-i-Mulúk #83</w:t>
      </w:r>
    </w:p>
  </w:footnote>
  <w:footnote w:id="906">
    <w:p>
      <w:pPr>
        <w:pStyle w:val="FootnoteText"/>
      </w:pPr>
      <w:r>
        <w:rPr>
          <w:rStyle w:val="FootnoteReference"/>
        </w:rPr>
        <w:footnoteRef/>
      </w:r>
      <w:r>
        <w:t xml:space="preserve"> </w:t>
      </w:r>
      <w:r>
        <w:t xml:space="preserve">Súríy-i-Mulúk #35</w:t>
      </w:r>
    </w:p>
  </w:footnote>
  <w:footnote w:id="907">
    <w:p>
      <w:pPr>
        <w:pStyle w:val="FootnoteText"/>
      </w:pPr>
      <w:r>
        <w:rPr>
          <w:rStyle w:val="FootnoteReference"/>
        </w:rPr>
        <w:footnoteRef/>
      </w:r>
      <w:r>
        <w:t xml:space="preserve"> </w:t>
      </w:r>
      <w:r>
        <w:t xml:space="preserve">Súríy-i-Mulúk #37</w:t>
      </w:r>
    </w:p>
  </w:footnote>
  <w:footnote w:id="908">
    <w:p>
      <w:pPr>
        <w:pStyle w:val="FootnoteText"/>
      </w:pPr>
      <w:r>
        <w:rPr>
          <w:rStyle w:val="FootnoteReference"/>
        </w:rPr>
        <w:footnoteRef/>
      </w:r>
      <w:r>
        <w:t xml:space="preserve"> </w:t>
      </w:r>
      <w:r>
        <w:t xml:space="preserve">Súríy-i-Mulúk #42</w:t>
      </w:r>
    </w:p>
  </w:footnote>
  <w:footnote w:id="910">
    <w:p>
      <w:pPr>
        <w:pStyle w:val="FootnoteText"/>
      </w:pPr>
      <w:r>
        <w:rPr>
          <w:rStyle w:val="FootnoteReference"/>
        </w:rPr>
        <w:footnoteRef/>
      </w:r>
      <w:r>
        <w:t xml:space="preserve"> </w:t>
      </w:r>
      <w:r>
        <w:t xml:space="preserve">Súríy-i-Mulúk #11</w:t>
      </w:r>
    </w:p>
  </w:footnote>
  <w:footnote w:id="911">
    <w:p>
      <w:pPr>
        <w:pStyle w:val="FootnoteText"/>
      </w:pPr>
      <w:r>
        <w:rPr>
          <w:rStyle w:val="FootnoteReference"/>
        </w:rPr>
        <w:footnoteRef/>
      </w:r>
      <w:r>
        <w:t xml:space="preserve"> </w:t>
      </w:r>
      <w:r>
        <w:t xml:space="preserve">Súríy-i-Mulúk #12</w:t>
      </w:r>
    </w:p>
  </w:footnote>
  <w:footnote w:id="912">
    <w:p>
      <w:pPr>
        <w:pStyle w:val="FootnoteText"/>
      </w:pPr>
      <w:r>
        <w:rPr>
          <w:rStyle w:val="FootnoteReference"/>
        </w:rPr>
        <w:footnoteRef/>
      </w:r>
      <w:r>
        <w:t xml:space="preserve"> </w:t>
      </w:r>
      <w:r>
        <w:t xml:space="preserve">Súríy-i-Mulúk #12</w:t>
      </w:r>
    </w:p>
  </w:footnote>
  <w:footnote w:id="913">
    <w:p>
      <w:pPr>
        <w:pStyle w:val="FootnoteText"/>
      </w:pPr>
      <w:r>
        <w:rPr>
          <w:rStyle w:val="FootnoteReference"/>
        </w:rPr>
        <w:footnoteRef/>
      </w:r>
      <w:r>
        <w:t xml:space="preserve"> </w:t>
      </w:r>
      <w:r>
        <w:t xml:space="preserve">Súríy-i-Mulúk #59</w:t>
      </w:r>
    </w:p>
  </w:footnote>
  <w:footnote w:id="915">
    <w:p>
      <w:pPr>
        <w:pStyle w:val="FootnoteText"/>
      </w:pPr>
      <w:r>
        <w:rPr>
          <w:rStyle w:val="FootnoteReference"/>
        </w:rPr>
        <w:footnoteRef/>
      </w:r>
      <w:r>
        <w:t xml:space="preserve"> </w:t>
      </w:r>
      <w:r>
        <w:t xml:space="preserve">Súríy-i-Mulúk #10</w:t>
      </w:r>
    </w:p>
  </w:footnote>
  <w:footnote w:id="916">
    <w:p>
      <w:pPr>
        <w:pStyle w:val="FootnoteText"/>
      </w:pPr>
      <w:r>
        <w:rPr>
          <w:rStyle w:val="FootnoteReference"/>
        </w:rPr>
        <w:footnoteRef/>
      </w:r>
      <w:r>
        <w:t xml:space="preserve"> </w:t>
      </w:r>
      <w:r>
        <w:t xml:space="preserve">Súríy-i-Mulúk #10</w:t>
      </w:r>
    </w:p>
  </w:footnote>
  <w:footnote w:id="917">
    <w:p>
      <w:pPr>
        <w:pStyle w:val="FootnoteText"/>
      </w:pPr>
      <w:r>
        <w:rPr>
          <w:rStyle w:val="FootnoteReference"/>
        </w:rPr>
        <w:footnoteRef/>
      </w:r>
      <w:r>
        <w:t xml:space="preserve"> </w:t>
      </w:r>
      <w:r>
        <w:t xml:space="preserve">Súríy-i-Mulúk #11</w:t>
      </w:r>
    </w:p>
  </w:footnote>
  <w:footnote w:id="918">
    <w:p>
      <w:pPr>
        <w:pStyle w:val="FootnoteText"/>
      </w:pPr>
      <w:r>
        <w:rPr>
          <w:rStyle w:val="FootnoteReference"/>
        </w:rPr>
        <w:footnoteRef/>
      </w:r>
      <w:r>
        <w:t xml:space="preserve"> </w:t>
      </w:r>
      <w:r>
        <w:t xml:space="preserve">Súríy-i-Mulúk #10</w:t>
      </w:r>
    </w:p>
  </w:footnote>
  <w:footnote w:id="920">
    <w:p>
      <w:pPr>
        <w:pStyle w:val="FootnoteText"/>
      </w:pPr>
      <w:r>
        <w:rPr>
          <w:rStyle w:val="FootnoteReference"/>
        </w:rPr>
        <w:footnoteRef/>
      </w:r>
      <w:r>
        <w:t xml:space="preserve"> </w:t>
      </w:r>
      <w:r>
        <w:t xml:space="preserve">Súríy-i-Mulúk #43</w:t>
      </w:r>
    </w:p>
  </w:footnote>
  <w:footnote w:id="921">
    <w:p>
      <w:pPr>
        <w:pStyle w:val="FootnoteText"/>
      </w:pPr>
      <w:r>
        <w:rPr>
          <w:rStyle w:val="FootnoteReference"/>
        </w:rPr>
        <w:footnoteRef/>
      </w:r>
      <w:r>
        <w:t xml:space="preserve"> </w:t>
      </w:r>
      <w:r>
        <w:t xml:space="preserve">Súríy-i-Mulúk #54</w:t>
      </w:r>
    </w:p>
  </w:footnote>
  <w:footnote w:id="922">
    <w:p>
      <w:pPr>
        <w:pStyle w:val="FootnoteText"/>
      </w:pPr>
      <w:r>
        <w:rPr>
          <w:rStyle w:val="FootnoteReference"/>
        </w:rPr>
        <w:footnoteRef/>
      </w:r>
      <w:r>
        <w:t xml:space="preserve"> </w:t>
      </w:r>
      <w:r>
        <w:t xml:space="preserve">Súríy-i-Mulúk #54</w:t>
      </w:r>
    </w:p>
  </w:footnote>
  <w:footnote w:id="923">
    <w:p>
      <w:pPr>
        <w:pStyle w:val="FootnoteText"/>
      </w:pPr>
      <w:r>
        <w:rPr>
          <w:rStyle w:val="FootnoteReference"/>
        </w:rPr>
        <w:footnoteRef/>
      </w:r>
      <w:r>
        <w:t xml:space="preserve"> </w:t>
      </w:r>
      <w:r>
        <w:t xml:space="preserve">Súríy-i-Mulúk #56</w:t>
      </w:r>
    </w:p>
  </w:footnote>
  <w:footnote w:id="928">
    <w:p>
      <w:pPr>
        <w:pStyle w:val="FootnoteText"/>
      </w:pPr>
      <w:r>
        <w:rPr>
          <w:rStyle w:val="FootnoteReference"/>
        </w:rPr>
        <w:footnoteRef/>
      </w:r>
      <w:r>
        <w:t xml:space="preserve"> </w:t>
      </w:r>
      <w:r>
        <w:t xml:space="preserve">Kitáb-i-Aqdas #89</w:t>
      </w:r>
    </w:p>
  </w:footnote>
  <w:footnote w:id="931">
    <w:p>
      <w:pPr>
        <w:pStyle w:val="FootnoteText"/>
      </w:pPr>
      <w:r>
        <w:rPr>
          <w:rStyle w:val="FootnoteReference"/>
        </w:rPr>
        <w:footnoteRef/>
      </w:r>
      <w:r>
        <w:t xml:space="preserve"> </w:t>
      </w:r>
      <w:r>
        <w:t xml:space="preserve">Kitáb-i-Aqdas #90</w:t>
      </w:r>
    </w:p>
  </w:footnote>
  <w:footnote w:id="934">
    <w:p>
      <w:pPr>
        <w:pStyle w:val="FootnoteText"/>
      </w:pPr>
      <w:r>
        <w:rPr>
          <w:rStyle w:val="FootnoteReference"/>
        </w:rPr>
        <w:footnoteRef/>
      </w:r>
      <w:r>
        <w:t xml:space="preserve"> </w:t>
      </w:r>
      <w:r>
        <w:t xml:space="preserve">Kitáb-i-Aqdas #91 - #93</w:t>
      </w:r>
    </w:p>
  </w:footnote>
  <w:footnote w:id="936">
    <w:p>
      <w:pPr>
        <w:pStyle w:val="FootnoteText"/>
      </w:pPr>
      <w:r>
        <w:rPr>
          <w:rStyle w:val="FootnoteReference"/>
        </w:rPr>
        <w:footnoteRef/>
      </w:r>
      <w:r>
        <w:t xml:space="preserve"> </w:t>
      </w:r>
      <w:r>
        <w:t xml:space="preserve">Kitáb-i-Aqdas #94</w:t>
      </w:r>
    </w:p>
  </w:footnote>
  <w:footnote w:id="938">
    <w:p>
      <w:pPr>
        <w:pStyle w:val="FootnoteText"/>
      </w:pPr>
      <w:r>
        <w:rPr>
          <w:rStyle w:val="FootnoteReference"/>
        </w:rPr>
        <w:footnoteRef/>
      </w:r>
      <w:r>
        <w:t xml:space="preserve"> </w:t>
      </w:r>
      <w:r>
        <w:t xml:space="preserve">Kitáb-i-Aqdas #95</w:t>
      </w:r>
    </w:p>
  </w:footnote>
  <w:footnote w:id="945">
    <w:p>
      <w:pPr>
        <w:pStyle w:val="FootnoteText"/>
      </w:pPr>
      <w:r>
        <w:rPr>
          <w:rStyle w:val="FootnoteReference"/>
        </w:rPr>
        <w:footnoteRef/>
      </w:r>
      <w:r>
        <w:t xml:space="preserve"> </w:t>
      </w:r>
      <w:r>
        <w:t xml:space="preserve">Kitáb-i-Aqdas #101</w:t>
      </w:r>
    </w:p>
  </w:footnote>
  <w:footnote w:id="948">
    <w:p>
      <w:pPr>
        <w:pStyle w:val="FootnoteText"/>
      </w:pPr>
      <w:r>
        <w:rPr>
          <w:rStyle w:val="FootnoteReference"/>
        </w:rPr>
        <w:footnoteRef/>
      </w:r>
      <w:r>
        <w:t xml:space="preserve"> </w:t>
      </w:r>
      <w:r>
        <w:t xml:space="preserve">Kitáb-i-Aqdas #166</w:t>
      </w:r>
    </w:p>
  </w:footnote>
  <w:footnote w:id="950">
    <w:p>
      <w:pPr>
        <w:pStyle w:val="FootnoteText"/>
      </w:pPr>
      <w:r>
        <w:rPr>
          <w:rStyle w:val="FootnoteReference"/>
        </w:rPr>
        <w:footnoteRef/>
      </w:r>
      <w:r>
        <w:t xml:space="preserve"> </w:t>
      </w:r>
      <w:r>
        <w:t xml:space="preserve">Kitáb-i-Aqdas #170</w:t>
      </w:r>
    </w:p>
  </w:footnote>
  <w:footnote w:id="951">
    <w:p>
      <w:pPr>
        <w:pStyle w:val="FootnoteText"/>
      </w:pPr>
      <w:r>
        <w:rPr>
          <w:rStyle w:val="FootnoteReference"/>
        </w:rPr>
        <w:footnoteRef/>
      </w:r>
      <w:r>
        <w:t xml:space="preserve"> </w:t>
      </w:r>
      <w:hyperlink r:id="rId952">
        <w:r>
          <w:rPr>
            <w:rStyle w:val="Hyperlink"/>
          </w:rPr>
          <w:t xml:space="preserve">https://hurqalya.ucmerced.edu/node/24</w:t>
        </w:r>
      </w:hyperlink>
    </w:p>
  </w:footnote>
  <w:footnote w:id="954">
    <w:p>
      <w:pPr>
        <w:pStyle w:val="FootnoteText"/>
      </w:pPr>
      <w:r>
        <w:rPr>
          <w:rStyle w:val="FootnoteReference"/>
        </w:rPr>
        <w:footnoteRef/>
      </w:r>
      <w:r>
        <w:t xml:space="preserve"> </w:t>
      </w:r>
      <w:r>
        <w:t xml:space="preserve">Kitáb-i-Aqdas #184</w:t>
      </w:r>
    </w:p>
  </w:footnote>
  <w:footnote w:id="955">
    <w:p>
      <w:pPr>
        <w:pStyle w:val="FootnoteText"/>
      </w:pPr>
      <w:r>
        <w:rPr>
          <w:rStyle w:val="FootnoteReference"/>
        </w:rPr>
        <w:footnoteRef/>
      </w:r>
      <w:r>
        <w:t xml:space="preserve"> </w:t>
      </w:r>
      <w:r>
        <w:t xml:space="preserve">The Testament of the Honored Primal Point (BB00210)</w:t>
      </w:r>
    </w:p>
  </w:footnote>
  <w:footnote w:id="958">
    <w:p>
      <w:pPr>
        <w:pStyle w:val="FootnoteText"/>
      </w:pPr>
      <w:r>
        <w:rPr>
          <w:rStyle w:val="FootnoteReference"/>
        </w:rPr>
        <w:footnoteRef/>
      </w:r>
      <w:r>
        <w:t xml:space="preserve"> </w:t>
      </w:r>
      <w:r>
        <w:t xml:space="preserve">Kitáb-i-Aqdas #36</w:t>
      </w:r>
    </w:p>
  </w:footnote>
  <w:footnote w:id="959">
    <w:p>
      <w:pPr>
        <w:pStyle w:val="FootnoteText"/>
      </w:pPr>
      <w:r>
        <w:rPr>
          <w:rStyle w:val="FootnoteReference"/>
        </w:rPr>
        <w:footnoteRef/>
      </w:r>
      <w:r>
        <w:t xml:space="preserve"> </w:t>
      </w:r>
      <w:r>
        <w:t xml:space="preserve">Kitáb-i-Aqdas #17</w:t>
      </w:r>
    </w:p>
  </w:footnote>
  <w:footnote w:id="960">
    <w:p>
      <w:pPr>
        <w:pStyle w:val="FootnoteText"/>
      </w:pPr>
      <w:r>
        <w:rPr>
          <w:rStyle w:val="FootnoteReference"/>
        </w:rPr>
        <w:footnoteRef/>
      </w:r>
      <w:r>
        <w:t xml:space="preserve"> </w:t>
      </w:r>
      <w:r>
        <w:t xml:space="preserve">Kitáb-i-Aqdas #35</w:t>
      </w:r>
    </w:p>
  </w:footnote>
  <w:footnote w:id="961">
    <w:p>
      <w:pPr>
        <w:pStyle w:val="FootnoteText"/>
      </w:pPr>
      <w:r>
        <w:rPr>
          <w:rStyle w:val="FootnoteReference"/>
        </w:rPr>
        <w:footnoteRef/>
      </w:r>
      <w:r>
        <w:t xml:space="preserve"> </w:t>
      </w:r>
      <w:r>
        <w:t xml:space="preserve">Kitáb-i-Aqdas #36</w:t>
      </w:r>
    </w:p>
  </w:footnote>
  <w:footnote w:id="962">
    <w:p>
      <w:pPr>
        <w:pStyle w:val="FootnoteText"/>
      </w:pPr>
      <w:r>
        <w:rPr>
          <w:rStyle w:val="FootnoteReference"/>
        </w:rPr>
        <w:footnoteRef/>
      </w:r>
      <w:r>
        <w:t xml:space="preserve"> </w:t>
      </w:r>
      <w:r>
        <w:t xml:space="preserve">Kitáb-i-Aqdas #162</w:t>
      </w:r>
    </w:p>
  </w:footnote>
  <w:footnote w:id="963">
    <w:p>
      <w:pPr>
        <w:pStyle w:val="FootnoteText"/>
      </w:pPr>
      <w:r>
        <w:rPr>
          <w:rStyle w:val="FootnoteReference"/>
        </w:rPr>
        <w:footnoteRef/>
      </w:r>
      <w:r>
        <w:t xml:space="preserve"> </w:t>
      </w:r>
      <w:r>
        <w:t xml:space="preserve">Kitáb-i-Aqdas #52</w:t>
      </w:r>
    </w:p>
  </w:footnote>
  <w:footnote w:id="964">
    <w:p>
      <w:pPr>
        <w:pStyle w:val="FootnoteText"/>
      </w:pPr>
      <w:r>
        <w:rPr>
          <w:rStyle w:val="FootnoteReference"/>
        </w:rPr>
        <w:footnoteRef/>
      </w:r>
      <w:r>
        <w:t xml:space="preserve"> </w:t>
      </w:r>
      <w:r>
        <w:t xml:space="preserve">Kitáb-i-Aqdas #39</w:t>
      </w:r>
    </w:p>
  </w:footnote>
  <w:footnote w:id="965">
    <w:p>
      <w:pPr>
        <w:pStyle w:val="FootnoteText"/>
      </w:pPr>
      <w:r>
        <w:rPr>
          <w:rStyle w:val="FootnoteReference"/>
        </w:rPr>
        <w:footnoteRef/>
      </w:r>
      <w:r>
        <w:t xml:space="preserve"> </w:t>
      </w:r>
      <w:r>
        <w:t xml:space="preserve">Kitáb-i-Aqdas #105</w:t>
      </w:r>
    </w:p>
  </w:footnote>
  <w:footnote w:id="971">
    <w:p>
      <w:pPr>
        <w:pStyle w:val="FootnoteText"/>
      </w:pPr>
      <w:r>
        <w:rPr>
          <w:rStyle w:val="FootnoteReference"/>
        </w:rPr>
        <w:footnoteRef/>
      </w:r>
      <w:r>
        <w:t xml:space="preserve"> </w:t>
      </w:r>
      <w:r>
        <w:t xml:space="preserve">Kitáb-i-Aqdas #42</w:t>
      </w:r>
    </w:p>
  </w:footnote>
  <w:footnote w:id="974">
    <w:p>
      <w:pPr>
        <w:pStyle w:val="FootnoteText"/>
      </w:pPr>
      <w:r>
        <w:rPr>
          <w:rStyle w:val="FootnoteReference"/>
        </w:rPr>
        <w:footnoteRef/>
      </w:r>
      <w:r>
        <w:t xml:space="preserve"> </w:t>
      </w:r>
      <w:r>
        <w:t xml:space="preserve">BH00314</w:t>
      </w:r>
    </w:p>
  </w:footnote>
  <w:footnote w:id="975">
    <w:p>
      <w:pPr>
        <w:pStyle w:val="FootnoteText"/>
      </w:pPr>
      <w:r>
        <w:rPr>
          <w:rStyle w:val="FootnoteReference"/>
        </w:rPr>
        <w:footnoteRef/>
      </w:r>
      <w:r>
        <w:t xml:space="preserve"> </w:t>
      </w:r>
      <w:r>
        <w:t xml:space="preserve">BH09144</w:t>
      </w:r>
    </w:p>
  </w:footnote>
  <w:footnote w:id="977">
    <w:p>
      <w:pPr>
        <w:pStyle w:val="FootnoteText"/>
      </w:pPr>
      <w:r>
        <w:rPr>
          <w:rStyle w:val="FootnoteReference"/>
        </w:rPr>
        <w:footnoteRef/>
      </w:r>
      <w:r>
        <w:t xml:space="preserve"> </w:t>
      </w:r>
      <w:r>
        <w:t xml:space="preserve">BH07364</w:t>
      </w:r>
    </w:p>
  </w:footnote>
  <w:footnote w:id="978">
    <w:p>
      <w:pPr>
        <w:pStyle w:val="FootnoteText"/>
      </w:pPr>
      <w:r>
        <w:rPr>
          <w:rStyle w:val="FootnoteReference"/>
        </w:rPr>
        <w:footnoteRef/>
      </w:r>
      <w:r>
        <w:t xml:space="preserve"> </w:t>
      </w:r>
      <w:r>
        <w:t xml:space="preserve">BH09434</w:t>
      </w:r>
    </w:p>
  </w:footnote>
  <w:footnote w:id="980">
    <w:p>
      <w:pPr>
        <w:pStyle w:val="FootnoteText"/>
      </w:pPr>
      <w:r>
        <w:rPr>
          <w:rStyle w:val="FootnoteReference"/>
        </w:rPr>
        <w:footnoteRef/>
      </w:r>
      <w:r>
        <w:t xml:space="preserve"> </w:t>
      </w:r>
      <w:r>
        <w:t xml:space="preserve">BH06516</w:t>
      </w:r>
    </w:p>
  </w:footnote>
  <w:footnote w:id="981">
    <w:p>
      <w:pPr>
        <w:pStyle w:val="FootnoteText"/>
      </w:pPr>
      <w:r>
        <w:rPr>
          <w:rStyle w:val="FootnoteReference"/>
        </w:rPr>
        <w:footnoteRef/>
      </w:r>
      <w:r>
        <w:t xml:space="preserve"> </w:t>
      </w:r>
      <w:r>
        <w:t xml:space="preserve">BH03971</w:t>
      </w:r>
    </w:p>
  </w:footnote>
  <w:footnote w:id="983">
    <w:p>
      <w:pPr>
        <w:pStyle w:val="FootnoteText"/>
      </w:pPr>
      <w:r>
        <w:rPr>
          <w:rStyle w:val="FootnoteReference"/>
        </w:rPr>
        <w:footnoteRef/>
      </w:r>
      <w:r>
        <w:t xml:space="preserve"> </w:t>
      </w:r>
      <w:r>
        <w:t xml:space="preserve">BH11823</w:t>
      </w:r>
    </w:p>
  </w:footnote>
  <w:footnote w:id="984">
    <w:p>
      <w:pPr>
        <w:pStyle w:val="FootnoteText"/>
      </w:pPr>
      <w:r>
        <w:rPr>
          <w:rStyle w:val="FootnoteReference"/>
        </w:rPr>
        <w:footnoteRef/>
      </w:r>
      <w:r>
        <w:t xml:space="preserve"> </w:t>
      </w:r>
      <w:r>
        <w:t xml:space="preserve">BH10221</w:t>
      </w:r>
    </w:p>
  </w:footnote>
  <w:footnote w:id="987">
    <w:p>
      <w:pPr>
        <w:pStyle w:val="FootnoteText"/>
      </w:pPr>
      <w:r>
        <w:rPr>
          <w:rStyle w:val="FootnoteReference"/>
        </w:rPr>
        <w:footnoteRef/>
      </w:r>
      <w:r>
        <w:t xml:space="preserve"> </w:t>
      </w:r>
      <w:r>
        <w:t xml:space="preserve">Kitáb-i-Aqdas #174</w:t>
      </w:r>
    </w:p>
  </w:footnote>
  <w:footnote w:id="994">
    <w:p>
      <w:pPr>
        <w:pStyle w:val="FootnoteText"/>
      </w:pPr>
      <w:r>
        <w:rPr>
          <w:rStyle w:val="FootnoteReference"/>
        </w:rPr>
        <w:footnoteRef/>
      </w:r>
      <w:r>
        <w:t xml:space="preserve"> </w:t>
      </w:r>
      <w:r>
        <w:t xml:space="preserve">Lawh-i-Bisarat (The Tablet of Glad-Tidings)</w:t>
      </w:r>
    </w:p>
  </w:footnote>
  <w:footnote w:id="1005">
    <w:p>
      <w:pPr>
        <w:pStyle w:val="FootnoteText"/>
      </w:pPr>
      <w:r>
        <w:rPr>
          <w:rStyle w:val="FootnoteReference"/>
        </w:rPr>
        <w:footnoteRef/>
      </w:r>
      <w:r>
        <w:t xml:space="preserve"> </w:t>
      </w:r>
      <w:r>
        <w:t xml:space="preserve">Kitáb-i-Aqdas #117</w:t>
      </w:r>
    </w:p>
  </w:footnote>
  <w:footnote w:id="1006">
    <w:p>
      <w:pPr>
        <w:pStyle w:val="FootnoteText"/>
      </w:pPr>
      <w:r>
        <w:rPr>
          <w:rStyle w:val="FootnoteReference"/>
        </w:rPr>
        <w:footnoteRef/>
      </w:r>
      <w:r>
        <w:t xml:space="preserve"> </w:t>
      </w:r>
      <w:r>
        <w:t xml:space="preserve">Kitáb-i-Aqdas #75</w:t>
      </w:r>
    </w:p>
  </w:footnote>
  <w:footnote w:id="1008">
    <w:p>
      <w:pPr>
        <w:pStyle w:val="FootnoteText"/>
      </w:pPr>
      <w:r>
        <w:rPr>
          <w:rStyle w:val="FootnoteReference"/>
        </w:rPr>
        <w:footnoteRef/>
      </w:r>
      <w:r>
        <w:t xml:space="preserve"> </w:t>
      </w:r>
      <w:r>
        <w:t xml:space="preserve">Kitáb-i-Aqdas #118</w:t>
      </w:r>
    </w:p>
  </w:footnote>
  <w:footnote w:id="1009">
    <w:p>
      <w:pPr>
        <w:pStyle w:val="FootnoteText"/>
      </w:pPr>
      <w:r>
        <w:rPr>
          <w:rStyle w:val="FootnoteReference"/>
        </w:rPr>
        <w:footnoteRef/>
      </w:r>
      <w:r>
        <w:t xml:space="preserve"> </w:t>
      </w:r>
      <w:r>
        <w:t xml:space="preserve">Kitáb-i-Aqdas #100</w:t>
      </w:r>
    </w:p>
  </w:footnote>
  <w:footnote w:id="1010">
    <w:p>
      <w:pPr>
        <w:pStyle w:val="FootnoteText"/>
      </w:pPr>
      <w:r>
        <w:rPr>
          <w:rStyle w:val="FootnoteReference"/>
        </w:rPr>
        <w:footnoteRef/>
      </w:r>
      <w:r>
        <w:t xml:space="preserve"> </w:t>
      </w:r>
      <w:r>
        <w:t xml:space="preserve">Kitáb-i-Aqdas #134</w:t>
      </w:r>
    </w:p>
  </w:footnote>
  <w:footnote w:id="1014">
    <w:p>
      <w:pPr>
        <w:pStyle w:val="FootnoteText"/>
      </w:pPr>
      <w:r>
        <w:rPr>
          <w:rStyle w:val="FootnoteReference"/>
        </w:rPr>
        <w:footnoteRef/>
      </w:r>
      <w:r>
        <w:t xml:space="preserve"> </w:t>
      </w:r>
      <w:r>
        <w:rPr>
          <w:iCs/>
          <w:i/>
          <w:iCs/>
          <w:i/>
          <w:bCs/>
          <w:b/>
        </w:rPr>
        <w:t xml:space="preserve">Kitáb-i-Aqdas</w:t>
      </w:r>
      <w:r>
        <w:t xml:space="preserve"> </w:t>
      </w:r>
      <w:r>
        <w:t xml:space="preserve">#73</w:t>
      </w:r>
    </w:p>
  </w:footnote>
  <w:footnote w:id="1036">
    <w:p>
      <w:pPr>
        <w:pStyle w:val="FootnoteText"/>
      </w:pPr>
      <w:r>
        <w:rPr>
          <w:rStyle w:val="FootnoteReference"/>
        </w:rPr>
        <w:footnoteRef/>
      </w:r>
      <w:r>
        <w:t xml:space="preserve"> </w:t>
      </w:r>
      <w:r>
        <w:t xml:space="preserve">BH01964</w:t>
      </w:r>
    </w:p>
  </w:footnote>
  <w:footnote w:id="1044">
    <w:p>
      <w:pPr>
        <w:pStyle w:val="FootnoteText"/>
      </w:pPr>
      <w:r>
        <w:rPr>
          <w:rStyle w:val="FootnoteReference"/>
        </w:rPr>
        <w:footnoteRef/>
      </w:r>
      <w:r>
        <w:t xml:space="preserve"> </w:t>
      </w:r>
      <w:r>
        <w:t xml:space="preserve">Marcinkowski, M. Ismail,</w:t>
      </w:r>
      <w:r>
        <w:t xml:space="preserve"> </w:t>
      </w:r>
      <w:r>
        <w:rPr>
          <w:iCs/>
          <w:i/>
        </w:rPr>
        <w:t xml:space="preserve">Measures and Weights in the Islamic World: An English Translation of Walther Hinz’s Handbook</w:t>
      </w:r>
      <w:r>
        <w:rPr>
          <w:iCs/>
          <w:i/>
        </w:rPr>
        <w:t xml:space="preserve"> </w:t>
      </w:r>
      <w:r>
        <w:rPr>
          <w:iCs/>
          <w:i/>
        </w:rPr>
        <w:t xml:space="preserve">“</w:t>
      </w:r>
      <w:r>
        <w:rPr>
          <w:iCs/>
          <w:i/>
        </w:rPr>
        <w:t xml:space="preserve">Islamsche Masse und Gewichte</w:t>
      </w:r>
      <w:r>
        <w:rPr>
          <w:iCs/>
          <w:i/>
        </w:rPr>
        <w:t xml:space="preserve">”</w:t>
      </w:r>
      <w:r>
        <w:t xml:space="preserve"> </w:t>
      </w:r>
      <w:r>
        <w:t xml:space="preserve">(2003)</w:t>
      </w:r>
    </w:p>
  </w:footnote>
  <w:footnote w:id="1052">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w:t>
      </w:r>
    </w:p>
  </w:footnote>
  <w:footnote w:id="1053">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such as French Guiana and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952" Target="https://hurqalya.ucmerced.edu/node/24" TargetMode="External" /><Relationship Type="http://schemas.openxmlformats.org/officeDocument/2006/relationships/hyperlink" Id="rId1045"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52" Target="https://hurqalya.ucmerced.edu/node/24" TargetMode="External" /><Relationship Type="http://schemas.openxmlformats.org/officeDocument/2006/relationships/hyperlink" Id="rId1045"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2026-03-06T03:21:16Z</dcterms:created>
  <dcterms:modified xsi:type="dcterms:W3CDTF">2026-03-06T03:21:16Z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2026-03-05</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